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04BD83" w14:textId="10315047" w:rsidR="00724833" w:rsidRPr="007C7C35" w:rsidRDefault="000D39C8" w:rsidP="0072746B">
      <w:pPr>
        <w:pStyle w:val="BodyText"/>
        <w:ind w:left="8550"/>
        <w:rPr>
          <w:rFonts w:ascii="Aptos" w:hAnsi="Aptos" w:cstheme="minorHAnsi"/>
          <w:szCs w:val="24"/>
        </w:rPr>
      </w:pPr>
      <w:r w:rsidRPr="007C7C35">
        <w:rPr>
          <w:rFonts w:ascii="Aptos" w:hAnsi="Aptos" w:cstheme="minorHAnsi"/>
          <w:noProof/>
          <w:szCs w:val="24"/>
        </w:rPr>
        <mc:AlternateContent>
          <mc:Choice Requires="wps">
            <w:drawing>
              <wp:inline distT="0" distB="0" distL="0" distR="0" wp14:anchorId="598EF3C6" wp14:editId="7EF17563">
                <wp:extent cx="590550" cy="980440"/>
                <wp:effectExtent l="0" t="4445" r="0" b="0"/>
                <wp:docPr id="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980440"/>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2E4E0C" w14:textId="77777777" w:rsidR="009B5476" w:rsidRDefault="009B5476">
                            <w:pPr>
                              <w:pStyle w:val="BodyText"/>
                              <w:rPr>
                                <w:rFonts w:ascii="Times New Roman"/>
                              </w:rPr>
                            </w:pPr>
                          </w:p>
                          <w:p w14:paraId="2074E5E9" w14:textId="77777777" w:rsidR="009B5476" w:rsidRDefault="009B5476">
                            <w:pPr>
                              <w:pStyle w:val="BodyText"/>
                              <w:rPr>
                                <w:rFonts w:ascii="Times New Roman"/>
                              </w:rPr>
                            </w:pPr>
                          </w:p>
                          <w:p w14:paraId="3FA4D8AD" w14:textId="77777777" w:rsidR="009B5476" w:rsidRDefault="009B5476">
                            <w:pPr>
                              <w:pStyle w:val="BodyText"/>
                              <w:rPr>
                                <w:rFonts w:ascii="Times New Roman"/>
                              </w:rPr>
                            </w:pPr>
                          </w:p>
                          <w:p w14:paraId="32192972" w14:textId="77777777" w:rsidR="009B5476" w:rsidRDefault="009B5476">
                            <w:pPr>
                              <w:pStyle w:val="BodyText"/>
                              <w:spacing w:before="7"/>
                              <w:rPr>
                                <w:rFonts w:ascii="Times New Roman"/>
                                <w:sz w:val="29"/>
                              </w:rPr>
                            </w:pPr>
                          </w:p>
                          <w:p w14:paraId="0A57CC3D" w14:textId="77777777" w:rsidR="009B5476" w:rsidRDefault="009B5476">
                            <w:pPr>
                              <w:ind w:left="361"/>
                              <w:rPr>
                                <w:rFonts w:ascii="Calibri"/>
                              </w:rPr>
                            </w:pPr>
                            <w:r>
                              <w:rPr>
                                <w:rFonts w:ascii="Calibri"/>
                                <w:color w:val="FFFFFF"/>
                              </w:rPr>
                              <w:t>2020</w:t>
                            </w:r>
                          </w:p>
                        </w:txbxContent>
                      </wps:txbx>
                      <wps:bodyPr rot="0" vert="horz" wrap="square" lIns="0" tIns="0" rIns="0" bIns="0" anchor="t" anchorCtr="0" upright="1">
                        <a:noAutofit/>
                      </wps:bodyPr>
                    </wps:wsp>
                  </a:graphicData>
                </a:graphic>
              </wp:inline>
            </w:drawing>
          </mc:Choice>
          <mc:Fallback>
            <w:pict>
              <v:shapetype w14:anchorId="598EF3C6" id="_x0000_t202" coordsize="21600,21600" o:spt="202" path="m,l,21600r21600,l21600,xe">
                <v:stroke joinstyle="miter"/>
                <v:path gradientshapeok="t" o:connecttype="rect"/>
              </v:shapetype>
              <v:shape id="Text Box 46" o:spid="_x0000_s1026" type="#_x0000_t202" style="width:46.5pt;height:7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" fillcolor="#4471c4" stroked="f">
                <v:textbox inset="0,0,0,0">
                  <w:txbxContent>
                    <w:p w14:paraId="192E4E0C" w14:textId="77777777" w:rsidR="009B5476" w:rsidRDefault="009B5476">
                      <w:pPr>
                        <w:pStyle w:val="BodyText"/>
                        <w:rPr>
                          <w:rFonts w:ascii="Times New Roman"/>
                        </w:rPr>
                      </w:pPr>
                    </w:p>
                    <w:p w14:paraId="2074E5E9" w14:textId="77777777" w:rsidR="009B5476" w:rsidRDefault="009B5476">
                      <w:pPr>
                        <w:pStyle w:val="BodyText"/>
                        <w:rPr>
                          <w:rFonts w:ascii="Times New Roman"/>
                        </w:rPr>
                      </w:pPr>
                    </w:p>
                    <w:p w14:paraId="3FA4D8AD" w14:textId="77777777" w:rsidR="009B5476" w:rsidRDefault="009B5476">
                      <w:pPr>
                        <w:pStyle w:val="BodyText"/>
                        <w:rPr>
                          <w:rFonts w:ascii="Times New Roman"/>
                        </w:rPr>
                      </w:pPr>
                    </w:p>
                    <w:p w14:paraId="32192972" w14:textId="77777777" w:rsidR="009B5476" w:rsidRDefault="009B5476">
                      <w:pPr>
                        <w:pStyle w:val="BodyText"/>
                        <w:spacing w:before="7"/>
                        <w:rPr>
                          <w:rFonts w:ascii="Times New Roman"/>
                          <w:sz w:val="29"/>
                        </w:rPr>
                      </w:pPr>
                    </w:p>
                    <w:p w14:paraId="0A57CC3D" w14:textId="77777777" w:rsidR="009B5476" w:rsidRDefault="009B5476">
                      <w:pPr>
                        <w:ind w:left="361"/>
                        <w:rPr>
                          <w:rFonts w:ascii="Calibri"/>
                        </w:rPr>
                      </w:pPr>
                      <w:r>
                        <w:rPr>
                          <w:rFonts w:ascii="Calibri"/>
                          <w:color w:val="FFFFFF"/>
                        </w:rPr>
                        <w:t>2020</w:t>
                      </w:r>
                    </w:p>
                  </w:txbxContent>
                </v:textbox>
                <w10:anchorlock/>
              </v:shape>
            </w:pict>
          </mc:Fallback>
        </mc:AlternateContent>
      </w:r>
    </w:p>
    <w:p w14:paraId="0DE72734" w14:textId="77777777" w:rsidR="00724833" w:rsidRPr="007C7C35" w:rsidRDefault="00724833" w:rsidP="0072746B">
      <w:pPr>
        <w:pStyle w:val="BodyText"/>
        <w:rPr>
          <w:rFonts w:ascii="Aptos" w:hAnsi="Aptos" w:cstheme="minorHAnsi"/>
          <w:szCs w:val="24"/>
        </w:rPr>
      </w:pPr>
    </w:p>
    <w:p w14:paraId="77D7BCD8" w14:textId="77777777" w:rsidR="00724833" w:rsidRPr="007C7C35" w:rsidRDefault="00724833" w:rsidP="0072746B">
      <w:pPr>
        <w:pStyle w:val="BodyText"/>
        <w:rPr>
          <w:rFonts w:ascii="Aptos" w:hAnsi="Aptos" w:cstheme="minorHAnsi"/>
          <w:szCs w:val="24"/>
        </w:rPr>
      </w:pPr>
    </w:p>
    <w:p w14:paraId="38CDB01C" w14:textId="38EFDB08" w:rsidR="00724833" w:rsidRPr="00CF5244" w:rsidRDefault="00C76904" w:rsidP="00CF5244">
      <w:pPr>
        <w:pStyle w:val="Title"/>
        <w:ind w:left="0"/>
        <w:rPr>
          <w:rFonts w:ascii="Aptos" w:hAnsi="Aptos" w:cstheme="minorHAnsi"/>
          <w:b w:val="0"/>
          <w:sz w:val="28"/>
          <w:szCs w:val="28"/>
        </w:rPr>
      </w:pPr>
      <w:bookmarkStart w:id="0" w:name="Job-ready_Graduates_Package_draft_legisl"/>
      <w:bookmarkEnd w:id="0"/>
      <w:r w:rsidRPr="00CF5244">
        <w:rPr>
          <w:rFonts w:ascii="Aptos" w:hAnsi="Aptos" w:cstheme="minorHAnsi"/>
          <w:color w:val="242424"/>
          <w:sz w:val="28"/>
          <w:szCs w:val="28"/>
        </w:rPr>
        <w:t xml:space="preserve">Submission on </w:t>
      </w:r>
      <w:r w:rsidR="00CD0572" w:rsidRPr="00CF5244">
        <w:rPr>
          <w:rFonts w:ascii="Aptos" w:hAnsi="Aptos" w:cstheme="minorHAnsi"/>
          <w:color w:val="242424"/>
          <w:sz w:val="28"/>
          <w:szCs w:val="28"/>
        </w:rPr>
        <w:t>capping international student numbers</w:t>
      </w:r>
      <w:r w:rsidR="007C7C35" w:rsidRPr="00CF5244">
        <w:rPr>
          <w:rFonts w:ascii="Aptos" w:hAnsi="Aptos" w:cstheme="minorHAnsi"/>
          <w:color w:val="242424"/>
          <w:sz w:val="28"/>
          <w:szCs w:val="28"/>
        </w:rPr>
        <w:t xml:space="preserve"> </w:t>
      </w:r>
      <w:r w:rsidR="00E90998" w:rsidRPr="00CF5244">
        <w:rPr>
          <w:rFonts w:ascii="Aptos" w:hAnsi="Aptos" w:cstheme="minorHAnsi"/>
          <w:color w:val="242424"/>
          <w:sz w:val="28"/>
          <w:szCs w:val="28"/>
        </w:rPr>
        <w:t xml:space="preserve">– </w:t>
      </w:r>
      <w:r w:rsidR="00CD0572" w:rsidRPr="00CF5244">
        <w:rPr>
          <w:rFonts w:ascii="Aptos" w:hAnsi="Aptos" w:cstheme="minorHAnsi"/>
          <w:color w:val="242424"/>
          <w:sz w:val="28"/>
          <w:szCs w:val="28"/>
        </w:rPr>
        <w:t>July</w:t>
      </w:r>
      <w:r w:rsidR="00CB6700" w:rsidRPr="00CF5244">
        <w:rPr>
          <w:rFonts w:ascii="Aptos" w:hAnsi="Aptos" w:cstheme="minorHAnsi"/>
          <w:color w:val="242424"/>
          <w:sz w:val="28"/>
          <w:szCs w:val="28"/>
        </w:rPr>
        <w:t xml:space="preserve"> 202</w:t>
      </w:r>
      <w:r w:rsidR="00CD0572" w:rsidRPr="00CF5244">
        <w:rPr>
          <w:rFonts w:ascii="Aptos" w:hAnsi="Aptos" w:cstheme="minorHAnsi"/>
          <w:color w:val="242424"/>
          <w:sz w:val="28"/>
          <w:szCs w:val="28"/>
        </w:rPr>
        <w:t>4</w:t>
      </w:r>
    </w:p>
    <w:p w14:paraId="45E9F75E" w14:textId="77777777" w:rsidR="00724833" w:rsidRPr="00CF5244" w:rsidRDefault="00724833" w:rsidP="0072746B">
      <w:pPr>
        <w:pStyle w:val="BodyText"/>
        <w:rPr>
          <w:rFonts w:ascii="Aptos" w:hAnsi="Aptos" w:cstheme="minorHAnsi"/>
          <w:b/>
          <w:sz w:val="28"/>
          <w:szCs w:val="28"/>
        </w:rPr>
      </w:pPr>
    </w:p>
    <w:p w14:paraId="77C6BCFF" w14:textId="187A8E48" w:rsidR="001334A2" w:rsidRPr="007C7C35" w:rsidRDefault="001334A2" w:rsidP="00CF5244">
      <w:pPr>
        <w:pStyle w:val="BodyText"/>
        <w:ind w:left="0"/>
        <w:rPr>
          <w:rFonts w:ascii="Aptos" w:hAnsi="Aptos" w:cstheme="minorHAnsi"/>
          <w:b/>
          <w:szCs w:val="24"/>
        </w:rPr>
      </w:pPr>
      <w:r w:rsidRPr="007C7C35">
        <w:rPr>
          <w:rFonts w:ascii="Aptos" w:hAnsi="Aptos" w:cs="Open Sans"/>
          <w:color w:val="222222"/>
          <w:szCs w:val="24"/>
          <w:shd w:val="clear" w:color="auto" w:fill="FFFFFF"/>
        </w:rPr>
        <w:t xml:space="preserve">Senate Education and Employment Legislation Committee inquiry into the </w:t>
      </w:r>
      <w:hyperlink r:id="rId8" w:history="1">
        <w:r w:rsidRPr="007C7C35">
          <w:rPr>
            <w:rStyle w:val="Hyperlink"/>
            <w:rFonts w:ascii="Aptos" w:hAnsi="Aptos" w:cs="Open Sans"/>
            <w:i/>
            <w:iCs/>
            <w:color w:val="auto"/>
            <w:szCs w:val="24"/>
            <w:u w:val="none"/>
            <w:shd w:val="clear" w:color="auto" w:fill="FFFFFF"/>
          </w:rPr>
          <w:t>Education Services for Overseas Students Amendment (Quality and Integrity) Bill 2024</w:t>
        </w:r>
      </w:hyperlink>
      <w:r w:rsidRPr="007C7C35">
        <w:rPr>
          <w:rFonts w:ascii="Aptos" w:hAnsi="Aptos" w:cs="Open Sans"/>
          <w:szCs w:val="24"/>
          <w:shd w:val="clear" w:color="auto" w:fill="FFFFFF"/>
        </w:rPr>
        <w:t> </w:t>
      </w:r>
    </w:p>
    <w:p w14:paraId="3BC398C8" w14:textId="77777777" w:rsidR="00724833" w:rsidRPr="007C7C35" w:rsidRDefault="00724833" w:rsidP="0072746B">
      <w:pPr>
        <w:pStyle w:val="BodyText"/>
        <w:rPr>
          <w:rFonts w:ascii="Aptos" w:hAnsi="Aptos" w:cstheme="minorHAnsi"/>
          <w:b/>
          <w:szCs w:val="24"/>
        </w:rPr>
      </w:pPr>
    </w:p>
    <w:p w14:paraId="6D36C8C0" w14:textId="77777777" w:rsidR="00F44123" w:rsidRPr="007C7C35" w:rsidRDefault="00F44123" w:rsidP="0072746B">
      <w:pPr>
        <w:pStyle w:val="BodyText"/>
        <w:rPr>
          <w:rFonts w:ascii="Aptos" w:hAnsi="Aptos" w:cstheme="minorHAnsi"/>
          <w:b/>
          <w:szCs w:val="24"/>
        </w:rPr>
      </w:pPr>
    </w:p>
    <w:p w14:paraId="131F3FCE" w14:textId="77777777" w:rsidR="00F44123" w:rsidRPr="007C7C35" w:rsidRDefault="00F44123" w:rsidP="0072746B">
      <w:pPr>
        <w:pStyle w:val="BodyText"/>
        <w:rPr>
          <w:rFonts w:ascii="Aptos" w:hAnsi="Aptos" w:cstheme="minorHAnsi"/>
          <w:b/>
          <w:szCs w:val="24"/>
        </w:rPr>
      </w:pPr>
    </w:p>
    <w:p w14:paraId="2C353269" w14:textId="77777777" w:rsidR="00927923" w:rsidRDefault="00927923" w:rsidP="0072746B">
      <w:pPr>
        <w:pStyle w:val="BodyText"/>
        <w:spacing w:before="4"/>
        <w:rPr>
          <w:rFonts w:ascii="Aptos" w:hAnsi="Aptos" w:cstheme="minorHAnsi"/>
          <w:b/>
          <w:szCs w:val="24"/>
        </w:rPr>
      </w:pPr>
    </w:p>
    <w:p w14:paraId="0E9F1317" w14:textId="188472CF" w:rsidR="00724833" w:rsidRPr="007C7C35" w:rsidRDefault="000D39C8" w:rsidP="0072746B">
      <w:pPr>
        <w:pStyle w:val="BodyText"/>
        <w:spacing w:before="4"/>
        <w:rPr>
          <w:rFonts w:ascii="Aptos" w:hAnsi="Aptos" w:cstheme="minorHAnsi"/>
          <w:b/>
          <w:szCs w:val="24"/>
        </w:rPr>
      </w:pPr>
      <w:r w:rsidRPr="007C7C35">
        <w:rPr>
          <w:rFonts w:ascii="Aptos" w:hAnsi="Aptos" w:cstheme="minorHAnsi"/>
          <w:noProof/>
          <w:szCs w:val="24"/>
        </w:rPr>
        <mc:AlternateContent>
          <mc:Choice Requires="wps">
            <w:drawing>
              <wp:anchor distT="0" distB="0" distL="0" distR="0" simplePos="0" relativeHeight="487588352" behindDoc="1" locked="0" layoutInCell="1" allowOverlap="1" wp14:anchorId="5C2AC7AC" wp14:editId="6223A23A">
                <wp:simplePos x="0" y="0"/>
                <wp:positionH relativeFrom="page">
                  <wp:posOffset>1162050</wp:posOffset>
                </wp:positionH>
                <wp:positionV relativeFrom="paragraph">
                  <wp:posOffset>200660</wp:posOffset>
                </wp:positionV>
                <wp:extent cx="4733925" cy="2795270"/>
                <wp:effectExtent l="0" t="0" r="0" b="0"/>
                <wp:wrapTopAndBottom/>
                <wp:docPr id="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2795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64A32C" w14:textId="48B94A6E" w:rsidR="009B5476" w:rsidRDefault="009B5476" w:rsidP="002A4488">
                            <w:pPr>
                              <w:spacing w:before="72"/>
                              <w:ind w:left="142"/>
                              <w:rPr>
                                <w:rFonts w:ascii="Calibri"/>
                                <w:sz w:val="37"/>
                              </w:rPr>
                            </w:pPr>
                            <w:r>
                              <w:rPr>
                                <w:rFonts w:ascii="Calibri"/>
                                <w:color w:val="4471C4"/>
                                <w:sz w:val="32"/>
                              </w:rPr>
                              <w:t>Andrew Norton</w:t>
                            </w:r>
                          </w:p>
                          <w:p w14:paraId="63D4BA48" w14:textId="2815DF11" w:rsidR="009B5476" w:rsidRDefault="009B5476">
                            <w:pPr>
                              <w:ind w:left="142" w:right="633"/>
                              <w:rPr>
                                <w:rFonts w:ascii="Calibri"/>
                                <w:sz w:val="32"/>
                              </w:rPr>
                            </w:pPr>
                            <w:r>
                              <w:rPr>
                                <w:rFonts w:ascii="Calibri"/>
                                <w:color w:val="4471C4"/>
                                <w:sz w:val="32"/>
                              </w:rPr>
                              <w:t xml:space="preserve">Professor in the Practice of Higher Education Policy </w:t>
                            </w:r>
                            <w:r w:rsidR="00E7126E">
                              <w:rPr>
                                <w:rFonts w:ascii="Calibri"/>
                                <w:color w:val="4471C4"/>
                                <w:sz w:val="32"/>
                              </w:rPr>
                              <w:t xml:space="preserve">POLIS: The Centre for Social Policy Research </w:t>
                            </w:r>
                          </w:p>
                          <w:p w14:paraId="72FB3A30" w14:textId="77777777" w:rsidR="009B5476" w:rsidRDefault="009B5476">
                            <w:pPr>
                              <w:spacing w:line="389" w:lineRule="exact"/>
                              <w:ind w:left="142"/>
                              <w:rPr>
                                <w:rFonts w:ascii="Calibri"/>
                                <w:sz w:val="32"/>
                              </w:rPr>
                            </w:pPr>
                            <w:r>
                              <w:rPr>
                                <w:rFonts w:ascii="Calibri"/>
                                <w:color w:val="4471C4"/>
                                <w:sz w:val="32"/>
                              </w:rPr>
                              <w:t>The Australian National University</w:t>
                            </w:r>
                          </w:p>
                          <w:p w14:paraId="77975F1D" w14:textId="45D52D3A" w:rsidR="009B5476" w:rsidRDefault="009B5476">
                            <w:pPr>
                              <w:ind w:left="142" w:right="25"/>
                              <w:rPr>
                                <w:rFonts w:ascii="Calibri"/>
                                <w:sz w:val="32"/>
                              </w:rPr>
                            </w:pPr>
                            <w:r>
                              <w:rPr>
                                <w:rFonts w:ascii="Calibri"/>
                                <w:color w:val="4471C4"/>
                                <w:sz w:val="32"/>
                              </w:rPr>
                              <w:t xml:space="preserve">This is a personal submission that should not be taken to represent the views of </w:t>
                            </w:r>
                            <w:r w:rsidR="006B1C10">
                              <w:rPr>
                                <w:rFonts w:ascii="Calibri"/>
                                <w:color w:val="4471C4"/>
                                <w:sz w:val="32"/>
                              </w:rPr>
                              <w:t xml:space="preserve">POLIS or </w:t>
                            </w:r>
                            <w:r>
                              <w:rPr>
                                <w:rFonts w:ascii="Calibri"/>
                                <w:color w:val="4471C4"/>
                                <w:sz w:val="32"/>
                              </w:rPr>
                              <w:t>the Australian National University.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AC7AC" id="Text Box 45" o:spid="_x0000_s1027" type="#_x0000_t202" style="position:absolute;left:0;text-align:left;margin-left:91.5pt;margin-top:15.8pt;width:372.75pt;height:220.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" filled="f">
                <v:textbox inset="0,0,0,0">
                  <w:txbxContent>
                    <w:p w14:paraId="4464A32C" w14:textId="48B94A6E" w:rsidR="009B5476" w:rsidRDefault="009B5476" w:rsidP="002A4488">
                      <w:pPr>
                        <w:spacing w:before="72"/>
                        <w:ind w:left="142"/>
                        <w:rPr>
                          <w:rFonts w:ascii="Calibri"/>
                          <w:sz w:val="37"/>
                        </w:rPr>
                      </w:pPr>
                      <w:r>
                        <w:rPr>
                          <w:rFonts w:ascii="Calibri"/>
                          <w:color w:val="4471C4"/>
                          <w:sz w:val="32"/>
                        </w:rPr>
                        <w:t>Andrew Norton</w:t>
                      </w:r>
                    </w:p>
                    <w:p w14:paraId="63D4BA48" w14:textId="2815DF11" w:rsidR="009B5476" w:rsidRDefault="009B5476">
                      <w:pPr>
                        <w:ind w:left="142" w:right="633"/>
                        <w:rPr>
                          <w:rFonts w:ascii="Calibri"/>
                          <w:sz w:val="32"/>
                        </w:rPr>
                      </w:pPr>
                      <w:r>
                        <w:rPr>
                          <w:rFonts w:ascii="Calibri"/>
                          <w:color w:val="4471C4"/>
                          <w:sz w:val="32"/>
                        </w:rPr>
                        <w:t xml:space="preserve">Professor in the Practice of Higher Education Policy </w:t>
                      </w:r>
                      <w:r w:rsidR="00E7126E">
                        <w:rPr>
                          <w:rFonts w:ascii="Calibri"/>
                          <w:color w:val="4471C4"/>
                          <w:sz w:val="32"/>
                        </w:rPr>
                        <w:t xml:space="preserve">POLIS: The Centre for Social Policy Research </w:t>
                      </w:r>
                    </w:p>
                    <w:p w14:paraId="72FB3A30" w14:textId="77777777" w:rsidR="009B5476" w:rsidRDefault="009B5476">
                      <w:pPr>
                        <w:spacing w:line="389" w:lineRule="exact"/>
                        <w:ind w:left="142"/>
                        <w:rPr>
                          <w:rFonts w:ascii="Calibri"/>
                          <w:sz w:val="32"/>
                        </w:rPr>
                      </w:pPr>
                      <w:r>
                        <w:rPr>
                          <w:rFonts w:ascii="Calibri"/>
                          <w:color w:val="4471C4"/>
                          <w:sz w:val="32"/>
                        </w:rPr>
                        <w:t>The Australian National University</w:t>
                      </w:r>
                    </w:p>
                    <w:p w14:paraId="77975F1D" w14:textId="45D52D3A" w:rsidR="009B5476" w:rsidRDefault="009B5476">
                      <w:pPr>
                        <w:ind w:left="142" w:right="25"/>
                        <w:rPr>
                          <w:rFonts w:ascii="Calibri"/>
                          <w:sz w:val="32"/>
                        </w:rPr>
                      </w:pPr>
                      <w:r>
                        <w:rPr>
                          <w:rFonts w:ascii="Calibri"/>
                          <w:color w:val="4471C4"/>
                          <w:sz w:val="32"/>
                        </w:rPr>
                        <w:t xml:space="preserve">This is a personal submission that should not be taken to represent the views of </w:t>
                      </w:r>
                      <w:r w:rsidR="006B1C10">
                        <w:rPr>
                          <w:rFonts w:ascii="Calibri"/>
                          <w:color w:val="4471C4"/>
                          <w:sz w:val="32"/>
                        </w:rPr>
                        <w:t xml:space="preserve">POLIS or </w:t>
                      </w:r>
                      <w:r>
                        <w:rPr>
                          <w:rFonts w:ascii="Calibri"/>
                          <w:color w:val="4471C4"/>
                          <w:sz w:val="32"/>
                        </w:rPr>
                        <w:t>the Australian National University.</w:t>
                      </w:r>
                    </w:p>
                  </w:txbxContent>
                </v:textbox>
                <w10:wrap type="topAndBottom" anchorx="page"/>
              </v:shape>
            </w:pict>
          </mc:Fallback>
        </mc:AlternateContent>
      </w:r>
    </w:p>
    <w:bookmarkStart w:id="1" w:name="1._Overview" w:displacedByCustomXml="next"/>
    <w:bookmarkEnd w:id="1" w:displacedByCustomXml="next"/>
    <w:sdt>
      <w:sdtPr>
        <w:rPr>
          <w:rFonts w:ascii="Aptos" w:eastAsia="Verdana" w:hAnsi="Aptos" w:cs="Verdana"/>
          <w:b w:val="0"/>
          <w:bCs w:val="0"/>
          <w:color w:val="auto"/>
          <w:sz w:val="24"/>
          <w:szCs w:val="24"/>
          <w:lang w:val="en-AU"/>
        </w:rPr>
        <w:id w:val="-393276661"/>
        <w:docPartObj>
          <w:docPartGallery w:val="Table of Contents"/>
          <w:docPartUnique/>
        </w:docPartObj>
      </w:sdtPr>
      <w:sdtEndPr>
        <w:rPr>
          <w:noProof/>
        </w:rPr>
      </w:sdtEndPr>
      <w:sdtContent>
        <w:p w14:paraId="569D9158" w14:textId="1B7EDB90" w:rsidR="00927923" w:rsidRDefault="00927923">
          <w:pPr>
            <w:pStyle w:val="TOCHeading"/>
            <w:rPr>
              <w:rFonts w:ascii="Aptos" w:eastAsia="Verdana" w:hAnsi="Aptos" w:cs="Verdana"/>
              <w:b w:val="0"/>
              <w:bCs w:val="0"/>
              <w:color w:val="auto"/>
              <w:sz w:val="24"/>
              <w:szCs w:val="24"/>
              <w:lang w:val="en-AU"/>
            </w:rPr>
          </w:pPr>
        </w:p>
        <w:p w14:paraId="6CB9E493" w14:textId="77777777" w:rsidR="00927923" w:rsidRDefault="00927923">
          <w:pPr>
            <w:rPr>
              <w:rFonts w:ascii="Aptos" w:hAnsi="Aptos"/>
              <w:szCs w:val="24"/>
            </w:rPr>
          </w:pPr>
          <w:r>
            <w:rPr>
              <w:rFonts w:ascii="Aptos" w:hAnsi="Aptos"/>
              <w:b/>
              <w:bCs/>
              <w:szCs w:val="24"/>
            </w:rPr>
            <w:br w:type="page"/>
          </w:r>
        </w:p>
        <w:p w14:paraId="7BFC5CBE" w14:textId="77777777" w:rsidR="00CF5244" w:rsidRDefault="00CF5244">
          <w:pPr>
            <w:pStyle w:val="TOCHeading"/>
            <w:rPr>
              <w:rFonts w:ascii="Aptos" w:eastAsia="Verdana" w:hAnsi="Aptos" w:cs="Verdana"/>
              <w:b w:val="0"/>
              <w:bCs w:val="0"/>
              <w:color w:val="auto"/>
              <w:sz w:val="24"/>
              <w:szCs w:val="24"/>
              <w:lang w:val="en-AU"/>
            </w:rPr>
          </w:pPr>
        </w:p>
        <w:p w14:paraId="2A7D63E1" w14:textId="1211F981" w:rsidR="00D94A34" w:rsidRPr="007C7C35" w:rsidRDefault="00D94A34">
          <w:pPr>
            <w:pStyle w:val="TOCHeading"/>
            <w:rPr>
              <w:rFonts w:ascii="Aptos" w:hAnsi="Aptos"/>
              <w:sz w:val="24"/>
              <w:szCs w:val="24"/>
            </w:rPr>
          </w:pPr>
          <w:r w:rsidRPr="007C7C35">
            <w:rPr>
              <w:rFonts w:ascii="Aptos" w:hAnsi="Aptos"/>
              <w:sz w:val="24"/>
              <w:szCs w:val="24"/>
            </w:rPr>
            <w:t>Table of Contents</w:t>
          </w:r>
        </w:p>
        <w:p w14:paraId="4EA86145" w14:textId="7591F8B7" w:rsidR="00FF64C8" w:rsidRDefault="00D94A34">
          <w:pPr>
            <w:pStyle w:val="TOC1"/>
            <w:tabs>
              <w:tab w:val="right" w:leader="dot" w:pos="9016"/>
            </w:tabs>
            <w:rPr>
              <w:rFonts w:eastAsiaTheme="minorEastAsia" w:cstheme="minorBidi"/>
              <w:b w:val="0"/>
              <w:bCs w:val="0"/>
              <w:i w:val="0"/>
              <w:iCs w:val="0"/>
              <w:noProof/>
              <w:kern w:val="2"/>
              <w:lang w:eastAsia="zh-CN"/>
              <w14:ligatures w14:val="standardContextual"/>
            </w:rPr>
          </w:pPr>
          <w:r w:rsidRPr="007C7C35">
            <w:rPr>
              <w:rFonts w:ascii="Aptos" w:hAnsi="Aptos"/>
              <w:b w:val="0"/>
              <w:bCs w:val="0"/>
            </w:rPr>
            <w:fldChar w:fldCharType="begin"/>
          </w:r>
          <w:r w:rsidRPr="007C7C35">
            <w:rPr>
              <w:rFonts w:ascii="Aptos" w:hAnsi="Aptos"/>
            </w:rPr>
            <w:instrText xml:space="preserve"> TOC \o "1-3" \h \z \u </w:instrText>
          </w:r>
          <w:r w:rsidRPr="007C7C35">
            <w:rPr>
              <w:rFonts w:ascii="Aptos" w:hAnsi="Aptos"/>
              <w:b w:val="0"/>
              <w:bCs w:val="0"/>
            </w:rPr>
            <w:fldChar w:fldCharType="separate"/>
          </w:r>
          <w:hyperlink w:anchor="_Toc170742433" w:history="1">
            <w:r w:rsidR="00FF64C8" w:rsidRPr="0029147F">
              <w:rPr>
                <w:rStyle w:val="Hyperlink"/>
                <w:rFonts w:ascii="Aptos" w:hAnsi="Aptos"/>
                <w:noProof/>
              </w:rPr>
              <w:t>List of figures</w:t>
            </w:r>
            <w:r w:rsidR="00FF64C8">
              <w:rPr>
                <w:noProof/>
                <w:webHidden/>
              </w:rPr>
              <w:tab/>
            </w:r>
            <w:r w:rsidR="00FF64C8">
              <w:rPr>
                <w:noProof/>
                <w:webHidden/>
              </w:rPr>
              <w:fldChar w:fldCharType="begin"/>
            </w:r>
            <w:r w:rsidR="00FF64C8">
              <w:rPr>
                <w:noProof/>
                <w:webHidden/>
              </w:rPr>
              <w:instrText xml:space="preserve"> PAGEREF _Toc170742433 \h </w:instrText>
            </w:r>
            <w:r w:rsidR="00FF64C8">
              <w:rPr>
                <w:noProof/>
                <w:webHidden/>
              </w:rPr>
            </w:r>
            <w:r w:rsidR="00FF64C8">
              <w:rPr>
                <w:noProof/>
                <w:webHidden/>
              </w:rPr>
              <w:fldChar w:fldCharType="separate"/>
            </w:r>
            <w:r w:rsidR="00FF64C8">
              <w:rPr>
                <w:noProof/>
                <w:webHidden/>
              </w:rPr>
              <w:t>3</w:t>
            </w:r>
            <w:r w:rsidR="00FF64C8">
              <w:rPr>
                <w:noProof/>
                <w:webHidden/>
              </w:rPr>
              <w:fldChar w:fldCharType="end"/>
            </w:r>
          </w:hyperlink>
        </w:p>
        <w:p w14:paraId="2CA875ED" w14:textId="3CA8BA9B" w:rsidR="00FF64C8" w:rsidRDefault="00000000">
          <w:pPr>
            <w:pStyle w:val="TOC1"/>
            <w:tabs>
              <w:tab w:val="right" w:leader="dot" w:pos="9016"/>
            </w:tabs>
            <w:rPr>
              <w:rFonts w:eastAsiaTheme="minorEastAsia" w:cstheme="minorBidi"/>
              <w:b w:val="0"/>
              <w:bCs w:val="0"/>
              <w:i w:val="0"/>
              <w:iCs w:val="0"/>
              <w:noProof/>
              <w:kern w:val="2"/>
              <w:lang w:eastAsia="zh-CN"/>
              <w14:ligatures w14:val="standardContextual"/>
            </w:rPr>
          </w:pPr>
          <w:hyperlink w:anchor="_Toc170742434" w:history="1">
            <w:r w:rsidR="00FF64C8" w:rsidRPr="0029147F">
              <w:rPr>
                <w:rStyle w:val="Hyperlink"/>
                <w:rFonts w:ascii="Aptos" w:hAnsi="Aptos"/>
                <w:noProof/>
              </w:rPr>
              <w:t>Overview</w:t>
            </w:r>
            <w:r w:rsidR="00FF64C8">
              <w:rPr>
                <w:noProof/>
                <w:webHidden/>
              </w:rPr>
              <w:tab/>
            </w:r>
            <w:r w:rsidR="00FF64C8">
              <w:rPr>
                <w:noProof/>
                <w:webHidden/>
              </w:rPr>
              <w:fldChar w:fldCharType="begin"/>
            </w:r>
            <w:r w:rsidR="00FF64C8">
              <w:rPr>
                <w:noProof/>
                <w:webHidden/>
              </w:rPr>
              <w:instrText xml:space="preserve"> PAGEREF _Toc170742434 \h </w:instrText>
            </w:r>
            <w:r w:rsidR="00FF64C8">
              <w:rPr>
                <w:noProof/>
                <w:webHidden/>
              </w:rPr>
            </w:r>
            <w:r w:rsidR="00FF64C8">
              <w:rPr>
                <w:noProof/>
                <w:webHidden/>
              </w:rPr>
              <w:fldChar w:fldCharType="separate"/>
            </w:r>
            <w:r w:rsidR="00FF64C8">
              <w:rPr>
                <w:noProof/>
                <w:webHidden/>
              </w:rPr>
              <w:t>4</w:t>
            </w:r>
            <w:r w:rsidR="00FF64C8">
              <w:rPr>
                <w:noProof/>
                <w:webHidden/>
              </w:rPr>
              <w:fldChar w:fldCharType="end"/>
            </w:r>
          </w:hyperlink>
        </w:p>
        <w:p w14:paraId="55C0C11D" w14:textId="46937846" w:rsidR="00FF64C8" w:rsidRDefault="00000000">
          <w:pPr>
            <w:pStyle w:val="TOC1"/>
            <w:tabs>
              <w:tab w:val="left" w:pos="480"/>
              <w:tab w:val="right" w:leader="dot" w:pos="9016"/>
            </w:tabs>
            <w:rPr>
              <w:rFonts w:eastAsiaTheme="minorEastAsia" w:cstheme="minorBidi"/>
              <w:b w:val="0"/>
              <w:bCs w:val="0"/>
              <w:i w:val="0"/>
              <w:iCs w:val="0"/>
              <w:noProof/>
              <w:kern w:val="2"/>
              <w:lang w:eastAsia="zh-CN"/>
              <w14:ligatures w14:val="standardContextual"/>
            </w:rPr>
          </w:pPr>
          <w:hyperlink w:anchor="_Toc170742435" w:history="1">
            <w:r w:rsidR="00FF64C8" w:rsidRPr="0029147F">
              <w:rPr>
                <w:rStyle w:val="Hyperlink"/>
                <w:rFonts w:ascii="Aptos" w:hAnsi="Aptos" w:cs="Arial"/>
                <w:noProof/>
              </w:rPr>
              <w:t>1.</w:t>
            </w:r>
            <w:r w:rsidR="00FF64C8">
              <w:rPr>
                <w:rFonts w:eastAsiaTheme="minorEastAsia" w:cstheme="minorBidi"/>
                <w:b w:val="0"/>
                <w:bCs w:val="0"/>
                <w:i w:val="0"/>
                <w:iCs w:val="0"/>
                <w:noProof/>
                <w:kern w:val="2"/>
                <w:lang w:eastAsia="zh-CN"/>
                <w14:ligatures w14:val="standardContextual"/>
              </w:rPr>
              <w:tab/>
            </w:r>
            <w:r w:rsidR="00FF64C8" w:rsidRPr="0029147F">
              <w:rPr>
                <w:rStyle w:val="Hyperlink"/>
                <w:rFonts w:ascii="Aptos" w:hAnsi="Aptos"/>
                <w:noProof/>
              </w:rPr>
              <w:t>Introduction</w:t>
            </w:r>
            <w:r w:rsidR="00FF64C8">
              <w:rPr>
                <w:noProof/>
                <w:webHidden/>
              </w:rPr>
              <w:tab/>
            </w:r>
            <w:r w:rsidR="00FF64C8">
              <w:rPr>
                <w:noProof/>
                <w:webHidden/>
              </w:rPr>
              <w:fldChar w:fldCharType="begin"/>
            </w:r>
            <w:r w:rsidR="00FF64C8">
              <w:rPr>
                <w:noProof/>
                <w:webHidden/>
              </w:rPr>
              <w:instrText xml:space="preserve"> PAGEREF _Toc170742435 \h </w:instrText>
            </w:r>
            <w:r w:rsidR="00FF64C8">
              <w:rPr>
                <w:noProof/>
                <w:webHidden/>
              </w:rPr>
            </w:r>
            <w:r w:rsidR="00FF64C8">
              <w:rPr>
                <w:noProof/>
                <w:webHidden/>
              </w:rPr>
              <w:fldChar w:fldCharType="separate"/>
            </w:r>
            <w:r w:rsidR="00FF64C8">
              <w:rPr>
                <w:noProof/>
                <w:webHidden/>
              </w:rPr>
              <w:t>5</w:t>
            </w:r>
            <w:r w:rsidR="00FF64C8">
              <w:rPr>
                <w:noProof/>
                <w:webHidden/>
              </w:rPr>
              <w:fldChar w:fldCharType="end"/>
            </w:r>
          </w:hyperlink>
        </w:p>
        <w:p w14:paraId="5EBD6254" w14:textId="3C192D83" w:rsidR="00FF64C8" w:rsidRDefault="00000000">
          <w:pPr>
            <w:pStyle w:val="TOC1"/>
            <w:tabs>
              <w:tab w:val="left" w:pos="480"/>
              <w:tab w:val="right" w:leader="dot" w:pos="9016"/>
            </w:tabs>
            <w:rPr>
              <w:rFonts w:eastAsiaTheme="minorEastAsia" w:cstheme="minorBidi"/>
              <w:b w:val="0"/>
              <w:bCs w:val="0"/>
              <w:i w:val="0"/>
              <w:iCs w:val="0"/>
              <w:noProof/>
              <w:kern w:val="2"/>
              <w:lang w:eastAsia="zh-CN"/>
              <w14:ligatures w14:val="standardContextual"/>
            </w:rPr>
          </w:pPr>
          <w:hyperlink w:anchor="_Toc170742436" w:history="1">
            <w:r w:rsidR="00FF64C8" w:rsidRPr="0029147F">
              <w:rPr>
                <w:rStyle w:val="Hyperlink"/>
                <w:rFonts w:ascii="Aptos" w:hAnsi="Aptos" w:cs="Arial"/>
                <w:noProof/>
              </w:rPr>
              <w:t>2.</w:t>
            </w:r>
            <w:r w:rsidR="00FF64C8">
              <w:rPr>
                <w:rFonts w:eastAsiaTheme="minorEastAsia" w:cstheme="minorBidi"/>
                <w:b w:val="0"/>
                <w:bCs w:val="0"/>
                <w:i w:val="0"/>
                <w:iCs w:val="0"/>
                <w:noProof/>
                <w:kern w:val="2"/>
                <w:lang w:eastAsia="zh-CN"/>
                <w14:ligatures w14:val="standardContextual"/>
              </w:rPr>
              <w:tab/>
            </w:r>
            <w:r w:rsidR="00FF64C8" w:rsidRPr="0029147F">
              <w:rPr>
                <w:rStyle w:val="Hyperlink"/>
                <w:rFonts w:ascii="Aptos" w:hAnsi="Aptos" w:cs="Arial"/>
                <w:noProof/>
              </w:rPr>
              <w:t>Capping international student places by course</w:t>
            </w:r>
            <w:r w:rsidR="00FF64C8">
              <w:rPr>
                <w:noProof/>
                <w:webHidden/>
              </w:rPr>
              <w:tab/>
            </w:r>
            <w:r w:rsidR="00FF64C8">
              <w:rPr>
                <w:noProof/>
                <w:webHidden/>
              </w:rPr>
              <w:fldChar w:fldCharType="begin"/>
            </w:r>
            <w:r w:rsidR="00FF64C8">
              <w:rPr>
                <w:noProof/>
                <w:webHidden/>
              </w:rPr>
              <w:instrText xml:space="preserve"> PAGEREF _Toc170742436 \h </w:instrText>
            </w:r>
            <w:r w:rsidR="00FF64C8">
              <w:rPr>
                <w:noProof/>
                <w:webHidden/>
              </w:rPr>
            </w:r>
            <w:r w:rsidR="00FF64C8">
              <w:rPr>
                <w:noProof/>
                <w:webHidden/>
              </w:rPr>
              <w:fldChar w:fldCharType="separate"/>
            </w:r>
            <w:r w:rsidR="00FF64C8">
              <w:rPr>
                <w:noProof/>
                <w:webHidden/>
              </w:rPr>
              <w:t>5</w:t>
            </w:r>
            <w:r w:rsidR="00FF64C8">
              <w:rPr>
                <w:noProof/>
                <w:webHidden/>
              </w:rPr>
              <w:fldChar w:fldCharType="end"/>
            </w:r>
          </w:hyperlink>
        </w:p>
        <w:p w14:paraId="227226D4" w14:textId="22264641" w:rsidR="00FF64C8" w:rsidRDefault="00000000">
          <w:pPr>
            <w:pStyle w:val="TOC3"/>
            <w:tabs>
              <w:tab w:val="right" w:leader="dot" w:pos="9016"/>
            </w:tabs>
            <w:rPr>
              <w:rFonts w:eastAsiaTheme="minorEastAsia" w:cstheme="minorBidi"/>
              <w:noProof/>
              <w:kern w:val="2"/>
              <w:sz w:val="24"/>
              <w:szCs w:val="24"/>
              <w:lang w:eastAsia="zh-CN"/>
              <w14:ligatures w14:val="standardContextual"/>
            </w:rPr>
          </w:pPr>
          <w:hyperlink w:anchor="_Toc170742437" w:history="1">
            <w:r w:rsidR="00FF64C8" w:rsidRPr="0029147F">
              <w:rPr>
                <w:rStyle w:val="Hyperlink"/>
                <w:rFonts w:ascii="Aptos" w:hAnsi="Aptos"/>
                <w:noProof/>
              </w:rPr>
              <w:t>What is a course?</w:t>
            </w:r>
            <w:r w:rsidR="00FF64C8">
              <w:rPr>
                <w:noProof/>
                <w:webHidden/>
              </w:rPr>
              <w:tab/>
            </w:r>
            <w:r w:rsidR="00FF64C8">
              <w:rPr>
                <w:noProof/>
                <w:webHidden/>
              </w:rPr>
              <w:fldChar w:fldCharType="begin"/>
            </w:r>
            <w:r w:rsidR="00FF64C8">
              <w:rPr>
                <w:noProof/>
                <w:webHidden/>
              </w:rPr>
              <w:instrText xml:space="preserve"> PAGEREF _Toc170742437 \h </w:instrText>
            </w:r>
            <w:r w:rsidR="00FF64C8">
              <w:rPr>
                <w:noProof/>
                <w:webHidden/>
              </w:rPr>
            </w:r>
            <w:r w:rsidR="00FF64C8">
              <w:rPr>
                <w:noProof/>
                <w:webHidden/>
              </w:rPr>
              <w:fldChar w:fldCharType="separate"/>
            </w:r>
            <w:r w:rsidR="00FF64C8">
              <w:rPr>
                <w:noProof/>
                <w:webHidden/>
              </w:rPr>
              <w:t>5</w:t>
            </w:r>
            <w:r w:rsidR="00FF64C8">
              <w:rPr>
                <w:noProof/>
                <w:webHidden/>
              </w:rPr>
              <w:fldChar w:fldCharType="end"/>
            </w:r>
          </w:hyperlink>
        </w:p>
        <w:p w14:paraId="10486597" w14:textId="15CBE398" w:rsidR="00FF64C8" w:rsidRDefault="00000000">
          <w:pPr>
            <w:pStyle w:val="TOC3"/>
            <w:tabs>
              <w:tab w:val="right" w:leader="dot" w:pos="9016"/>
            </w:tabs>
            <w:rPr>
              <w:rFonts w:eastAsiaTheme="minorEastAsia" w:cstheme="minorBidi"/>
              <w:noProof/>
              <w:kern w:val="2"/>
              <w:sz w:val="24"/>
              <w:szCs w:val="24"/>
              <w:lang w:eastAsia="zh-CN"/>
              <w14:ligatures w14:val="standardContextual"/>
            </w:rPr>
          </w:pPr>
          <w:hyperlink w:anchor="_Toc170742438" w:history="1">
            <w:r w:rsidR="00FF64C8" w:rsidRPr="0029147F">
              <w:rPr>
                <w:rStyle w:val="Hyperlink"/>
                <w:rFonts w:ascii="Aptos" w:hAnsi="Aptos"/>
                <w:noProof/>
              </w:rPr>
              <w:t>Data issues</w:t>
            </w:r>
            <w:r w:rsidR="00FF64C8">
              <w:rPr>
                <w:noProof/>
                <w:webHidden/>
              </w:rPr>
              <w:tab/>
            </w:r>
            <w:r w:rsidR="00FF64C8">
              <w:rPr>
                <w:noProof/>
                <w:webHidden/>
              </w:rPr>
              <w:fldChar w:fldCharType="begin"/>
            </w:r>
            <w:r w:rsidR="00FF64C8">
              <w:rPr>
                <w:noProof/>
                <w:webHidden/>
              </w:rPr>
              <w:instrText xml:space="preserve"> PAGEREF _Toc170742438 \h </w:instrText>
            </w:r>
            <w:r w:rsidR="00FF64C8">
              <w:rPr>
                <w:noProof/>
                <w:webHidden/>
              </w:rPr>
            </w:r>
            <w:r w:rsidR="00FF64C8">
              <w:rPr>
                <w:noProof/>
                <w:webHidden/>
              </w:rPr>
              <w:fldChar w:fldCharType="separate"/>
            </w:r>
            <w:r w:rsidR="00FF64C8">
              <w:rPr>
                <w:noProof/>
                <w:webHidden/>
              </w:rPr>
              <w:t>5</w:t>
            </w:r>
            <w:r w:rsidR="00FF64C8">
              <w:rPr>
                <w:noProof/>
                <w:webHidden/>
              </w:rPr>
              <w:fldChar w:fldCharType="end"/>
            </w:r>
          </w:hyperlink>
        </w:p>
        <w:p w14:paraId="446E0BC6" w14:textId="3F03669C" w:rsidR="00FF64C8" w:rsidRDefault="00000000">
          <w:pPr>
            <w:pStyle w:val="TOC3"/>
            <w:tabs>
              <w:tab w:val="right" w:leader="dot" w:pos="9016"/>
            </w:tabs>
            <w:rPr>
              <w:rFonts w:eastAsiaTheme="minorEastAsia" w:cstheme="minorBidi"/>
              <w:noProof/>
              <w:kern w:val="2"/>
              <w:sz w:val="24"/>
              <w:szCs w:val="24"/>
              <w:lang w:eastAsia="zh-CN"/>
              <w14:ligatures w14:val="standardContextual"/>
            </w:rPr>
          </w:pPr>
          <w:hyperlink w:anchor="_Toc170742439" w:history="1">
            <w:r w:rsidR="00FF64C8" w:rsidRPr="0029147F">
              <w:rPr>
                <w:rStyle w:val="Hyperlink"/>
                <w:rFonts w:ascii="Aptos" w:hAnsi="Aptos"/>
                <w:noProof/>
              </w:rPr>
              <w:t>Australia’s labour market or international student home country labour markets?</w:t>
            </w:r>
            <w:r w:rsidR="00FF64C8">
              <w:rPr>
                <w:noProof/>
                <w:webHidden/>
              </w:rPr>
              <w:tab/>
            </w:r>
            <w:r w:rsidR="00FF64C8">
              <w:rPr>
                <w:noProof/>
                <w:webHidden/>
              </w:rPr>
              <w:fldChar w:fldCharType="begin"/>
            </w:r>
            <w:r w:rsidR="00FF64C8">
              <w:rPr>
                <w:noProof/>
                <w:webHidden/>
              </w:rPr>
              <w:instrText xml:space="preserve"> PAGEREF _Toc170742439 \h </w:instrText>
            </w:r>
            <w:r w:rsidR="00FF64C8">
              <w:rPr>
                <w:noProof/>
                <w:webHidden/>
              </w:rPr>
            </w:r>
            <w:r w:rsidR="00FF64C8">
              <w:rPr>
                <w:noProof/>
                <w:webHidden/>
              </w:rPr>
              <w:fldChar w:fldCharType="separate"/>
            </w:r>
            <w:r w:rsidR="00FF64C8">
              <w:rPr>
                <w:noProof/>
                <w:webHidden/>
              </w:rPr>
              <w:t>6</w:t>
            </w:r>
            <w:r w:rsidR="00FF64C8">
              <w:rPr>
                <w:noProof/>
                <w:webHidden/>
              </w:rPr>
              <w:fldChar w:fldCharType="end"/>
            </w:r>
          </w:hyperlink>
        </w:p>
        <w:p w14:paraId="4CC6946E" w14:textId="6AE1FDA9" w:rsidR="00FF64C8" w:rsidRDefault="00000000">
          <w:pPr>
            <w:pStyle w:val="TOC3"/>
            <w:tabs>
              <w:tab w:val="right" w:leader="dot" w:pos="9016"/>
            </w:tabs>
            <w:rPr>
              <w:rFonts w:eastAsiaTheme="minorEastAsia" w:cstheme="minorBidi"/>
              <w:noProof/>
              <w:kern w:val="2"/>
              <w:sz w:val="24"/>
              <w:szCs w:val="24"/>
              <w:lang w:eastAsia="zh-CN"/>
              <w14:ligatures w14:val="standardContextual"/>
            </w:rPr>
          </w:pPr>
          <w:hyperlink w:anchor="_Toc170742440" w:history="1">
            <w:r w:rsidR="00FF64C8" w:rsidRPr="0029147F">
              <w:rPr>
                <w:rStyle w:val="Hyperlink"/>
                <w:rFonts w:ascii="Aptos" w:hAnsi="Aptos"/>
                <w:noProof/>
              </w:rPr>
              <w:t>Migration patterns</w:t>
            </w:r>
            <w:r w:rsidR="00FF64C8">
              <w:rPr>
                <w:noProof/>
                <w:webHidden/>
              </w:rPr>
              <w:tab/>
            </w:r>
            <w:r w:rsidR="00FF64C8">
              <w:rPr>
                <w:noProof/>
                <w:webHidden/>
              </w:rPr>
              <w:fldChar w:fldCharType="begin"/>
            </w:r>
            <w:r w:rsidR="00FF64C8">
              <w:rPr>
                <w:noProof/>
                <w:webHidden/>
              </w:rPr>
              <w:instrText xml:space="preserve"> PAGEREF _Toc170742440 \h </w:instrText>
            </w:r>
            <w:r w:rsidR="00FF64C8">
              <w:rPr>
                <w:noProof/>
                <w:webHidden/>
              </w:rPr>
            </w:r>
            <w:r w:rsidR="00FF64C8">
              <w:rPr>
                <w:noProof/>
                <w:webHidden/>
              </w:rPr>
              <w:fldChar w:fldCharType="separate"/>
            </w:r>
            <w:r w:rsidR="00FF64C8">
              <w:rPr>
                <w:noProof/>
                <w:webHidden/>
              </w:rPr>
              <w:t>7</w:t>
            </w:r>
            <w:r w:rsidR="00FF64C8">
              <w:rPr>
                <w:noProof/>
                <w:webHidden/>
              </w:rPr>
              <w:fldChar w:fldCharType="end"/>
            </w:r>
          </w:hyperlink>
        </w:p>
        <w:p w14:paraId="79391035" w14:textId="2C16B3D7" w:rsidR="00FF64C8" w:rsidRDefault="00000000">
          <w:pPr>
            <w:pStyle w:val="TOC3"/>
            <w:tabs>
              <w:tab w:val="right" w:leader="dot" w:pos="9016"/>
            </w:tabs>
            <w:rPr>
              <w:rFonts w:eastAsiaTheme="minorEastAsia" w:cstheme="minorBidi"/>
              <w:noProof/>
              <w:kern w:val="2"/>
              <w:sz w:val="24"/>
              <w:szCs w:val="24"/>
              <w:lang w:eastAsia="zh-CN"/>
              <w14:ligatures w14:val="standardContextual"/>
            </w:rPr>
          </w:pPr>
          <w:hyperlink w:anchor="_Toc170742441" w:history="1">
            <w:r w:rsidR="00FF64C8" w:rsidRPr="0029147F">
              <w:rPr>
                <w:rStyle w:val="Hyperlink"/>
                <w:rFonts w:ascii="Aptos" w:hAnsi="Aptos"/>
                <w:noProof/>
              </w:rPr>
              <w:t>Chances of permanent residence grants increasing</w:t>
            </w:r>
            <w:r w:rsidR="00FF64C8">
              <w:rPr>
                <w:noProof/>
                <w:webHidden/>
              </w:rPr>
              <w:tab/>
            </w:r>
            <w:r w:rsidR="00FF64C8">
              <w:rPr>
                <w:noProof/>
                <w:webHidden/>
              </w:rPr>
              <w:fldChar w:fldCharType="begin"/>
            </w:r>
            <w:r w:rsidR="00FF64C8">
              <w:rPr>
                <w:noProof/>
                <w:webHidden/>
              </w:rPr>
              <w:instrText xml:space="preserve"> PAGEREF _Toc170742441 \h </w:instrText>
            </w:r>
            <w:r w:rsidR="00FF64C8">
              <w:rPr>
                <w:noProof/>
                <w:webHidden/>
              </w:rPr>
            </w:r>
            <w:r w:rsidR="00FF64C8">
              <w:rPr>
                <w:noProof/>
                <w:webHidden/>
              </w:rPr>
              <w:fldChar w:fldCharType="separate"/>
            </w:r>
            <w:r w:rsidR="00FF64C8">
              <w:rPr>
                <w:noProof/>
                <w:webHidden/>
              </w:rPr>
              <w:t>8</w:t>
            </w:r>
            <w:r w:rsidR="00FF64C8">
              <w:rPr>
                <w:noProof/>
                <w:webHidden/>
              </w:rPr>
              <w:fldChar w:fldCharType="end"/>
            </w:r>
          </w:hyperlink>
        </w:p>
        <w:p w14:paraId="1D2FAFB3" w14:textId="1380C218" w:rsidR="00FF64C8" w:rsidRDefault="00000000">
          <w:pPr>
            <w:pStyle w:val="TOC3"/>
            <w:tabs>
              <w:tab w:val="right" w:leader="dot" w:pos="9016"/>
            </w:tabs>
            <w:rPr>
              <w:rFonts w:eastAsiaTheme="minorEastAsia" w:cstheme="minorBidi"/>
              <w:noProof/>
              <w:kern w:val="2"/>
              <w:sz w:val="24"/>
              <w:szCs w:val="24"/>
              <w:lang w:eastAsia="zh-CN"/>
              <w14:ligatures w14:val="standardContextual"/>
            </w:rPr>
          </w:pPr>
          <w:hyperlink w:anchor="_Toc170742442" w:history="1">
            <w:r w:rsidR="00FF64C8" w:rsidRPr="0029147F">
              <w:rPr>
                <w:rStyle w:val="Hyperlink"/>
                <w:rFonts w:ascii="Aptos" w:hAnsi="Aptos"/>
                <w:noProof/>
              </w:rPr>
              <w:t>Courses with placement constraints</w:t>
            </w:r>
            <w:r w:rsidR="00FF64C8">
              <w:rPr>
                <w:noProof/>
                <w:webHidden/>
              </w:rPr>
              <w:tab/>
            </w:r>
            <w:r w:rsidR="00FF64C8">
              <w:rPr>
                <w:noProof/>
                <w:webHidden/>
              </w:rPr>
              <w:fldChar w:fldCharType="begin"/>
            </w:r>
            <w:r w:rsidR="00FF64C8">
              <w:rPr>
                <w:noProof/>
                <w:webHidden/>
              </w:rPr>
              <w:instrText xml:space="preserve"> PAGEREF _Toc170742442 \h </w:instrText>
            </w:r>
            <w:r w:rsidR="00FF64C8">
              <w:rPr>
                <w:noProof/>
                <w:webHidden/>
              </w:rPr>
            </w:r>
            <w:r w:rsidR="00FF64C8">
              <w:rPr>
                <w:noProof/>
                <w:webHidden/>
              </w:rPr>
              <w:fldChar w:fldCharType="separate"/>
            </w:r>
            <w:r w:rsidR="00FF64C8">
              <w:rPr>
                <w:noProof/>
                <w:webHidden/>
              </w:rPr>
              <w:t>9</w:t>
            </w:r>
            <w:r w:rsidR="00FF64C8">
              <w:rPr>
                <w:noProof/>
                <w:webHidden/>
              </w:rPr>
              <w:fldChar w:fldCharType="end"/>
            </w:r>
          </w:hyperlink>
        </w:p>
        <w:p w14:paraId="497435FA" w14:textId="7C0F9600" w:rsidR="00FF64C8" w:rsidRDefault="00000000">
          <w:pPr>
            <w:pStyle w:val="TOC1"/>
            <w:tabs>
              <w:tab w:val="left" w:pos="480"/>
              <w:tab w:val="right" w:leader="dot" w:pos="9016"/>
            </w:tabs>
            <w:rPr>
              <w:rFonts w:eastAsiaTheme="minorEastAsia" w:cstheme="minorBidi"/>
              <w:b w:val="0"/>
              <w:bCs w:val="0"/>
              <w:i w:val="0"/>
              <w:iCs w:val="0"/>
              <w:noProof/>
              <w:kern w:val="2"/>
              <w:lang w:eastAsia="zh-CN"/>
              <w14:ligatures w14:val="standardContextual"/>
            </w:rPr>
          </w:pPr>
          <w:hyperlink w:anchor="_Toc170742443" w:history="1">
            <w:r w:rsidR="00FF64C8" w:rsidRPr="0029147F">
              <w:rPr>
                <w:rStyle w:val="Hyperlink"/>
                <w:rFonts w:ascii="Aptos" w:hAnsi="Aptos" w:cs="Arial"/>
                <w:noProof/>
              </w:rPr>
              <w:t>3.</w:t>
            </w:r>
            <w:r w:rsidR="00FF64C8">
              <w:rPr>
                <w:rFonts w:eastAsiaTheme="minorEastAsia" w:cstheme="minorBidi"/>
                <w:b w:val="0"/>
                <w:bCs w:val="0"/>
                <w:i w:val="0"/>
                <w:iCs w:val="0"/>
                <w:noProof/>
                <w:kern w:val="2"/>
                <w:lang w:eastAsia="zh-CN"/>
                <w14:ligatures w14:val="standardContextual"/>
              </w:rPr>
              <w:tab/>
            </w:r>
            <w:r w:rsidR="00FF64C8" w:rsidRPr="0029147F">
              <w:rPr>
                <w:rStyle w:val="Hyperlink"/>
                <w:rFonts w:ascii="Aptos" w:hAnsi="Aptos" w:cs="Arial"/>
                <w:noProof/>
              </w:rPr>
              <w:t>Trying to put international students in locations that don’t suit them</w:t>
            </w:r>
            <w:r w:rsidR="00FF64C8">
              <w:rPr>
                <w:noProof/>
                <w:webHidden/>
              </w:rPr>
              <w:tab/>
            </w:r>
            <w:r w:rsidR="00FF64C8">
              <w:rPr>
                <w:noProof/>
                <w:webHidden/>
              </w:rPr>
              <w:fldChar w:fldCharType="begin"/>
            </w:r>
            <w:r w:rsidR="00FF64C8">
              <w:rPr>
                <w:noProof/>
                <w:webHidden/>
              </w:rPr>
              <w:instrText xml:space="preserve"> PAGEREF _Toc170742443 \h </w:instrText>
            </w:r>
            <w:r w:rsidR="00FF64C8">
              <w:rPr>
                <w:noProof/>
                <w:webHidden/>
              </w:rPr>
            </w:r>
            <w:r w:rsidR="00FF64C8">
              <w:rPr>
                <w:noProof/>
                <w:webHidden/>
              </w:rPr>
              <w:fldChar w:fldCharType="separate"/>
            </w:r>
            <w:r w:rsidR="00FF64C8">
              <w:rPr>
                <w:noProof/>
                <w:webHidden/>
              </w:rPr>
              <w:t>11</w:t>
            </w:r>
            <w:r w:rsidR="00FF64C8">
              <w:rPr>
                <w:noProof/>
                <w:webHidden/>
              </w:rPr>
              <w:fldChar w:fldCharType="end"/>
            </w:r>
          </w:hyperlink>
        </w:p>
        <w:p w14:paraId="0A478A65" w14:textId="3038A91B" w:rsidR="00FF64C8" w:rsidRDefault="00000000">
          <w:pPr>
            <w:pStyle w:val="TOC3"/>
            <w:tabs>
              <w:tab w:val="right" w:leader="dot" w:pos="9016"/>
            </w:tabs>
            <w:rPr>
              <w:rFonts w:eastAsiaTheme="minorEastAsia" w:cstheme="minorBidi"/>
              <w:noProof/>
              <w:kern w:val="2"/>
              <w:sz w:val="24"/>
              <w:szCs w:val="24"/>
              <w:lang w:eastAsia="zh-CN"/>
              <w14:ligatures w14:val="standardContextual"/>
            </w:rPr>
          </w:pPr>
          <w:hyperlink w:anchor="_Toc170742444" w:history="1">
            <w:r w:rsidR="00FF64C8" w:rsidRPr="0029147F">
              <w:rPr>
                <w:rStyle w:val="Hyperlink"/>
                <w:rFonts w:ascii="Aptos" w:hAnsi="Aptos"/>
                <w:noProof/>
              </w:rPr>
              <w:t>Regional universities offer lower fees</w:t>
            </w:r>
            <w:r w:rsidR="00FF64C8">
              <w:rPr>
                <w:noProof/>
                <w:webHidden/>
              </w:rPr>
              <w:tab/>
            </w:r>
            <w:r w:rsidR="00FF64C8">
              <w:rPr>
                <w:noProof/>
                <w:webHidden/>
              </w:rPr>
              <w:fldChar w:fldCharType="begin"/>
            </w:r>
            <w:r w:rsidR="00FF64C8">
              <w:rPr>
                <w:noProof/>
                <w:webHidden/>
              </w:rPr>
              <w:instrText xml:space="preserve"> PAGEREF _Toc170742444 \h </w:instrText>
            </w:r>
            <w:r w:rsidR="00FF64C8">
              <w:rPr>
                <w:noProof/>
                <w:webHidden/>
              </w:rPr>
            </w:r>
            <w:r w:rsidR="00FF64C8">
              <w:rPr>
                <w:noProof/>
                <w:webHidden/>
              </w:rPr>
              <w:fldChar w:fldCharType="separate"/>
            </w:r>
            <w:r w:rsidR="00FF64C8">
              <w:rPr>
                <w:noProof/>
                <w:webHidden/>
              </w:rPr>
              <w:t>11</w:t>
            </w:r>
            <w:r w:rsidR="00FF64C8">
              <w:rPr>
                <w:noProof/>
                <w:webHidden/>
              </w:rPr>
              <w:fldChar w:fldCharType="end"/>
            </w:r>
          </w:hyperlink>
        </w:p>
        <w:p w14:paraId="7594FE9C" w14:textId="37E7F23D" w:rsidR="00FF64C8" w:rsidRDefault="00000000">
          <w:pPr>
            <w:pStyle w:val="TOC3"/>
            <w:tabs>
              <w:tab w:val="right" w:leader="dot" w:pos="9016"/>
            </w:tabs>
            <w:rPr>
              <w:rFonts w:eastAsiaTheme="minorEastAsia" w:cstheme="minorBidi"/>
              <w:noProof/>
              <w:kern w:val="2"/>
              <w:sz w:val="24"/>
              <w:szCs w:val="24"/>
              <w:lang w:eastAsia="zh-CN"/>
              <w14:ligatures w14:val="standardContextual"/>
            </w:rPr>
          </w:pPr>
          <w:hyperlink w:anchor="_Toc170742445" w:history="1">
            <w:r w:rsidR="00FF64C8" w:rsidRPr="0029147F">
              <w:rPr>
                <w:rStyle w:val="Hyperlink"/>
                <w:rFonts w:ascii="Aptos" w:hAnsi="Aptos"/>
                <w:noProof/>
              </w:rPr>
              <w:t>Studying outside of Melbourne Sydney &amp; Brisbane has migration advantages</w:t>
            </w:r>
            <w:r w:rsidR="00FF64C8">
              <w:rPr>
                <w:noProof/>
                <w:webHidden/>
              </w:rPr>
              <w:tab/>
            </w:r>
            <w:r w:rsidR="00FF64C8">
              <w:rPr>
                <w:noProof/>
                <w:webHidden/>
              </w:rPr>
              <w:fldChar w:fldCharType="begin"/>
            </w:r>
            <w:r w:rsidR="00FF64C8">
              <w:rPr>
                <w:noProof/>
                <w:webHidden/>
              </w:rPr>
              <w:instrText xml:space="preserve"> PAGEREF _Toc170742445 \h </w:instrText>
            </w:r>
            <w:r w:rsidR="00FF64C8">
              <w:rPr>
                <w:noProof/>
                <w:webHidden/>
              </w:rPr>
            </w:r>
            <w:r w:rsidR="00FF64C8">
              <w:rPr>
                <w:noProof/>
                <w:webHidden/>
              </w:rPr>
              <w:fldChar w:fldCharType="separate"/>
            </w:r>
            <w:r w:rsidR="00FF64C8">
              <w:rPr>
                <w:noProof/>
                <w:webHidden/>
              </w:rPr>
              <w:t>11</w:t>
            </w:r>
            <w:r w:rsidR="00FF64C8">
              <w:rPr>
                <w:noProof/>
                <w:webHidden/>
              </w:rPr>
              <w:fldChar w:fldCharType="end"/>
            </w:r>
          </w:hyperlink>
        </w:p>
        <w:p w14:paraId="6FF8902B" w14:textId="673D1165" w:rsidR="00FF64C8" w:rsidRDefault="00000000">
          <w:pPr>
            <w:pStyle w:val="TOC3"/>
            <w:tabs>
              <w:tab w:val="right" w:leader="dot" w:pos="9016"/>
            </w:tabs>
            <w:rPr>
              <w:rFonts w:eastAsiaTheme="minorEastAsia" w:cstheme="minorBidi"/>
              <w:noProof/>
              <w:kern w:val="2"/>
              <w:sz w:val="24"/>
              <w:szCs w:val="24"/>
              <w:lang w:eastAsia="zh-CN"/>
              <w14:ligatures w14:val="standardContextual"/>
            </w:rPr>
          </w:pPr>
          <w:hyperlink w:anchor="_Toc170742446" w:history="1">
            <w:r w:rsidR="00FF64C8" w:rsidRPr="0029147F">
              <w:rPr>
                <w:rStyle w:val="Hyperlink"/>
                <w:rFonts w:ascii="Aptos" w:hAnsi="Aptos"/>
                <w:noProof/>
              </w:rPr>
              <w:t>Regional universities have lost enrolment share</w:t>
            </w:r>
            <w:r w:rsidR="00FF64C8">
              <w:rPr>
                <w:noProof/>
                <w:webHidden/>
              </w:rPr>
              <w:tab/>
            </w:r>
            <w:r w:rsidR="00FF64C8">
              <w:rPr>
                <w:noProof/>
                <w:webHidden/>
              </w:rPr>
              <w:fldChar w:fldCharType="begin"/>
            </w:r>
            <w:r w:rsidR="00FF64C8">
              <w:rPr>
                <w:noProof/>
                <w:webHidden/>
              </w:rPr>
              <w:instrText xml:space="preserve"> PAGEREF _Toc170742446 \h </w:instrText>
            </w:r>
            <w:r w:rsidR="00FF64C8">
              <w:rPr>
                <w:noProof/>
                <w:webHidden/>
              </w:rPr>
            </w:r>
            <w:r w:rsidR="00FF64C8">
              <w:rPr>
                <w:noProof/>
                <w:webHidden/>
              </w:rPr>
              <w:fldChar w:fldCharType="separate"/>
            </w:r>
            <w:r w:rsidR="00FF64C8">
              <w:rPr>
                <w:noProof/>
                <w:webHidden/>
              </w:rPr>
              <w:t>12</w:t>
            </w:r>
            <w:r w:rsidR="00FF64C8">
              <w:rPr>
                <w:noProof/>
                <w:webHidden/>
              </w:rPr>
              <w:fldChar w:fldCharType="end"/>
            </w:r>
          </w:hyperlink>
        </w:p>
        <w:p w14:paraId="2DBFB83C" w14:textId="6FD9D093" w:rsidR="00FF64C8" w:rsidRDefault="00000000">
          <w:pPr>
            <w:pStyle w:val="TOC3"/>
            <w:tabs>
              <w:tab w:val="right" w:leader="dot" w:pos="9016"/>
            </w:tabs>
            <w:rPr>
              <w:rFonts w:eastAsiaTheme="minorEastAsia" w:cstheme="minorBidi"/>
              <w:noProof/>
              <w:kern w:val="2"/>
              <w:sz w:val="24"/>
              <w:szCs w:val="24"/>
              <w:lang w:eastAsia="zh-CN"/>
              <w14:ligatures w14:val="standardContextual"/>
            </w:rPr>
          </w:pPr>
          <w:hyperlink w:anchor="_Toc170742447" w:history="1">
            <w:r w:rsidR="00FF64C8" w:rsidRPr="0029147F">
              <w:rPr>
                <w:rStyle w:val="Hyperlink"/>
                <w:rFonts w:ascii="Aptos" w:hAnsi="Aptos"/>
                <w:noProof/>
              </w:rPr>
              <w:t>Reasons why international students prefer major cities</w:t>
            </w:r>
            <w:r w:rsidR="00FF64C8">
              <w:rPr>
                <w:noProof/>
                <w:webHidden/>
              </w:rPr>
              <w:tab/>
            </w:r>
            <w:r w:rsidR="00FF64C8">
              <w:rPr>
                <w:noProof/>
                <w:webHidden/>
              </w:rPr>
              <w:fldChar w:fldCharType="begin"/>
            </w:r>
            <w:r w:rsidR="00FF64C8">
              <w:rPr>
                <w:noProof/>
                <w:webHidden/>
              </w:rPr>
              <w:instrText xml:space="preserve"> PAGEREF _Toc170742447 \h </w:instrText>
            </w:r>
            <w:r w:rsidR="00FF64C8">
              <w:rPr>
                <w:noProof/>
                <w:webHidden/>
              </w:rPr>
            </w:r>
            <w:r w:rsidR="00FF64C8">
              <w:rPr>
                <w:noProof/>
                <w:webHidden/>
              </w:rPr>
              <w:fldChar w:fldCharType="separate"/>
            </w:r>
            <w:r w:rsidR="00FF64C8">
              <w:rPr>
                <w:noProof/>
                <w:webHidden/>
              </w:rPr>
              <w:t>13</w:t>
            </w:r>
            <w:r w:rsidR="00FF64C8">
              <w:rPr>
                <w:noProof/>
                <w:webHidden/>
              </w:rPr>
              <w:fldChar w:fldCharType="end"/>
            </w:r>
          </w:hyperlink>
        </w:p>
        <w:p w14:paraId="2F0B9DF4" w14:textId="79177717" w:rsidR="00FF64C8" w:rsidRDefault="00000000">
          <w:pPr>
            <w:pStyle w:val="TOC3"/>
            <w:tabs>
              <w:tab w:val="right" w:leader="dot" w:pos="9016"/>
            </w:tabs>
            <w:rPr>
              <w:rFonts w:eastAsiaTheme="minorEastAsia" w:cstheme="minorBidi"/>
              <w:noProof/>
              <w:kern w:val="2"/>
              <w:sz w:val="24"/>
              <w:szCs w:val="24"/>
              <w:lang w:eastAsia="zh-CN"/>
              <w14:ligatures w14:val="standardContextual"/>
            </w:rPr>
          </w:pPr>
          <w:hyperlink w:anchor="_Toc170742448" w:history="1">
            <w:r w:rsidR="00FF64C8" w:rsidRPr="0029147F">
              <w:rPr>
                <w:rStyle w:val="Hyperlink"/>
                <w:rFonts w:ascii="Aptos" w:hAnsi="Aptos"/>
                <w:noProof/>
              </w:rPr>
              <w:t>Policy coherence</w:t>
            </w:r>
            <w:r w:rsidR="00FF64C8">
              <w:rPr>
                <w:noProof/>
                <w:webHidden/>
              </w:rPr>
              <w:tab/>
            </w:r>
            <w:r w:rsidR="00FF64C8">
              <w:rPr>
                <w:noProof/>
                <w:webHidden/>
              </w:rPr>
              <w:fldChar w:fldCharType="begin"/>
            </w:r>
            <w:r w:rsidR="00FF64C8">
              <w:rPr>
                <w:noProof/>
                <w:webHidden/>
              </w:rPr>
              <w:instrText xml:space="preserve"> PAGEREF _Toc170742448 \h </w:instrText>
            </w:r>
            <w:r w:rsidR="00FF64C8">
              <w:rPr>
                <w:noProof/>
                <w:webHidden/>
              </w:rPr>
            </w:r>
            <w:r w:rsidR="00FF64C8">
              <w:rPr>
                <w:noProof/>
                <w:webHidden/>
              </w:rPr>
              <w:fldChar w:fldCharType="separate"/>
            </w:r>
            <w:r w:rsidR="00FF64C8">
              <w:rPr>
                <w:noProof/>
                <w:webHidden/>
              </w:rPr>
              <w:t>13</w:t>
            </w:r>
            <w:r w:rsidR="00FF64C8">
              <w:rPr>
                <w:noProof/>
                <w:webHidden/>
              </w:rPr>
              <w:fldChar w:fldCharType="end"/>
            </w:r>
          </w:hyperlink>
        </w:p>
        <w:p w14:paraId="6BB77068" w14:textId="0D60DA87" w:rsidR="00FF64C8" w:rsidRDefault="00000000">
          <w:pPr>
            <w:pStyle w:val="TOC1"/>
            <w:tabs>
              <w:tab w:val="left" w:pos="480"/>
              <w:tab w:val="right" w:leader="dot" w:pos="9016"/>
            </w:tabs>
            <w:rPr>
              <w:rFonts w:eastAsiaTheme="minorEastAsia" w:cstheme="minorBidi"/>
              <w:b w:val="0"/>
              <w:bCs w:val="0"/>
              <w:i w:val="0"/>
              <w:iCs w:val="0"/>
              <w:noProof/>
              <w:kern w:val="2"/>
              <w:lang w:eastAsia="zh-CN"/>
              <w14:ligatures w14:val="standardContextual"/>
            </w:rPr>
          </w:pPr>
          <w:hyperlink w:anchor="_Toc170742449" w:history="1">
            <w:r w:rsidR="00FF64C8" w:rsidRPr="0029147F">
              <w:rPr>
                <w:rStyle w:val="Hyperlink"/>
                <w:rFonts w:ascii="Aptos" w:hAnsi="Aptos" w:cs="Arial"/>
                <w:noProof/>
              </w:rPr>
              <w:t>4.</w:t>
            </w:r>
            <w:r w:rsidR="00FF64C8">
              <w:rPr>
                <w:rFonts w:eastAsiaTheme="minorEastAsia" w:cstheme="minorBidi"/>
                <w:b w:val="0"/>
                <w:bCs w:val="0"/>
                <w:i w:val="0"/>
                <w:iCs w:val="0"/>
                <w:noProof/>
                <w:kern w:val="2"/>
                <w:lang w:eastAsia="zh-CN"/>
                <w14:ligatures w14:val="standardContextual"/>
              </w:rPr>
              <w:tab/>
            </w:r>
            <w:r w:rsidR="00FF64C8" w:rsidRPr="0029147F">
              <w:rPr>
                <w:rStyle w:val="Hyperlink"/>
                <w:rFonts w:ascii="Aptos" w:hAnsi="Aptos"/>
                <w:noProof/>
              </w:rPr>
              <w:t>Stranded places by university and course</w:t>
            </w:r>
            <w:r w:rsidR="00FF64C8">
              <w:rPr>
                <w:noProof/>
                <w:webHidden/>
              </w:rPr>
              <w:tab/>
            </w:r>
            <w:r w:rsidR="00FF64C8">
              <w:rPr>
                <w:noProof/>
                <w:webHidden/>
              </w:rPr>
              <w:fldChar w:fldCharType="begin"/>
            </w:r>
            <w:r w:rsidR="00FF64C8">
              <w:rPr>
                <w:noProof/>
                <w:webHidden/>
              </w:rPr>
              <w:instrText xml:space="preserve"> PAGEREF _Toc170742449 \h </w:instrText>
            </w:r>
            <w:r w:rsidR="00FF64C8">
              <w:rPr>
                <w:noProof/>
                <w:webHidden/>
              </w:rPr>
            </w:r>
            <w:r w:rsidR="00FF64C8">
              <w:rPr>
                <w:noProof/>
                <w:webHidden/>
              </w:rPr>
              <w:fldChar w:fldCharType="separate"/>
            </w:r>
            <w:r w:rsidR="00FF64C8">
              <w:rPr>
                <w:noProof/>
                <w:webHidden/>
              </w:rPr>
              <w:t>15</w:t>
            </w:r>
            <w:r w:rsidR="00FF64C8">
              <w:rPr>
                <w:noProof/>
                <w:webHidden/>
              </w:rPr>
              <w:fldChar w:fldCharType="end"/>
            </w:r>
          </w:hyperlink>
        </w:p>
        <w:p w14:paraId="77602CA8" w14:textId="03A46642" w:rsidR="00FF64C8" w:rsidRDefault="00000000">
          <w:pPr>
            <w:pStyle w:val="TOC1"/>
            <w:tabs>
              <w:tab w:val="left" w:pos="480"/>
              <w:tab w:val="right" w:leader="dot" w:pos="9016"/>
            </w:tabs>
            <w:rPr>
              <w:rFonts w:eastAsiaTheme="minorEastAsia" w:cstheme="minorBidi"/>
              <w:b w:val="0"/>
              <w:bCs w:val="0"/>
              <w:i w:val="0"/>
              <w:iCs w:val="0"/>
              <w:noProof/>
              <w:kern w:val="2"/>
              <w:lang w:eastAsia="zh-CN"/>
              <w14:ligatures w14:val="standardContextual"/>
            </w:rPr>
          </w:pPr>
          <w:hyperlink w:anchor="_Toc170742450" w:history="1">
            <w:r w:rsidR="00FF64C8" w:rsidRPr="0029147F">
              <w:rPr>
                <w:rStyle w:val="Hyperlink"/>
                <w:rFonts w:ascii="Aptos" w:hAnsi="Aptos" w:cs="Arial"/>
                <w:noProof/>
              </w:rPr>
              <w:t>5.</w:t>
            </w:r>
            <w:r w:rsidR="00FF64C8">
              <w:rPr>
                <w:rFonts w:eastAsiaTheme="minorEastAsia" w:cstheme="minorBidi"/>
                <w:b w:val="0"/>
                <w:bCs w:val="0"/>
                <w:i w:val="0"/>
                <w:iCs w:val="0"/>
                <w:noProof/>
                <w:kern w:val="2"/>
                <w:lang w:eastAsia="zh-CN"/>
                <w14:ligatures w14:val="standardContextual"/>
              </w:rPr>
              <w:tab/>
            </w:r>
            <w:r w:rsidR="00FF64C8" w:rsidRPr="0029147F">
              <w:rPr>
                <w:rStyle w:val="Hyperlink"/>
                <w:rFonts w:ascii="Aptos" w:hAnsi="Aptos"/>
                <w:noProof/>
              </w:rPr>
              <w:t>The effects of harsh penalties for breaching an enrolment cap</w:t>
            </w:r>
            <w:r w:rsidR="00FF64C8">
              <w:rPr>
                <w:noProof/>
                <w:webHidden/>
              </w:rPr>
              <w:tab/>
            </w:r>
            <w:r w:rsidR="00FF64C8">
              <w:rPr>
                <w:noProof/>
                <w:webHidden/>
              </w:rPr>
              <w:fldChar w:fldCharType="begin"/>
            </w:r>
            <w:r w:rsidR="00FF64C8">
              <w:rPr>
                <w:noProof/>
                <w:webHidden/>
              </w:rPr>
              <w:instrText xml:space="preserve"> PAGEREF _Toc170742450 \h </w:instrText>
            </w:r>
            <w:r w:rsidR="00FF64C8">
              <w:rPr>
                <w:noProof/>
                <w:webHidden/>
              </w:rPr>
            </w:r>
            <w:r w:rsidR="00FF64C8">
              <w:rPr>
                <w:noProof/>
                <w:webHidden/>
              </w:rPr>
              <w:fldChar w:fldCharType="separate"/>
            </w:r>
            <w:r w:rsidR="00FF64C8">
              <w:rPr>
                <w:noProof/>
                <w:webHidden/>
              </w:rPr>
              <w:t>17</w:t>
            </w:r>
            <w:r w:rsidR="00FF64C8">
              <w:rPr>
                <w:noProof/>
                <w:webHidden/>
              </w:rPr>
              <w:fldChar w:fldCharType="end"/>
            </w:r>
          </w:hyperlink>
        </w:p>
        <w:p w14:paraId="3F9E1202" w14:textId="1FE31E8D" w:rsidR="00FF64C8" w:rsidRDefault="00000000">
          <w:pPr>
            <w:pStyle w:val="TOC3"/>
            <w:tabs>
              <w:tab w:val="right" w:leader="dot" w:pos="9016"/>
            </w:tabs>
            <w:rPr>
              <w:rFonts w:eastAsiaTheme="minorEastAsia" w:cstheme="minorBidi"/>
              <w:noProof/>
              <w:kern w:val="2"/>
              <w:sz w:val="24"/>
              <w:szCs w:val="24"/>
              <w:lang w:eastAsia="zh-CN"/>
              <w14:ligatures w14:val="standardContextual"/>
            </w:rPr>
          </w:pPr>
          <w:hyperlink w:anchor="_Toc170742451" w:history="1">
            <w:r w:rsidR="00FF64C8" w:rsidRPr="0029147F">
              <w:rPr>
                <w:rStyle w:val="Hyperlink"/>
                <w:rFonts w:ascii="Aptos" w:hAnsi="Aptos"/>
                <w:noProof/>
              </w:rPr>
              <w:t>Consequences of exceeding the cap</w:t>
            </w:r>
            <w:r w:rsidR="00FF64C8">
              <w:rPr>
                <w:noProof/>
                <w:webHidden/>
              </w:rPr>
              <w:tab/>
            </w:r>
            <w:r w:rsidR="00FF64C8">
              <w:rPr>
                <w:noProof/>
                <w:webHidden/>
              </w:rPr>
              <w:fldChar w:fldCharType="begin"/>
            </w:r>
            <w:r w:rsidR="00FF64C8">
              <w:rPr>
                <w:noProof/>
                <w:webHidden/>
              </w:rPr>
              <w:instrText xml:space="preserve"> PAGEREF _Toc170742451 \h </w:instrText>
            </w:r>
            <w:r w:rsidR="00FF64C8">
              <w:rPr>
                <w:noProof/>
                <w:webHidden/>
              </w:rPr>
            </w:r>
            <w:r w:rsidR="00FF64C8">
              <w:rPr>
                <w:noProof/>
                <w:webHidden/>
              </w:rPr>
              <w:fldChar w:fldCharType="separate"/>
            </w:r>
            <w:r w:rsidR="00FF64C8">
              <w:rPr>
                <w:noProof/>
                <w:webHidden/>
              </w:rPr>
              <w:t>17</w:t>
            </w:r>
            <w:r w:rsidR="00FF64C8">
              <w:rPr>
                <w:noProof/>
                <w:webHidden/>
              </w:rPr>
              <w:fldChar w:fldCharType="end"/>
            </w:r>
          </w:hyperlink>
        </w:p>
        <w:p w14:paraId="2E259CA3" w14:textId="167BBE85" w:rsidR="00FF64C8" w:rsidRDefault="00000000">
          <w:pPr>
            <w:pStyle w:val="TOC3"/>
            <w:tabs>
              <w:tab w:val="right" w:leader="dot" w:pos="9016"/>
            </w:tabs>
            <w:rPr>
              <w:rFonts w:eastAsiaTheme="minorEastAsia" w:cstheme="minorBidi"/>
              <w:noProof/>
              <w:kern w:val="2"/>
              <w:sz w:val="24"/>
              <w:szCs w:val="24"/>
              <w:lang w:eastAsia="zh-CN"/>
              <w14:ligatures w14:val="standardContextual"/>
            </w:rPr>
          </w:pPr>
          <w:hyperlink w:anchor="_Toc170742452" w:history="1">
            <w:r w:rsidR="00FF64C8" w:rsidRPr="0029147F">
              <w:rPr>
                <w:rStyle w:val="Hyperlink"/>
                <w:rFonts w:ascii="Aptos" w:hAnsi="Aptos"/>
                <w:noProof/>
              </w:rPr>
              <w:t>Hitting a precise enrolment target is not easy</w:t>
            </w:r>
            <w:r w:rsidR="00FF64C8">
              <w:rPr>
                <w:noProof/>
                <w:webHidden/>
              </w:rPr>
              <w:tab/>
            </w:r>
            <w:r w:rsidR="00FF64C8">
              <w:rPr>
                <w:noProof/>
                <w:webHidden/>
              </w:rPr>
              <w:fldChar w:fldCharType="begin"/>
            </w:r>
            <w:r w:rsidR="00FF64C8">
              <w:rPr>
                <w:noProof/>
                <w:webHidden/>
              </w:rPr>
              <w:instrText xml:space="preserve"> PAGEREF _Toc170742452 \h </w:instrText>
            </w:r>
            <w:r w:rsidR="00FF64C8">
              <w:rPr>
                <w:noProof/>
                <w:webHidden/>
              </w:rPr>
            </w:r>
            <w:r w:rsidR="00FF64C8">
              <w:rPr>
                <w:noProof/>
                <w:webHidden/>
              </w:rPr>
              <w:fldChar w:fldCharType="separate"/>
            </w:r>
            <w:r w:rsidR="00FF64C8">
              <w:rPr>
                <w:noProof/>
                <w:webHidden/>
              </w:rPr>
              <w:t>17</w:t>
            </w:r>
            <w:r w:rsidR="00FF64C8">
              <w:rPr>
                <w:noProof/>
                <w:webHidden/>
              </w:rPr>
              <w:fldChar w:fldCharType="end"/>
            </w:r>
          </w:hyperlink>
        </w:p>
        <w:p w14:paraId="73F6DEBF" w14:textId="11C74F04" w:rsidR="00FF64C8" w:rsidRDefault="00000000">
          <w:pPr>
            <w:pStyle w:val="TOC3"/>
            <w:tabs>
              <w:tab w:val="right" w:leader="dot" w:pos="9016"/>
            </w:tabs>
            <w:rPr>
              <w:rFonts w:eastAsiaTheme="minorEastAsia" w:cstheme="minorBidi"/>
              <w:noProof/>
              <w:kern w:val="2"/>
              <w:sz w:val="24"/>
              <w:szCs w:val="24"/>
              <w:lang w:eastAsia="zh-CN"/>
              <w14:ligatures w14:val="standardContextual"/>
            </w:rPr>
          </w:pPr>
          <w:hyperlink w:anchor="_Toc170742453" w:history="1">
            <w:r w:rsidR="00FF64C8" w:rsidRPr="0029147F">
              <w:rPr>
                <w:rStyle w:val="Hyperlink"/>
                <w:rFonts w:ascii="Aptos" w:hAnsi="Aptos"/>
                <w:noProof/>
              </w:rPr>
              <w:t>Getting the enrolment ban lifted</w:t>
            </w:r>
            <w:r w:rsidR="00FF64C8">
              <w:rPr>
                <w:noProof/>
                <w:webHidden/>
              </w:rPr>
              <w:tab/>
            </w:r>
            <w:r w:rsidR="00FF64C8">
              <w:rPr>
                <w:noProof/>
                <w:webHidden/>
              </w:rPr>
              <w:fldChar w:fldCharType="begin"/>
            </w:r>
            <w:r w:rsidR="00FF64C8">
              <w:rPr>
                <w:noProof/>
                <w:webHidden/>
              </w:rPr>
              <w:instrText xml:space="preserve"> PAGEREF _Toc170742453 \h </w:instrText>
            </w:r>
            <w:r w:rsidR="00FF64C8">
              <w:rPr>
                <w:noProof/>
                <w:webHidden/>
              </w:rPr>
            </w:r>
            <w:r w:rsidR="00FF64C8">
              <w:rPr>
                <w:noProof/>
                <w:webHidden/>
              </w:rPr>
              <w:fldChar w:fldCharType="separate"/>
            </w:r>
            <w:r w:rsidR="00FF64C8">
              <w:rPr>
                <w:noProof/>
                <w:webHidden/>
              </w:rPr>
              <w:t>18</w:t>
            </w:r>
            <w:r w:rsidR="00FF64C8">
              <w:rPr>
                <w:noProof/>
                <w:webHidden/>
              </w:rPr>
              <w:fldChar w:fldCharType="end"/>
            </w:r>
          </w:hyperlink>
        </w:p>
        <w:p w14:paraId="60CC34CE" w14:textId="76CC2039" w:rsidR="00FF64C8" w:rsidRDefault="00000000">
          <w:pPr>
            <w:pStyle w:val="TOC3"/>
            <w:tabs>
              <w:tab w:val="right" w:leader="dot" w:pos="9016"/>
            </w:tabs>
            <w:rPr>
              <w:rFonts w:eastAsiaTheme="minorEastAsia" w:cstheme="minorBidi"/>
              <w:noProof/>
              <w:kern w:val="2"/>
              <w:sz w:val="24"/>
              <w:szCs w:val="24"/>
              <w:lang w:eastAsia="zh-CN"/>
              <w14:ligatures w14:val="standardContextual"/>
            </w:rPr>
          </w:pPr>
          <w:hyperlink w:anchor="_Toc170742454" w:history="1">
            <w:r w:rsidR="00FF64C8" w:rsidRPr="0029147F">
              <w:rPr>
                <w:rStyle w:val="Hyperlink"/>
                <w:rFonts w:ascii="Aptos" w:hAnsi="Aptos"/>
                <w:noProof/>
              </w:rPr>
              <w:t>Alternative enforcement</w:t>
            </w:r>
            <w:r w:rsidR="00FF64C8">
              <w:rPr>
                <w:noProof/>
                <w:webHidden/>
              </w:rPr>
              <w:tab/>
            </w:r>
            <w:r w:rsidR="00FF64C8">
              <w:rPr>
                <w:noProof/>
                <w:webHidden/>
              </w:rPr>
              <w:fldChar w:fldCharType="begin"/>
            </w:r>
            <w:r w:rsidR="00FF64C8">
              <w:rPr>
                <w:noProof/>
                <w:webHidden/>
              </w:rPr>
              <w:instrText xml:space="preserve"> PAGEREF _Toc170742454 \h </w:instrText>
            </w:r>
            <w:r w:rsidR="00FF64C8">
              <w:rPr>
                <w:noProof/>
                <w:webHidden/>
              </w:rPr>
            </w:r>
            <w:r w:rsidR="00FF64C8">
              <w:rPr>
                <w:noProof/>
                <w:webHidden/>
              </w:rPr>
              <w:fldChar w:fldCharType="separate"/>
            </w:r>
            <w:r w:rsidR="00FF64C8">
              <w:rPr>
                <w:noProof/>
                <w:webHidden/>
              </w:rPr>
              <w:t>18</w:t>
            </w:r>
            <w:r w:rsidR="00FF64C8">
              <w:rPr>
                <w:noProof/>
                <w:webHidden/>
              </w:rPr>
              <w:fldChar w:fldCharType="end"/>
            </w:r>
          </w:hyperlink>
        </w:p>
        <w:p w14:paraId="1512A093" w14:textId="7A730BB5" w:rsidR="00FF64C8" w:rsidRDefault="00000000">
          <w:pPr>
            <w:pStyle w:val="TOC1"/>
            <w:tabs>
              <w:tab w:val="left" w:pos="480"/>
              <w:tab w:val="right" w:leader="dot" w:pos="9016"/>
            </w:tabs>
            <w:rPr>
              <w:rFonts w:eastAsiaTheme="minorEastAsia" w:cstheme="minorBidi"/>
              <w:b w:val="0"/>
              <w:bCs w:val="0"/>
              <w:i w:val="0"/>
              <w:iCs w:val="0"/>
              <w:noProof/>
              <w:kern w:val="2"/>
              <w:lang w:eastAsia="zh-CN"/>
              <w14:ligatures w14:val="standardContextual"/>
            </w:rPr>
          </w:pPr>
          <w:hyperlink w:anchor="_Toc170742455" w:history="1">
            <w:r w:rsidR="00FF64C8" w:rsidRPr="0029147F">
              <w:rPr>
                <w:rStyle w:val="Hyperlink"/>
                <w:rFonts w:ascii="Aptos" w:hAnsi="Aptos" w:cs="Arial"/>
                <w:noProof/>
              </w:rPr>
              <w:t>6.</w:t>
            </w:r>
            <w:r w:rsidR="00FF64C8">
              <w:rPr>
                <w:rFonts w:eastAsiaTheme="minorEastAsia" w:cstheme="minorBidi"/>
                <w:b w:val="0"/>
                <w:bCs w:val="0"/>
                <w:i w:val="0"/>
                <w:iCs w:val="0"/>
                <w:noProof/>
                <w:kern w:val="2"/>
                <w:lang w:eastAsia="zh-CN"/>
                <w14:ligatures w14:val="standardContextual"/>
              </w:rPr>
              <w:tab/>
            </w:r>
            <w:r w:rsidR="00FF64C8" w:rsidRPr="0029147F">
              <w:rPr>
                <w:rStyle w:val="Hyperlink"/>
                <w:rFonts w:ascii="Aptos" w:hAnsi="Aptos" w:cs="Arial"/>
                <w:noProof/>
              </w:rPr>
              <w:t>Conclusion</w:t>
            </w:r>
            <w:r w:rsidR="00FF64C8">
              <w:rPr>
                <w:noProof/>
                <w:webHidden/>
              </w:rPr>
              <w:tab/>
            </w:r>
            <w:r w:rsidR="00FF64C8">
              <w:rPr>
                <w:noProof/>
                <w:webHidden/>
              </w:rPr>
              <w:fldChar w:fldCharType="begin"/>
            </w:r>
            <w:r w:rsidR="00FF64C8">
              <w:rPr>
                <w:noProof/>
                <w:webHidden/>
              </w:rPr>
              <w:instrText xml:space="preserve"> PAGEREF _Toc170742455 \h </w:instrText>
            </w:r>
            <w:r w:rsidR="00FF64C8">
              <w:rPr>
                <w:noProof/>
                <w:webHidden/>
              </w:rPr>
            </w:r>
            <w:r w:rsidR="00FF64C8">
              <w:rPr>
                <w:noProof/>
                <w:webHidden/>
              </w:rPr>
              <w:fldChar w:fldCharType="separate"/>
            </w:r>
            <w:r w:rsidR="00FF64C8">
              <w:rPr>
                <w:noProof/>
                <w:webHidden/>
              </w:rPr>
              <w:t>19</w:t>
            </w:r>
            <w:r w:rsidR="00FF64C8">
              <w:rPr>
                <w:noProof/>
                <w:webHidden/>
              </w:rPr>
              <w:fldChar w:fldCharType="end"/>
            </w:r>
          </w:hyperlink>
        </w:p>
        <w:p w14:paraId="06A6E3CC" w14:textId="340E2321" w:rsidR="00FF64C8" w:rsidRDefault="00000000">
          <w:pPr>
            <w:pStyle w:val="TOC1"/>
            <w:tabs>
              <w:tab w:val="right" w:leader="dot" w:pos="9016"/>
            </w:tabs>
            <w:rPr>
              <w:rFonts w:eastAsiaTheme="minorEastAsia" w:cstheme="minorBidi"/>
              <w:b w:val="0"/>
              <w:bCs w:val="0"/>
              <w:i w:val="0"/>
              <w:iCs w:val="0"/>
              <w:noProof/>
              <w:kern w:val="2"/>
              <w:lang w:eastAsia="zh-CN"/>
              <w14:ligatures w14:val="standardContextual"/>
            </w:rPr>
          </w:pPr>
          <w:hyperlink w:anchor="_Toc170742456" w:history="1">
            <w:r w:rsidR="00FF64C8" w:rsidRPr="0029147F">
              <w:rPr>
                <w:rStyle w:val="Hyperlink"/>
                <w:rFonts w:ascii="Aptos" w:hAnsi="Aptos"/>
                <w:noProof/>
              </w:rPr>
              <w:t>References</w:t>
            </w:r>
            <w:r w:rsidR="00FF64C8">
              <w:rPr>
                <w:noProof/>
                <w:webHidden/>
              </w:rPr>
              <w:tab/>
            </w:r>
            <w:r w:rsidR="00FF64C8">
              <w:rPr>
                <w:noProof/>
                <w:webHidden/>
              </w:rPr>
              <w:fldChar w:fldCharType="begin"/>
            </w:r>
            <w:r w:rsidR="00FF64C8">
              <w:rPr>
                <w:noProof/>
                <w:webHidden/>
              </w:rPr>
              <w:instrText xml:space="preserve"> PAGEREF _Toc170742456 \h </w:instrText>
            </w:r>
            <w:r w:rsidR="00FF64C8">
              <w:rPr>
                <w:noProof/>
                <w:webHidden/>
              </w:rPr>
            </w:r>
            <w:r w:rsidR="00FF64C8">
              <w:rPr>
                <w:noProof/>
                <w:webHidden/>
              </w:rPr>
              <w:fldChar w:fldCharType="separate"/>
            </w:r>
            <w:r w:rsidR="00FF64C8">
              <w:rPr>
                <w:noProof/>
                <w:webHidden/>
              </w:rPr>
              <w:t>21</w:t>
            </w:r>
            <w:r w:rsidR="00FF64C8">
              <w:rPr>
                <w:noProof/>
                <w:webHidden/>
              </w:rPr>
              <w:fldChar w:fldCharType="end"/>
            </w:r>
          </w:hyperlink>
        </w:p>
        <w:p w14:paraId="1D14804D" w14:textId="4B7DCC05" w:rsidR="00FE21DD" w:rsidRPr="007C7C35" w:rsidRDefault="00D94A34">
          <w:pPr>
            <w:rPr>
              <w:rFonts w:ascii="Aptos" w:hAnsi="Aptos"/>
              <w:b/>
              <w:bCs/>
              <w:noProof/>
              <w:szCs w:val="24"/>
            </w:rPr>
          </w:pPr>
          <w:r w:rsidRPr="007C7C35">
            <w:rPr>
              <w:rFonts w:ascii="Aptos" w:hAnsi="Aptos"/>
              <w:b/>
              <w:bCs/>
              <w:noProof/>
              <w:szCs w:val="24"/>
            </w:rPr>
            <w:fldChar w:fldCharType="end"/>
          </w:r>
        </w:p>
        <w:p w14:paraId="03A6D58C" w14:textId="77777777" w:rsidR="00FE21DD" w:rsidRPr="007C7C35" w:rsidRDefault="00FE21DD">
          <w:pPr>
            <w:rPr>
              <w:rFonts w:ascii="Aptos" w:hAnsi="Aptos"/>
              <w:b/>
              <w:bCs/>
              <w:noProof/>
              <w:szCs w:val="24"/>
            </w:rPr>
          </w:pPr>
          <w:r w:rsidRPr="007C7C35">
            <w:rPr>
              <w:rFonts w:ascii="Aptos" w:hAnsi="Aptos"/>
              <w:b/>
              <w:bCs/>
              <w:noProof/>
              <w:szCs w:val="24"/>
            </w:rPr>
            <w:br w:type="page"/>
          </w:r>
        </w:p>
        <w:p w14:paraId="276D789F" w14:textId="368ABDF9" w:rsidR="00D94A34" w:rsidRPr="007C7C35" w:rsidRDefault="00000000">
          <w:pPr>
            <w:rPr>
              <w:rFonts w:ascii="Aptos" w:hAnsi="Aptos"/>
              <w:szCs w:val="24"/>
            </w:rPr>
          </w:pPr>
        </w:p>
      </w:sdtContent>
    </w:sdt>
    <w:p w14:paraId="385ACEFA" w14:textId="3664105B" w:rsidR="00A80294" w:rsidRPr="007C7C35" w:rsidRDefault="00251359" w:rsidP="00C3145D">
      <w:pPr>
        <w:pStyle w:val="Heading1"/>
        <w:ind w:left="0" w:firstLine="0"/>
        <w:rPr>
          <w:rFonts w:ascii="Aptos" w:hAnsi="Aptos"/>
          <w:color w:val="4F81BD" w:themeColor="accent1"/>
          <w:sz w:val="24"/>
          <w:szCs w:val="24"/>
        </w:rPr>
      </w:pPr>
      <w:r w:rsidRPr="007C7C35">
        <w:rPr>
          <w:rFonts w:ascii="Aptos" w:hAnsi="Aptos"/>
          <w:color w:val="4F81BD" w:themeColor="accent1"/>
          <w:sz w:val="24"/>
          <w:szCs w:val="24"/>
        </w:rPr>
        <w:t xml:space="preserve">  </w:t>
      </w:r>
      <w:bookmarkStart w:id="2" w:name="_Toc170742433"/>
      <w:r w:rsidR="00A80294" w:rsidRPr="007C7C35">
        <w:rPr>
          <w:rFonts w:ascii="Aptos" w:hAnsi="Aptos"/>
          <w:color w:val="4F81BD" w:themeColor="accent1"/>
          <w:sz w:val="24"/>
          <w:szCs w:val="24"/>
        </w:rPr>
        <w:t>List</w:t>
      </w:r>
      <w:r w:rsidR="00E7126E">
        <w:rPr>
          <w:rFonts w:ascii="Aptos" w:hAnsi="Aptos"/>
          <w:color w:val="4F81BD" w:themeColor="accent1"/>
          <w:sz w:val="24"/>
          <w:szCs w:val="24"/>
        </w:rPr>
        <w:t xml:space="preserve"> </w:t>
      </w:r>
      <w:r w:rsidR="00A80294" w:rsidRPr="007C7C35">
        <w:rPr>
          <w:rFonts w:ascii="Aptos" w:hAnsi="Aptos"/>
          <w:color w:val="4F81BD" w:themeColor="accent1"/>
          <w:sz w:val="24"/>
          <w:szCs w:val="24"/>
        </w:rPr>
        <w:t>of figures</w:t>
      </w:r>
      <w:bookmarkEnd w:id="2"/>
      <w:r w:rsidR="00A80294" w:rsidRPr="007C7C35">
        <w:rPr>
          <w:rFonts w:ascii="Aptos" w:hAnsi="Aptos"/>
          <w:color w:val="4F81BD" w:themeColor="accent1"/>
          <w:sz w:val="24"/>
          <w:szCs w:val="24"/>
        </w:rPr>
        <w:t xml:space="preserve"> </w:t>
      </w:r>
    </w:p>
    <w:p w14:paraId="2876EA3F" w14:textId="59B65C87" w:rsidR="004B4560" w:rsidRDefault="00A80294">
      <w:pPr>
        <w:pStyle w:val="TableofFigures"/>
        <w:tabs>
          <w:tab w:val="right" w:leader="dot" w:pos="9016"/>
        </w:tabs>
        <w:rPr>
          <w:rFonts w:eastAsiaTheme="minorEastAsia" w:cstheme="minorBidi"/>
          <w:noProof/>
          <w:kern w:val="2"/>
          <w:szCs w:val="24"/>
          <w:lang w:eastAsia="zh-CN"/>
          <w14:ligatures w14:val="standardContextual"/>
        </w:rPr>
      </w:pPr>
      <w:r w:rsidRPr="007C7C35">
        <w:rPr>
          <w:rFonts w:ascii="Aptos" w:hAnsi="Aptos" w:cstheme="minorHAnsi"/>
          <w:color w:val="4F81BD" w:themeColor="accent1"/>
          <w:szCs w:val="24"/>
        </w:rPr>
        <w:fldChar w:fldCharType="begin"/>
      </w:r>
      <w:r w:rsidRPr="007C7C35">
        <w:rPr>
          <w:rFonts w:ascii="Aptos" w:hAnsi="Aptos" w:cstheme="minorHAnsi"/>
          <w:color w:val="4F81BD" w:themeColor="accent1"/>
          <w:szCs w:val="24"/>
        </w:rPr>
        <w:instrText xml:space="preserve"> TOC \h \z \c "Figure" </w:instrText>
      </w:r>
      <w:r w:rsidRPr="007C7C35">
        <w:rPr>
          <w:rFonts w:ascii="Aptos" w:hAnsi="Aptos" w:cstheme="minorHAnsi"/>
          <w:color w:val="4F81BD" w:themeColor="accent1"/>
          <w:szCs w:val="24"/>
        </w:rPr>
        <w:fldChar w:fldCharType="separate"/>
      </w:r>
      <w:hyperlink w:anchor="_Toc170740514" w:history="1">
        <w:r w:rsidR="004B4560" w:rsidRPr="004A390B">
          <w:rPr>
            <w:rStyle w:val="Hyperlink"/>
            <w:rFonts w:ascii="Aptos" w:hAnsi="Aptos"/>
            <w:noProof/>
          </w:rPr>
          <w:t>Figure 1: Proportion of international students with permanent residence, by year of commencement</w:t>
        </w:r>
        <w:r w:rsidR="004B4560">
          <w:rPr>
            <w:noProof/>
            <w:webHidden/>
          </w:rPr>
          <w:tab/>
        </w:r>
        <w:r w:rsidR="004B4560">
          <w:rPr>
            <w:noProof/>
            <w:webHidden/>
          </w:rPr>
          <w:fldChar w:fldCharType="begin"/>
        </w:r>
        <w:r w:rsidR="004B4560">
          <w:rPr>
            <w:noProof/>
            <w:webHidden/>
          </w:rPr>
          <w:instrText xml:space="preserve"> PAGEREF _Toc170740514 \h </w:instrText>
        </w:r>
        <w:r w:rsidR="004B4560">
          <w:rPr>
            <w:noProof/>
            <w:webHidden/>
          </w:rPr>
        </w:r>
        <w:r w:rsidR="004B4560">
          <w:rPr>
            <w:noProof/>
            <w:webHidden/>
          </w:rPr>
          <w:fldChar w:fldCharType="separate"/>
        </w:r>
        <w:r w:rsidR="00FF64C8">
          <w:rPr>
            <w:noProof/>
            <w:webHidden/>
          </w:rPr>
          <w:t>8</w:t>
        </w:r>
        <w:r w:rsidR="004B4560">
          <w:rPr>
            <w:noProof/>
            <w:webHidden/>
          </w:rPr>
          <w:fldChar w:fldCharType="end"/>
        </w:r>
      </w:hyperlink>
    </w:p>
    <w:p w14:paraId="75052B88" w14:textId="14C3D599" w:rsidR="004B4560" w:rsidRDefault="00000000">
      <w:pPr>
        <w:pStyle w:val="TableofFigures"/>
        <w:tabs>
          <w:tab w:val="right" w:leader="dot" w:pos="9016"/>
        </w:tabs>
        <w:rPr>
          <w:rFonts w:eastAsiaTheme="minorEastAsia" w:cstheme="minorBidi"/>
          <w:noProof/>
          <w:kern w:val="2"/>
          <w:szCs w:val="24"/>
          <w:lang w:eastAsia="zh-CN"/>
          <w14:ligatures w14:val="standardContextual"/>
        </w:rPr>
      </w:pPr>
      <w:hyperlink w:anchor="_Toc170740515" w:history="1">
        <w:r w:rsidR="004B4560" w:rsidRPr="004A390B">
          <w:rPr>
            <w:rStyle w:val="Hyperlink"/>
            <w:rFonts w:ascii="Aptos" w:hAnsi="Aptos"/>
            <w:noProof/>
          </w:rPr>
          <w:t>Figure 2: Permanent residence grants where the previous visa was a student visa or temporary graduate visa</w:t>
        </w:r>
        <w:r w:rsidR="004B4560">
          <w:rPr>
            <w:noProof/>
            <w:webHidden/>
          </w:rPr>
          <w:tab/>
        </w:r>
        <w:r w:rsidR="004B4560">
          <w:rPr>
            <w:noProof/>
            <w:webHidden/>
          </w:rPr>
          <w:fldChar w:fldCharType="begin"/>
        </w:r>
        <w:r w:rsidR="004B4560">
          <w:rPr>
            <w:noProof/>
            <w:webHidden/>
          </w:rPr>
          <w:instrText xml:space="preserve"> PAGEREF _Toc170740515 \h </w:instrText>
        </w:r>
        <w:r w:rsidR="004B4560">
          <w:rPr>
            <w:noProof/>
            <w:webHidden/>
          </w:rPr>
        </w:r>
        <w:r w:rsidR="004B4560">
          <w:rPr>
            <w:noProof/>
            <w:webHidden/>
          </w:rPr>
          <w:fldChar w:fldCharType="separate"/>
        </w:r>
        <w:r w:rsidR="00FF64C8">
          <w:rPr>
            <w:noProof/>
            <w:webHidden/>
          </w:rPr>
          <w:t>9</w:t>
        </w:r>
        <w:r w:rsidR="004B4560">
          <w:rPr>
            <w:noProof/>
            <w:webHidden/>
          </w:rPr>
          <w:fldChar w:fldCharType="end"/>
        </w:r>
      </w:hyperlink>
    </w:p>
    <w:p w14:paraId="6263E688" w14:textId="0CE436E5" w:rsidR="004B4560" w:rsidRDefault="00000000">
      <w:pPr>
        <w:pStyle w:val="TableofFigures"/>
        <w:tabs>
          <w:tab w:val="right" w:leader="dot" w:pos="9016"/>
        </w:tabs>
        <w:rPr>
          <w:rFonts w:eastAsiaTheme="minorEastAsia" w:cstheme="minorBidi"/>
          <w:noProof/>
          <w:kern w:val="2"/>
          <w:szCs w:val="24"/>
          <w:lang w:eastAsia="zh-CN"/>
          <w14:ligatures w14:val="standardContextual"/>
        </w:rPr>
      </w:pPr>
      <w:hyperlink w:anchor="_Toc170740516" w:history="1">
        <w:r w:rsidR="004B4560" w:rsidRPr="004A390B">
          <w:rPr>
            <w:rStyle w:val="Hyperlink"/>
            <w:rFonts w:ascii="Aptos" w:hAnsi="Aptos"/>
            <w:noProof/>
          </w:rPr>
          <w:t>Figure 3: Higher education enrolments by level of campus location migration advantage</w:t>
        </w:r>
        <w:r w:rsidR="004B4560">
          <w:rPr>
            <w:noProof/>
            <w:webHidden/>
          </w:rPr>
          <w:tab/>
        </w:r>
        <w:r w:rsidR="004B4560">
          <w:rPr>
            <w:noProof/>
            <w:webHidden/>
          </w:rPr>
          <w:fldChar w:fldCharType="begin"/>
        </w:r>
        <w:r w:rsidR="004B4560">
          <w:rPr>
            <w:noProof/>
            <w:webHidden/>
          </w:rPr>
          <w:instrText xml:space="preserve"> PAGEREF _Toc170740516 \h </w:instrText>
        </w:r>
        <w:r w:rsidR="004B4560">
          <w:rPr>
            <w:noProof/>
            <w:webHidden/>
          </w:rPr>
        </w:r>
        <w:r w:rsidR="004B4560">
          <w:rPr>
            <w:noProof/>
            <w:webHidden/>
          </w:rPr>
          <w:fldChar w:fldCharType="separate"/>
        </w:r>
        <w:r w:rsidR="00FF64C8">
          <w:rPr>
            <w:noProof/>
            <w:webHidden/>
          </w:rPr>
          <w:t>12</w:t>
        </w:r>
        <w:r w:rsidR="004B4560">
          <w:rPr>
            <w:noProof/>
            <w:webHidden/>
          </w:rPr>
          <w:fldChar w:fldCharType="end"/>
        </w:r>
      </w:hyperlink>
    </w:p>
    <w:p w14:paraId="2D8FDF6D" w14:textId="59837B71" w:rsidR="004B4560" w:rsidRDefault="00000000">
      <w:pPr>
        <w:pStyle w:val="TableofFigures"/>
        <w:tabs>
          <w:tab w:val="right" w:leader="dot" w:pos="9016"/>
        </w:tabs>
        <w:rPr>
          <w:rFonts w:eastAsiaTheme="minorEastAsia" w:cstheme="minorBidi"/>
          <w:noProof/>
          <w:kern w:val="2"/>
          <w:szCs w:val="24"/>
          <w:lang w:eastAsia="zh-CN"/>
          <w14:ligatures w14:val="standardContextual"/>
        </w:rPr>
      </w:pPr>
      <w:hyperlink w:anchor="_Toc170740517" w:history="1">
        <w:r w:rsidR="004B4560" w:rsidRPr="004A390B">
          <w:rPr>
            <w:rStyle w:val="Hyperlink"/>
            <w:rFonts w:ascii="Aptos" w:hAnsi="Aptos"/>
            <w:noProof/>
          </w:rPr>
          <w:t>Figure 4: Regional university international student market share</w:t>
        </w:r>
        <w:r w:rsidR="004B4560">
          <w:rPr>
            <w:noProof/>
            <w:webHidden/>
          </w:rPr>
          <w:tab/>
        </w:r>
        <w:r w:rsidR="004B4560">
          <w:rPr>
            <w:noProof/>
            <w:webHidden/>
          </w:rPr>
          <w:fldChar w:fldCharType="begin"/>
        </w:r>
        <w:r w:rsidR="004B4560">
          <w:rPr>
            <w:noProof/>
            <w:webHidden/>
          </w:rPr>
          <w:instrText xml:space="preserve"> PAGEREF _Toc170740517 \h </w:instrText>
        </w:r>
        <w:r w:rsidR="004B4560">
          <w:rPr>
            <w:noProof/>
            <w:webHidden/>
          </w:rPr>
        </w:r>
        <w:r w:rsidR="004B4560">
          <w:rPr>
            <w:noProof/>
            <w:webHidden/>
          </w:rPr>
          <w:fldChar w:fldCharType="separate"/>
        </w:r>
        <w:r w:rsidR="00FF64C8">
          <w:rPr>
            <w:noProof/>
            <w:webHidden/>
          </w:rPr>
          <w:t>13</w:t>
        </w:r>
        <w:r w:rsidR="004B4560">
          <w:rPr>
            <w:noProof/>
            <w:webHidden/>
          </w:rPr>
          <w:fldChar w:fldCharType="end"/>
        </w:r>
      </w:hyperlink>
    </w:p>
    <w:p w14:paraId="037B2148" w14:textId="7FA71867" w:rsidR="004B4560" w:rsidRDefault="00000000">
      <w:pPr>
        <w:pStyle w:val="TableofFigures"/>
        <w:tabs>
          <w:tab w:val="right" w:leader="dot" w:pos="9016"/>
        </w:tabs>
        <w:rPr>
          <w:rFonts w:eastAsiaTheme="minorEastAsia" w:cstheme="minorBidi"/>
          <w:noProof/>
          <w:kern w:val="2"/>
          <w:szCs w:val="24"/>
          <w:lang w:eastAsia="zh-CN"/>
          <w14:ligatures w14:val="standardContextual"/>
        </w:rPr>
      </w:pPr>
      <w:hyperlink w:anchor="_Toc170740518" w:history="1">
        <w:r w:rsidR="004B4560" w:rsidRPr="004A390B">
          <w:rPr>
            <w:rStyle w:val="Hyperlink"/>
            <w:rFonts w:ascii="Aptos" w:hAnsi="Aptos"/>
            <w:noProof/>
          </w:rPr>
          <w:t>Figure 5: New international higher education commencements by time of year</w:t>
        </w:r>
        <w:r w:rsidR="004B4560">
          <w:rPr>
            <w:noProof/>
            <w:webHidden/>
          </w:rPr>
          <w:tab/>
        </w:r>
        <w:r w:rsidR="004B4560">
          <w:rPr>
            <w:noProof/>
            <w:webHidden/>
          </w:rPr>
          <w:fldChar w:fldCharType="begin"/>
        </w:r>
        <w:r w:rsidR="004B4560">
          <w:rPr>
            <w:noProof/>
            <w:webHidden/>
          </w:rPr>
          <w:instrText xml:space="preserve"> PAGEREF _Toc170740518 \h </w:instrText>
        </w:r>
        <w:r w:rsidR="004B4560">
          <w:rPr>
            <w:noProof/>
            <w:webHidden/>
          </w:rPr>
        </w:r>
        <w:r w:rsidR="004B4560">
          <w:rPr>
            <w:noProof/>
            <w:webHidden/>
          </w:rPr>
          <w:fldChar w:fldCharType="separate"/>
        </w:r>
        <w:r w:rsidR="00FF64C8">
          <w:rPr>
            <w:noProof/>
            <w:webHidden/>
          </w:rPr>
          <w:t>17</w:t>
        </w:r>
        <w:r w:rsidR="004B4560">
          <w:rPr>
            <w:noProof/>
            <w:webHidden/>
          </w:rPr>
          <w:fldChar w:fldCharType="end"/>
        </w:r>
      </w:hyperlink>
    </w:p>
    <w:p w14:paraId="6C6BD927" w14:textId="25B881FA" w:rsidR="00A80294" w:rsidRPr="007C7C35" w:rsidRDefault="00A80294">
      <w:pPr>
        <w:rPr>
          <w:rFonts w:ascii="Aptos" w:hAnsi="Aptos" w:cstheme="minorHAnsi"/>
          <w:color w:val="4F81BD" w:themeColor="accent1"/>
          <w:szCs w:val="24"/>
        </w:rPr>
      </w:pPr>
      <w:r w:rsidRPr="007C7C35">
        <w:rPr>
          <w:rFonts w:ascii="Aptos" w:hAnsi="Aptos" w:cstheme="minorHAnsi"/>
          <w:color w:val="4F81BD" w:themeColor="accent1"/>
          <w:szCs w:val="24"/>
        </w:rPr>
        <w:fldChar w:fldCharType="end"/>
      </w:r>
    </w:p>
    <w:p w14:paraId="4733D4F4" w14:textId="54CC2F35" w:rsidR="00D94A34" w:rsidRPr="007C7C35" w:rsidRDefault="00D94A34">
      <w:pPr>
        <w:rPr>
          <w:rFonts w:ascii="Aptos" w:hAnsi="Aptos" w:cstheme="minorHAnsi"/>
          <w:color w:val="4F81BD" w:themeColor="accent1"/>
          <w:szCs w:val="24"/>
        </w:rPr>
      </w:pPr>
      <w:r w:rsidRPr="007C7C35">
        <w:rPr>
          <w:rFonts w:ascii="Aptos" w:hAnsi="Aptos" w:cstheme="minorHAnsi"/>
          <w:color w:val="4F81BD" w:themeColor="accent1"/>
          <w:szCs w:val="24"/>
        </w:rPr>
        <w:br w:type="page"/>
      </w:r>
    </w:p>
    <w:p w14:paraId="1916F87E" w14:textId="3506212F" w:rsidR="00AD4757" w:rsidRDefault="0021176C" w:rsidP="00D94A34">
      <w:pPr>
        <w:pStyle w:val="Heading1"/>
        <w:rPr>
          <w:rFonts w:ascii="Aptos" w:hAnsi="Aptos"/>
          <w:color w:val="4F81BD" w:themeColor="accent1"/>
          <w:sz w:val="24"/>
          <w:szCs w:val="24"/>
        </w:rPr>
      </w:pPr>
      <w:bookmarkStart w:id="3" w:name="_Toc170742434"/>
      <w:r w:rsidRPr="007C7C35">
        <w:rPr>
          <w:rFonts w:ascii="Aptos" w:hAnsi="Aptos"/>
          <w:color w:val="4F81BD" w:themeColor="accent1"/>
          <w:sz w:val="24"/>
          <w:szCs w:val="24"/>
        </w:rPr>
        <w:lastRenderedPageBreak/>
        <w:t>Overview</w:t>
      </w:r>
      <w:bookmarkEnd w:id="3"/>
    </w:p>
    <w:p w14:paraId="2243C2C2" w14:textId="127BC4CC" w:rsidR="006055F1" w:rsidRDefault="006055F1" w:rsidP="006055F1">
      <w:pPr>
        <w:pStyle w:val="ListParagraph"/>
      </w:pPr>
    </w:p>
    <w:p w14:paraId="03BB2F86" w14:textId="50A23869" w:rsidR="006055F1" w:rsidRDefault="006055F1" w:rsidP="006055F1">
      <w:pPr>
        <w:pStyle w:val="ListParagraph"/>
        <w:numPr>
          <w:ilvl w:val="0"/>
          <w:numId w:val="16"/>
        </w:numPr>
      </w:pPr>
      <w:r>
        <w:t>The government has already introduced multiple demand side measure to reduce international student numbers; it is not clear that supply-side constraints are also needed</w:t>
      </w:r>
    </w:p>
    <w:p w14:paraId="0CDEB46E" w14:textId="2669BB38" w:rsidR="006055F1" w:rsidRDefault="006055F1" w:rsidP="006055F1">
      <w:pPr>
        <w:pStyle w:val="ListParagraph"/>
        <w:numPr>
          <w:ilvl w:val="0"/>
          <w:numId w:val="16"/>
        </w:numPr>
      </w:pPr>
      <w:r>
        <w:t>The government’s idea that international students should take courses relevant to Australia’s skills shortages does not reflect the reality that most international students return home</w:t>
      </w:r>
    </w:p>
    <w:p w14:paraId="54492A4F" w14:textId="2CC6C9E2" w:rsidR="006055F1" w:rsidRDefault="006055F1" w:rsidP="006055F1">
      <w:pPr>
        <w:pStyle w:val="ListParagraph"/>
        <w:numPr>
          <w:ilvl w:val="1"/>
          <w:numId w:val="16"/>
        </w:numPr>
      </w:pPr>
      <w:r>
        <w:t>International students should be able to take courses reflecting their own interests and their home country labour markets</w:t>
      </w:r>
    </w:p>
    <w:p w14:paraId="038A64C6" w14:textId="5A16807E" w:rsidR="006055F1" w:rsidRDefault="006055F1" w:rsidP="006055F1">
      <w:pPr>
        <w:pStyle w:val="ListParagraph"/>
        <w:numPr>
          <w:ilvl w:val="0"/>
          <w:numId w:val="16"/>
        </w:numPr>
      </w:pPr>
      <w:r>
        <w:t>The government should not necessarily encourage international students to take courses that are in domestic skills shortage and have finite clinical training and other placement capacity</w:t>
      </w:r>
    </w:p>
    <w:p w14:paraId="47669993" w14:textId="6DEC204C" w:rsidR="006055F1" w:rsidRDefault="006055F1" w:rsidP="006055F1">
      <w:pPr>
        <w:pStyle w:val="ListParagraph"/>
        <w:numPr>
          <w:ilvl w:val="1"/>
          <w:numId w:val="16"/>
        </w:numPr>
      </w:pPr>
      <w:r>
        <w:t>This reduces opportunities for domestic students and creates the risk that international students will take their skills home with them</w:t>
      </w:r>
    </w:p>
    <w:p w14:paraId="10F074A5" w14:textId="6AFB1485" w:rsidR="006055F1" w:rsidRDefault="006055F1" w:rsidP="006055F1">
      <w:pPr>
        <w:pStyle w:val="ListParagraph"/>
        <w:numPr>
          <w:ilvl w:val="0"/>
          <w:numId w:val="16"/>
        </w:numPr>
      </w:pPr>
      <w:r>
        <w:t>The government wants to reduce international student numbers in major cities but capping places in metropolitan areas will not encourage many students to go to the regions</w:t>
      </w:r>
    </w:p>
    <w:p w14:paraId="1E3E78F0" w14:textId="4C4E6AD3" w:rsidR="006055F1" w:rsidRDefault="006055F1" w:rsidP="006055F1">
      <w:pPr>
        <w:pStyle w:val="ListParagraph"/>
        <w:numPr>
          <w:ilvl w:val="1"/>
          <w:numId w:val="16"/>
        </w:numPr>
      </w:pPr>
      <w:r>
        <w:t>International students have good social, cultural and labour market reasons to prefer major cities</w:t>
      </w:r>
    </w:p>
    <w:p w14:paraId="15A84986" w14:textId="77777777" w:rsidR="006055F1" w:rsidRDefault="006055F1" w:rsidP="006055F1">
      <w:pPr>
        <w:pStyle w:val="ListParagraph"/>
        <w:numPr>
          <w:ilvl w:val="0"/>
          <w:numId w:val="16"/>
        </w:numPr>
      </w:pPr>
      <w:r>
        <w:t>Both course and institutional caps will cause ‘stranded places’ – university and other education provider places that are theoretically available but cannot in practice be used</w:t>
      </w:r>
    </w:p>
    <w:p w14:paraId="2F711DAD" w14:textId="77777777" w:rsidR="006055F1" w:rsidRDefault="006055F1" w:rsidP="006055F1">
      <w:pPr>
        <w:pStyle w:val="ListParagraph"/>
        <w:numPr>
          <w:ilvl w:val="1"/>
          <w:numId w:val="16"/>
        </w:numPr>
      </w:pPr>
      <w:r>
        <w:t>As a consequence total enrolments will fall well below the caps</w:t>
      </w:r>
    </w:p>
    <w:p w14:paraId="57398D05" w14:textId="7AF7C8D1" w:rsidR="00FC6E2E" w:rsidRDefault="00FC6E2E" w:rsidP="00FC6E2E">
      <w:pPr>
        <w:pStyle w:val="ListParagraph"/>
        <w:numPr>
          <w:ilvl w:val="0"/>
          <w:numId w:val="16"/>
        </w:numPr>
      </w:pPr>
      <w:r>
        <w:t>The bill shows a lack of understanding of how difficult it is to hit precise enrolment targets</w:t>
      </w:r>
    </w:p>
    <w:p w14:paraId="050AE913" w14:textId="1E34F0F3" w:rsidR="006055F1" w:rsidRDefault="006055F1" w:rsidP="006055F1">
      <w:pPr>
        <w:pStyle w:val="ListParagraph"/>
        <w:numPr>
          <w:ilvl w:val="0"/>
          <w:numId w:val="16"/>
        </w:numPr>
      </w:pPr>
      <w:r>
        <w:t>The caps will encourage practices that are unethical and reputation damaging, such as withdrawing offers to international students or cancelling their enrolment</w:t>
      </w:r>
      <w:r w:rsidR="006B1C10">
        <w:t>s</w:t>
      </w:r>
    </w:p>
    <w:p w14:paraId="7B09A17D" w14:textId="0EE001C7" w:rsidR="006055F1" w:rsidRDefault="006055F1" w:rsidP="00FC6E2E">
      <w:pPr>
        <w:pStyle w:val="ListParagraph"/>
        <w:ind w:left="720" w:firstLine="0"/>
      </w:pPr>
    </w:p>
    <w:p w14:paraId="4B5F0023" w14:textId="77777777" w:rsidR="006055F1" w:rsidRDefault="006055F1" w:rsidP="006055F1">
      <w:pPr>
        <w:pStyle w:val="Heading1"/>
        <w:ind w:left="720" w:firstLine="0"/>
        <w:rPr>
          <w:rFonts w:ascii="Aptos" w:hAnsi="Aptos"/>
          <w:color w:val="4F81BD" w:themeColor="accent1"/>
          <w:sz w:val="24"/>
          <w:szCs w:val="24"/>
        </w:rPr>
      </w:pPr>
    </w:p>
    <w:p w14:paraId="6B887C67" w14:textId="6E197A92" w:rsidR="006055F1" w:rsidRDefault="006055F1">
      <w:pPr>
        <w:rPr>
          <w:rFonts w:ascii="Aptos" w:hAnsi="Aptos"/>
          <w:color w:val="4F81BD" w:themeColor="accent1"/>
          <w:szCs w:val="24"/>
        </w:rPr>
      </w:pPr>
      <w:r>
        <w:rPr>
          <w:rFonts w:ascii="Aptos" w:hAnsi="Aptos"/>
          <w:color w:val="4F81BD" w:themeColor="accent1"/>
          <w:szCs w:val="24"/>
        </w:rPr>
        <w:br w:type="page"/>
      </w:r>
    </w:p>
    <w:p w14:paraId="62801651" w14:textId="77777777" w:rsidR="006055F1" w:rsidRPr="007C7C35" w:rsidRDefault="006055F1" w:rsidP="00D94A34">
      <w:pPr>
        <w:pStyle w:val="Heading1"/>
        <w:rPr>
          <w:rFonts w:ascii="Aptos" w:hAnsi="Aptos"/>
          <w:color w:val="4F81BD" w:themeColor="accent1"/>
          <w:sz w:val="24"/>
          <w:szCs w:val="24"/>
        </w:rPr>
      </w:pPr>
    </w:p>
    <w:p w14:paraId="6FD8F664" w14:textId="037BD675" w:rsidR="00A36248" w:rsidRPr="007C7C35" w:rsidRDefault="001334A2" w:rsidP="009319AF">
      <w:pPr>
        <w:pStyle w:val="Heading1"/>
        <w:numPr>
          <w:ilvl w:val="0"/>
          <w:numId w:val="7"/>
        </w:numPr>
        <w:ind w:left="357" w:hanging="357"/>
        <w:rPr>
          <w:rFonts w:ascii="Aptos" w:hAnsi="Aptos" w:cs="Arial"/>
          <w:sz w:val="24"/>
          <w:szCs w:val="24"/>
        </w:rPr>
      </w:pPr>
      <w:bookmarkStart w:id="4" w:name="2._Reasons_why_the_Job-Ready_Graduates_b"/>
      <w:bookmarkStart w:id="5" w:name="_Toc170742435"/>
      <w:bookmarkEnd w:id="4"/>
      <w:r w:rsidRPr="007C7C35">
        <w:rPr>
          <w:rFonts w:ascii="Aptos" w:hAnsi="Aptos" w:cstheme="minorHAnsi"/>
          <w:color w:val="4F81BD" w:themeColor="accent1"/>
          <w:sz w:val="24"/>
          <w:szCs w:val="24"/>
        </w:rPr>
        <w:t>Introduction</w:t>
      </w:r>
      <w:bookmarkEnd w:id="5"/>
      <w:r w:rsidRPr="007C7C35">
        <w:rPr>
          <w:rFonts w:ascii="Aptos" w:hAnsi="Aptos" w:cstheme="minorHAnsi"/>
          <w:color w:val="4F81BD" w:themeColor="accent1"/>
          <w:sz w:val="24"/>
          <w:szCs w:val="24"/>
        </w:rPr>
        <w:t xml:space="preserve"> </w:t>
      </w:r>
    </w:p>
    <w:p w14:paraId="78369315" w14:textId="489490CC" w:rsidR="00161D50" w:rsidRDefault="001334A2" w:rsidP="00117DE5">
      <w:pPr>
        <w:ind w:left="0"/>
        <w:rPr>
          <w:rFonts w:ascii="Aptos" w:hAnsi="Aptos"/>
          <w:szCs w:val="24"/>
        </w:rPr>
      </w:pPr>
      <w:r w:rsidRPr="007C7C35">
        <w:rPr>
          <w:rFonts w:ascii="Aptos" w:hAnsi="Aptos"/>
          <w:szCs w:val="24"/>
        </w:rPr>
        <w:t xml:space="preserve">This submission focuses on capping international student enrolments as proposed in the </w:t>
      </w:r>
      <w:hyperlink r:id="rId9" w:history="1">
        <w:r w:rsidRPr="007C7C35">
          <w:rPr>
            <w:rStyle w:val="Hyperlink"/>
            <w:rFonts w:ascii="Aptos" w:hAnsi="Aptos" w:cs="Open Sans"/>
            <w:i/>
            <w:iCs/>
            <w:color w:val="auto"/>
            <w:szCs w:val="24"/>
            <w:u w:val="none"/>
            <w:shd w:val="clear" w:color="auto" w:fill="FFFFFF"/>
          </w:rPr>
          <w:t>Education Services for Overseas Students Amendment (Quality and Integrity) Bill 2024</w:t>
        </w:r>
      </w:hyperlink>
      <w:r w:rsidRPr="007C7C35">
        <w:rPr>
          <w:rFonts w:ascii="Aptos" w:hAnsi="Aptos"/>
          <w:i/>
          <w:iCs/>
          <w:szCs w:val="24"/>
        </w:rPr>
        <w:t xml:space="preserve">. </w:t>
      </w:r>
      <w:r w:rsidRPr="007C7C35">
        <w:rPr>
          <w:rFonts w:ascii="Aptos" w:hAnsi="Aptos"/>
          <w:szCs w:val="24"/>
        </w:rPr>
        <w:t xml:space="preserve">It does not consider the </w:t>
      </w:r>
      <w:r w:rsidR="000F75FD">
        <w:rPr>
          <w:rFonts w:ascii="Aptos" w:hAnsi="Aptos"/>
          <w:szCs w:val="24"/>
        </w:rPr>
        <w:t xml:space="preserve">quality or </w:t>
      </w:r>
      <w:r w:rsidRPr="007C7C35">
        <w:rPr>
          <w:rFonts w:ascii="Aptos" w:hAnsi="Aptos"/>
          <w:szCs w:val="24"/>
        </w:rPr>
        <w:t xml:space="preserve">integrity measures in that bill. </w:t>
      </w:r>
    </w:p>
    <w:p w14:paraId="223A4F14" w14:textId="77777777" w:rsidR="006055F1" w:rsidRPr="00AC4357" w:rsidRDefault="006055F1" w:rsidP="006055F1">
      <w:pPr>
        <w:pStyle w:val="Heading1"/>
        <w:numPr>
          <w:ilvl w:val="0"/>
          <w:numId w:val="7"/>
        </w:numPr>
        <w:ind w:left="357" w:hanging="357"/>
        <w:rPr>
          <w:rFonts w:ascii="Aptos" w:hAnsi="Aptos" w:cs="Arial"/>
          <w:color w:val="4F81BD" w:themeColor="accent1"/>
          <w:sz w:val="24"/>
          <w:szCs w:val="24"/>
        </w:rPr>
      </w:pPr>
      <w:bookmarkStart w:id="6" w:name="_Toc170742436"/>
      <w:r>
        <w:rPr>
          <w:rFonts w:ascii="Aptos" w:hAnsi="Aptos" w:cs="Arial"/>
          <w:color w:val="4F81BD" w:themeColor="accent1"/>
          <w:sz w:val="24"/>
          <w:szCs w:val="24"/>
        </w:rPr>
        <w:t>Capping international student places by course</w:t>
      </w:r>
      <w:bookmarkEnd w:id="6"/>
      <w:r>
        <w:rPr>
          <w:rFonts w:ascii="Aptos" w:hAnsi="Aptos" w:cs="Arial"/>
          <w:color w:val="4F81BD" w:themeColor="accent1"/>
          <w:sz w:val="24"/>
          <w:szCs w:val="24"/>
        </w:rPr>
        <w:t xml:space="preserve"> </w:t>
      </w:r>
    </w:p>
    <w:p w14:paraId="31F86764" w14:textId="0004CF7B" w:rsidR="006055F1" w:rsidRPr="007C7C35" w:rsidRDefault="006055F1" w:rsidP="006055F1">
      <w:pPr>
        <w:ind w:left="0"/>
        <w:rPr>
          <w:rStyle w:val="Hyperlink"/>
          <w:rFonts w:ascii="Aptos" w:hAnsi="Aptos" w:cs="Open Sans"/>
          <w:color w:val="auto"/>
          <w:szCs w:val="24"/>
          <w:u w:val="none"/>
          <w:shd w:val="clear" w:color="auto" w:fill="FFFFFF"/>
        </w:rPr>
      </w:pPr>
      <w:r w:rsidRPr="007C7C35">
        <w:rPr>
          <w:rFonts w:ascii="Aptos" w:hAnsi="Aptos"/>
          <w:szCs w:val="24"/>
        </w:rPr>
        <w:t xml:space="preserve">The </w:t>
      </w:r>
      <w:hyperlink r:id="rId10" w:history="1">
        <w:r w:rsidRPr="007C7C35">
          <w:rPr>
            <w:rStyle w:val="Hyperlink"/>
            <w:rFonts w:ascii="Aptos" w:hAnsi="Aptos" w:cs="Open Sans"/>
            <w:i/>
            <w:iCs/>
            <w:color w:val="auto"/>
            <w:szCs w:val="24"/>
            <w:u w:val="none"/>
            <w:shd w:val="clear" w:color="auto" w:fill="FFFFFF"/>
          </w:rPr>
          <w:t>Education Services for Overseas Students Amendment (Quality and Integrity) Bill 2024</w:t>
        </w:r>
      </w:hyperlink>
      <w:r w:rsidRPr="007C7C35">
        <w:rPr>
          <w:rStyle w:val="Hyperlink"/>
          <w:rFonts w:ascii="Aptos" w:hAnsi="Aptos" w:cs="Open Sans"/>
          <w:i/>
          <w:iCs/>
          <w:color w:val="auto"/>
          <w:szCs w:val="24"/>
          <w:u w:val="none"/>
          <w:shd w:val="clear" w:color="auto" w:fill="FFFFFF"/>
        </w:rPr>
        <w:t xml:space="preserve"> </w:t>
      </w:r>
      <w:r w:rsidR="006B1C10">
        <w:rPr>
          <w:rStyle w:val="Hyperlink"/>
          <w:rFonts w:ascii="Aptos" w:hAnsi="Aptos" w:cs="Open Sans"/>
          <w:color w:val="auto"/>
          <w:szCs w:val="24"/>
          <w:u w:val="none"/>
          <w:shd w:val="clear" w:color="auto" w:fill="FFFFFF"/>
        </w:rPr>
        <w:t xml:space="preserve"> would </w:t>
      </w:r>
      <w:r w:rsidRPr="007C7C35">
        <w:rPr>
          <w:rStyle w:val="Hyperlink"/>
          <w:rFonts w:ascii="Aptos" w:hAnsi="Aptos" w:cs="Open Sans"/>
          <w:color w:val="auto"/>
          <w:szCs w:val="24"/>
          <w:u w:val="none"/>
          <w:shd w:val="clear" w:color="auto" w:fill="FFFFFF"/>
        </w:rPr>
        <w:t xml:space="preserve">give the minister power to cap international student numbers by course. </w:t>
      </w:r>
    </w:p>
    <w:p w14:paraId="21A338DA" w14:textId="77777777" w:rsidR="006055F1" w:rsidRPr="007C7C35" w:rsidRDefault="006055F1" w:rsidP="006055F1">
      <w:pPr>
        <w:pStyle w:val="Heading3"/>
        <w:ind w:left="0"/>
        <w:rPr>
          <w:rStyle w:val="Hyperlink"/>
          <w:rFonts w:ascii="Aptos" w:hAnsi="Aptos"/>
          <w:color w:val="243F60" w:themeColor="accent1" w:themeShade="7F"/>
          <w:u w:val="none"/>
        </w:rPr>
      </w:pPr>
      <w:bookmarkStart w:id="7" w:name="_Toc170742437"/>
      <w:r w:rsidRPr="007C7C35">
        <w:rPr>
          <w:rStyle w:val="Hyperlink"/>
          <w:rFonts w:ascii="Aptos" w:hAnsi="Aptos"/>
          <w:color w:val="243F60" w:themeColor="accent1" w:themeShade="7F"/>
          <w:u w:val="none"/>
        </w:rPr>
        <w:t>What is a course?</w:t>
      </w:r>
      <w:bookmarkEnd w:id="7"/>
    </w:p>
    <w:p w14:paraId="7436E240" w14:textId="77777777" w:rsidR="004C37E0" w:rsidRDefault="006055F1" w:rsidP="006055F1">
      <w:pPr>
        <w:ind w:left="0"/>
        <w:rPr>
          <w:rFonts w:ascii="Aptos" w:hAnsi="Aptos"/>
          <w:szCs w:val="24"/>
        </w:rPr>
      </w:pPr>
      <w:r w:rsidRPr="007C7C35">
        <w:rPr>
          <w:rFonts w:ascii="Aptos" w:hAnsi="Aptos"/>
          <w:szCs w:val="24"/>
        </w:rPr>
        <w:t>In higher education the concept of a ‘course’ is, for regulatory and other purposes, not as self-evident as it seems. Many courses are variations on each other, includ</w:t>
      </w:r>
      <w:r w:rsidR="006B1C10">
        <w:rPr>
          <w:rFonts w:ascii="Aptos" w:hAnsi="Aptos"/>
          <w:szCs w:val="24"/>
        </w:rPr>
        <w:t>ing</w:t>
      </w:r>
      <w:r w:rsidRPr="007C7C35">
        <w:rPr>
          <w:rFonts w:ascii="Aptos" w:hAnsi="Aptos"/>
          <w:szCs w:val="24"/>
        </w:rPr>
        <w:t xml:space="preserve"> ‘brackets degrees’, e.g. Bachelor of Arts (Journalism) or Bachelor or Business (Accounting), and combined or double degrees, e.g. Arts/Law. </w:t>
      </w:r>
    </w:p>
    <w:p w14:paraId="63E0B87A" w14:textId="32C4A564" w:rsidR="004C37E0" w:rsidRDefault="004C37E0" w:rsidP="006055F1">
      <w:pPr>
        <w:ind w:left="0"/>
        <w:rPr>
          <w:rFonts w:ascii="Aptos" w:hAnsi="Aptos"/>
          <w:szCs w:val="24"/>
        </w:rPr>
      </w:pPr>
      <w:r>
        <w:rPr>
          <w:rFonts w:ascii="Aptos" w:hAnsi="Aptos"/>
          <w:szCs w:val="24"/>
        </w:rPr>
        <w:t>Should these be taken as individual courses, or should they be grouped together as clusters of closely related courses? Universities that use generic course names (e.g. Bachelor of Arts) and then allow students to choose between majors would find that their caps are much more flexible. But this may disadvantage students who would prefer a degree that is more specifically branded.</w:t>
      </w:r>
    </w:p>
    <w:p w14:paraId="39D75D8E" w14:textId="3D3A3DBD" w:rsidR="004C37E0" w:rsidRDefault="004C37E0" w:rsidP="006055F1">
      <w:pPr>
        <w:ind w:left="0"/>
        <w:rPr>
          <w:rFonts w:ascii="Aptos" w:hAnsi="Aptos"/>
          <w:szCs w:val="24"/>
        </w:rPr>
      </w:pPr>
      <w:r>
        <w:rPr>
          <w:rFonts w:ascii="Aptos" w:hAnsi="Aptos"/>
          <w:szCs w:val="24"/>
        </w:rPr>
        <w:t xml:space="preserve">In the case of a combined course, should the same person be counted twice, once for each course, for the purposes of their different caps? For migration purposes, there is still only one person. </w:t>
      </w:r>
    </w:p>
    <w:p w14:paraId="0DC8CEA7" w14:textId="11E659CB" w:rsidR="006055F1" w:rsidRDefault="006055F1" w:rsidP="006055F1">
      <w:pPr>
        <w:ind w:left="0"/>
        <w:rPr>
          <w:rFonts w:ascii="Aptos" w:hAnsi="Aptos"/>
          <w:szCs w:val="24"/>
        </w:rPr>
      </w:pPr>
      <w:r w:rsidRPr="007C7C35">
        <w:rPr>
          <w:rFonts w:ascii="Aptos" w:hAnsi="Aptos"/>
          <w:szCs w:val="24"/>
        </w:rPr>
        <w:t xml:space="preserve">Courses with different </w:t>
      </w:r>
      <w:r>
        <w:rPr>
          <w:rFonts w:ascii="Aptos" w:hAnsi="Aptos"/>
          <w:szCs w:val="24"/>
        </w:rPr>
        <w:t>names share subjects and</w:t>
      </w:r>
      <w:r w:rsidRPr="007C7C35">
        <w:rPr>
          <w:rFonts w:ascii="Aptos" w:hAnsi="Aptos"/>
          <w:szCs w:val="24"/>
        </w:rPr>
        <w:t xml:space="preserve"> teaching staff. This can occur for subjects taught across </w:t>
      </w:r>
      <w:r w:rsidR="005B36DA">
        <w:rPr>
          <w:rFonts w:ascii="Aptos" w:hAnsi="Aptos"/>
          <w:szCs w:val="24"/>
        </w:rPr>
        <w:t>multiple</w:t>
      </w:r>
      <w:r w:rsidRPr="007C7C35">
        <w:rPr>
          <w:rFonts w:ascii="Aptos" w:hAnsi="Aptos"/>
          <w:szCs w:val="24"/>
        </w:rPr>
        <w:t xml:space="preserve"> courses, such as maths or biology, or when students are required or encouraged to take subjects outside their core discipline. </w:t>
      </w:r>
    </w:p>
    <w:p w14:paraId="6BAC8CC5" w14:textId="2AC4FC55" w:rsidR="006055F1" w:rsidRPr="007C7C35" w:rsidRDefault="006055F1" w:rsidP="006055F1">
      <w:pPr>
        <w:ind w:left="0"/>
        <w:rPr>
          <w:rFonts w:ascii="Aptos" w:hAnsi="Aptos"/>
          <w:szCs w:val="24"/>
        </w:rPr>
      </w:pPr>
      <w:r>
        <w:rPr>
          <w:rFonts w:ascii="Aptos" w:hAnsi="Aptos"/>
          <w:szCs w:val="24"/>
        </w:rPr>
        <w:t xml:space="preserve">Due to these interactions, regulation of one course </w:t>
      </w:r>
      <w:r w:rsidR="005B36DA">
        <w:rPr>
          <w:rFonts w:ascii="Aptos" w:hAnsi="Aptos"/>
          <w:szCs w:val="24"/>
        </w:rPr>
        <w:t xml:space="preserve">can </w:t>
      </w:r>
      <w:r>
        <w:rPr>
          <w:rFonts w:ascii="Aptos" w:hAnsi="Aptos"/>
          <w:szCs w:val="24"/>
        </w:rPr>
        <w:t xml:space="preserve">have unintended consequences for other courses, potentially threatening their viability by undermining their joint production. </w:t>
      </w:r>
    </w:p>
    <w:p w14:paraId="55A152EF" w14:textId="77777777" w:rsidR="006055F1" w:rsidRDefault="006055F1" w:rsidP="006055F1">
      <w:pPr>
        <w:pStyle w:val="Heading3"/>
        <w:ind w:left="0"/>
        <w:rPr>
          <w:rFonts w:ascii="Aptos" w:hAnsi="Aptos"/>
        </w:rPr>
      </w:pPr>
      <w:bookmarkStart w:id="8" w:name="_Toc170742438"/>
      <w:r w:rsidRPr="007C7C35">
        <w:rPr>
          <w:rFonts w:ascii="Aptos" w:hAnsi="Aptos"/>
        </w:rPr>
        <w:t>Data issues</w:t>
      </w:r>
      <w:bookmarkEnd w:id="8"/>
    </w:p>
    <w:p w14:paraId="28F76DEC" w14:textId="77777777" w:rsidR="006055F1" w:rsidRPr="007C7C35" w:rsidRDefault="006055F1" w:rsidP="006055F1">
      <w:pPr>
        <w:ind w:left="0"/>
        <w:rPr>
          <w:rFonts w:ascii="Aptos" w:hAnsi="Aptos"/>
          <w:szCs w:val="24"/>
        </w:rPr>
      </w:pPr>
      <w:r>
        <w:rPr>
          <w:rFonts w:ascii="Aptos" w:hAnsi="Aptos"/>
          <w:szCs w:val="24"/>
        </w:rPr>
        <w:t xml:space="preserve">Unlike in vocational education higher education does not have standardised courses. </w:t>
      </w:r>
      <w:r w:rsidRPr="007C7C35">
        <w:rPr>
          <w:rFonts w:ascii="Aptos" w:hAnsi="Aptos"/>
          <w:szCs w:val="24"/>
        </w:rPr>
        <w:t>Universities and some other higher education providers are self-accrediting</w:t>
      </w:r>
      <w:r>
        <w:rPr>
          <w:rFonts w:ascii="Aptos" w:hAnsi="Aptos"/>
          <w:szCs w:val="24"/>
        </w:rPr>
        <w:t>, creating and approving their own courses. Other providers have their course accredited by TEQSA. As a result higher education has</w:t>
      </w:r>
      <w:r w:rsidRPr="007C7C35">
        <w:rPr>
          <w:rFonts w:ascii="Aptos" w:hAnsi="Aptos"/>
          <w:szCs w:val="24"/>
        </w:rPr>
        <w:t xml:space="preserve"> thousands of courses, with many created and phased out each year. </w:t>
      </w:r>
    </w:p>
    <w:p w14:paraId="3740BB12" w14:textId="497FC6EE" w:rsidR="006055F1" w:rsidRPr="007C7C35" w:rsidRDefault="006055F1" w:rsidP="006055F1">
      <w:pPr>
        <w:ind w:left="0"/>
        <w:rPr>
          <w:rFonts w:ascii="Aptos" w:hAnsi="Aptos"/>
          <w:szCs w:val="24"/>
        </w:rPr>
      </w:pPr>
      <w:r w:rsidRPr="007C7C35">
        <w:rPr>
          <w:rFonts w:ascii="Aptos" w:hAnsi="Aptos"/>
          <w:szCs w:val="24"/>
        </w:rPr>
        <w:t xml:space="preserve">Partly for these reasons, the Department of Education </w:t>
      </w:r>
      <w:r w:rsidR="002A2867">
        <w:rPr>
          <w:rFonts w:ascii="Aptos" w:hAnsi="Aptos"/>
          <w:szCs w:val="24"/>
        </w:rPr>
        <w:t xml:space="preserve">generally </w:t>
      </w:r>
      <w:r w:rsidRPr="007C7C35">
        <w:rPr>
          <w:rFonts w:ascii="Aptos" w:hAnsi="Aptos"/>
          <w:szCs w:val="24"/>
        </w:rPr>
        <w:t>does not currently publish course</w:t>
      </w:r>
      <w:r>
        <w:rPr>
          <w:rFonts w:ascii="Aptos" w:hAnsi="Aptos"/>
          <w:szCs w:val="24"/>
        </w:rPr>
        <w:t>-level enrolment</w:t>
      </w:r>
      <w:r w:rsidRPr="007C7C35">
        <w:rPr>
          <w:rFonts w:ascii="Aptos" w:hAnsi="Aptos"/>
          <w:szCs w:val="24"/>
        </w:rPr>
        <w:t xml:space="preserve"> data, other than coding courses at a high level o</w:t>
      </w:r>
      <w:r>
        <w:rPr>
          <w:rFonts w:ascii="Aptos" w:hAnsi="Aptos"/>
          <w:szCs w:val="24"/>
        </w:rPr>
        <w:t>f</w:t>
      </w:r>
      <w:r w:rsidRPr="007C7C35">
        <w:rPr>
          <w:rFonts w:ascii="Aptos" w:hAnsi="Aptos"/>
          <w:szCs w:val="24"/>
        </w:rPr>
        <w:t xml:space="preserve"> field of education aggregation. For example, arts, law, psychology and social work courses are all aggregated into ‘society and culture’. </w:t>
      </w:r>
      <w:r>
        <w:rPr>
          <w:rFonts w:ascii="Aptos" w:hAnsi="Aptos"/>
          <w:szCs w:val="24"/>
        </w:rPr>
        <w:t xml:space="preserve">Of the 388 occupations </w:t>
      </w:r>
      <w:r>
        <w:rPr>
          <w:rFonts w:ascii="Aptos" w:hAnsi="Aptos"/>
          <w:szCs w:val="24"/>
        </w:rPr>
        <w:lastRenderedPageBreak/>
        <w:t>classified by the ABS as high-skill and typically requiring a degree, only seven have</w:t>
      </w:r>
      <w:r w:rsidRPr="007C7C35">
        <w:rPr>
          <w:rFonts w:ascii="Aptos" w:hAnsi="Aptos"/>
          <w:szCs w:val="24"/>
        </w:rPr>
        <w:t xml:space="preserve"> currently reported</w:t>
      </w:r>
      <w:r>
        <w:rPr>
          <w:rFonts w:ascii="Aptos" w:hAnsi="Aptos"/>
          <w:szCs w:val="24"/>
        </w:rPr>
        <w:t xml:space="preserve"> enrolments by relevant course.</w:t>
      </w:r>
      <w:r>
        <w:rPr>
          <w:rStyle w:val="FootnoteReference"/>
          <w:rFonts w:ascii="Aptos" w:hAnsi="Aptos"/>
          <w:szCs w:val="24"/>
        </w:rPr>
        <w:footnoteReference w:id="1"/>
      </w:r>
    </w:p>
    <w:p w14:paraId="49556E31" w14:textId="77777777" w:rsidR="006055F1" w:rsidRPr="00674E44" w:rsidRDefault="006055F1" w:rsidP="006055F1">
      <w:pPr>
        <w:ind w:left="0"/>
      </w:pPr>
      <w:r w:rsidRPr="007C7C35">
        <w:rPr>
          <w:rFonts w:ascii="Aptos" w:hAnsi="Aptos"/>
          <w:szCs w:val="24"/>
        </w:rPr>
        <w:t>Regulating at the course level is an enormous task which requires significant preparation work. The planned Australian Tertiary Education Commission is expected to do work that would support this regulation, but it will not start until 1 July 2025 and is unlikely to be fully operational until well after that.</w:t>
      </w:r>
      <w:r w:rsidRPr="007C7C35">
        <w:rPr>
          <w:rStyle w:val="FootnoteReference"/>
          <w:rFonts w:ascii="Aptos" w:hAnsi="Aptos"/>
          <w:szCs w:val="24"/>
        </w:rPr>
        <w:footnoteReference w:id="2"/>
      </w:r>
      <w:r w:rsidRPr="007C7C35">
        <w:rPr>
          <w:rFonts w:ascii="Aptos" w:hAnsi="Aptos"/>
          <w:szCs w:val="24"/>
        </w:rPr>
        <w:t xml:space="preserve"> </w:t>
      </w:r>
    </w:p>
    <w:p w14:paraId="6D7120AB" w14:textId="77777777" w:rsidR="006055F1" w:rsidRPr="007C7C35" w:rsidRDefault="006055F1" w:rsidP="006055F1">
      <w:pPr>
        <w:ind w:left="0"/>
        <w:rPr>
          <w:rFonts w:ascii="Aptos" w:hAnsi="Aptos"/>
          <w:szCs w:val="24"/>
        </w:rPr>
      </w:pPr>
      <w:r>
        <w:rPr>
          <w:rFonts w:ascii="Aptos" w:hAnsi="Aptos"/>
          <w:szCs w:val="24"/>
        </w:rPr>
        <w:t>As t</w:t>
      </w:r>
      <w:r w:rsidRPr="007C7C35">
        <w:rPr>
          <w:rFonts w:ascii="Aptos" w:hAnsi="Aptos"/>
          <w:szCs w:val="24"/>
        </w:rPr>
        <w:t>he Department of Home Affairs submission to this inquiry admits</w:t>
      </w:r>
      <w:r>
        <w:rPr>
          <w:rFonts w:ascii="Aptos" w:hAnsi="Aptos"/>
          <w:szCs w:val="24"/>
        </w:rPr>
        <w:t xml:space="preserve">, </w:t>
      </w:r>
      <w:r w:rsidRPr="007C7C35">
        <w:rPr>
          <w:rFonts w:ascii="Aptos" w:hAnsi="Aptos"/>
          <w:szCs w:val="24"/>
        </w:rPr>
        <w:t>its data systems and those the Department of Education are not currently in a position to administer this policy.</w:t>
      </w:r>
      <w:r w:rsidRPr="007C7C35">
        <w:rPr>
          <w:rStyle w:val="FootnoteReference"/>
          <w:rFonts w:ascii="Aptos" w:hAnsi="Aptos"/>
          <w:szCs w:val="24"/>
        </w:rPr>
        <w:footnoteReference w:id="3"/>
      </w:r>
      <w:r w:rsidRPr="007C7C35">
        <w:rPr>
          <w:rFonts w:ascii="Aptos" w:hAnsi="Aptos"/>
          <w:szCs w:val="24"/>
        </w:rPr>
        <w:t xml:space="preserve"> </w:t>
      </w:r>
    </w:p>
    <w:p w14:paraId="27FF3C47" w14:textId="70B648BC" w:rsidR="006055F1" w:rsidRPr="007C7C35" w:rsidRDefault="006055F1" w:rsidP="006055F1">
      <w:pPr>
        <w:ind w:left="0"/>
        <w:rPr>
          <w:rFonts w:ascii="Aptos" w:hAnsi="Aptos"/>
          <w:szCs w:val="24"/>
        </w:rPr>
      </w:pPr>
      <w:r w:rsidRPr="007C7C35">
        <w:rPr>
          <w:rFonts w:ascii="Aptos" w:hAnsi="Aptos"/>
          <w:szCs w:val="24"/>
        </w:rPr>
        <w:t xml:space="preserve">The Department of Home Affairs is, </w:t>
      </w:r>
      <w:r>
        <w:rPr>
          <w:rFonts w:ascii="Aptos" w:hAnsi="Aptos"/>
          <w:szCs w:val="24"/>
        </w:rPr>
        <w:t>however</w:t>
      </w:r>
      <w:r w:rsidRPr="007C7C35">
        <w:rPr>
          <w:rFonts w:ascii="Aptos" w:hAnsi="Aptos"/>
          <w:szCs w:val="24"/>
        </w:rPr>
        <w:t xml:space="preserve">, a model of good </w:t>
      </w:r>
      <w:r>
        <w:rPr>
          <w:rFonts w:ascii="Aptos" w:hAnsi="Aptos"/>
          <w:szCs w:val="24"/>
        </w:rPr>
        <w:t xml:space="preserve">data </w:t>
      </w:r>
      <w:r w:rsidRPr="007C7C35">
        <w:rPr>
          <w:rFonts w:ascii="Aptos" w:hAnsi="Aptos"/>
          <w:szCs w:val="24"/>
        </w:rPr>
        <w:t xml:space="preserve">practice compared to the Department of Education. </w:t>
      </w:r>
      <w:r w:rsidR="005B36DA">
        <w:rPr>
          <w:rFonts w:ascii="Aptos" w:hAnsi="Aptos"/>
          <w:szCs w:val="24"/>
        </w:rPr>
        <w:t xml:space="preserve">Home Affairs </w:t>
      </w:r>
      <w:r w:rsidRPr="007C7C35">
        <w:rPr>
          <w:rFonts w:ascii="Aptos" w:hAnsi="Aptos"/>
          <w:szCs w:val="24"/>
        </w:rPr>
        <w:t xml:space="preserve">regularly reports </w:t>
      </w:r>
      <w:r w:rsidR="00977CD7">
        <w:rPr>
          <w:rFonts w:ascii="Aptos" w:hAnsi="Aptos"/>
          <w:szCs w:val="24"/>
        </w:rPr>
        <w:t xml:space="preserve">on international students </w:t>
      </w:r>
      <w:r w:rsidRPr="007C7C35">
        <w:rPr>
          <w:rFonts w:ascii="Aptos" w:hAnsi="Aptos"/>
          <w:szCs w:val="24"/>
        </w:rPr>
        <w:t xml:space="preserve">as of a few weeks previously. The latest </w:t>
      </w:r>
      <w:r w:rsidR="00977CD7">
        <w:rPr>
          <w:rFonts w:ascii="Aptos" w:hAnsi="Aptos"/>
          <w:szCs w:val="24"/>
        </w:rPr>
        <w:t xml:space="preserve">domestic </w:t>
      </w:r>
      <w:r w:rsidRPr="007C7C35">
        <w:rPr>
          <w:rFonts w:ascii="Aptos" w:hAnsi="Aptos"/>
          <w:szCs w:val="24"/>
        </w:rPr>
        <w:t xml:space="preserve">higher education enrolment data from the Department of Education, by contrast, is for 2022. </w:t>
      </w:r>
    </w:p>
    <w:p w14:paraId="09D0DED2" w14:textId="1B31C716" w:rsidR="006055F1" w:rsidRPr="007C7C35" w:rsidRDefault="00977CD7" w:rsidP="006055F1">
      <w:pPr>
        <w:ind w:left="0"/>
        <w:rPr>
          <w:rFonts w:ascii="Aptos" w:hAnsi="Aptos"/>
          <w:szCs w:val="24"/>
        </w:rPr>
      </w:pPr>
      <w:r>
        <w:rPr>
          <w:rFonts w:ascii="Aptos" w:hAnsi="Aptos"/>
          <w:szCs w:val="24"/>
        </w:rPr>
        <w:t xml:space="preserve">Without recent domestic student data, Education will not </w:t>
      </w:r>
      <w:r w:rsidR="006055F1" w:rsidRPr="007C7C35">
        <w:rPr>
          <w:rFonts w:ascii="Aptos" w:hAnsi="Aptos"/>
          <w:szCs w:val="24"/>
        </w:rPr>
        <w:t xml:space="preserve">understand the interdependencies between courses and between international and domestic students. The loss of international students may undermine the viability of courses taken by domestic students, forcing them to close. </w:t>
      </w:r>
    </w:p>
    <w:p w14:paraId="2D00D42A" w14:textId="77777777" w:rsidR="006055F1" w:rsidRPr="007C7C35" w:rsidRDefault="006055F1" w:rsidP="006055F1">
      <w:pPr>
        <w:pStyle w:val="Heading3"/>
        <w:ind w:left="0"/>
        <w:rPr>
          <w:rFonts w:ascii="Aptos" w:hAnsi="Aptos"/>
        </w:rPr>
      </w:pPr>
      <w:bookmarkStart w:id="9" w:name="_Toc170742439"/>
      <w:r w:rsidRPr="007C7C35">
        <w:rPr>
          <w:rStyle w:val="Hyperlink"/>
          <w:rFonts w:ascii="Aptos" w:hAnsi="Aptos"/>
          <w:color w:val="243F60" w:themeColor="accent1" w:themeShade="7F"/>
          <w:u w:val="none"/>
        </w:rPr>
        <w:t>Australia’s labour market or international student home country labour markets?</w:t>
      </w:r>
      <w:bookmarkEnd w:id="9"/>
    </w:p>
    <w:p w14:paraId="13D819BD" w14:textId="57AE5F7F" w:rsidR="006055F1" w:rsidRPr="007C7C35" w:rsidRDefault="006055F1" w:rsidP="006055F1">
      <w:pPr>
        <w:ind w:left="0"/>
        <w:rPr>
          <w:rFonts w:ascii="Aptos" w:hAnsi="Aptos"/>
          <w:szCs w:val="24"/>
        </w:rPr>
      </w:pPr>
      <w:r w:rsidRPr="007C7C35">
        <w:rPr>
          <w:rFonts w:ascii="Aptos" w:hAnsi="Aptos"/>
          <w:szCs w:val="24"/>
        </w:rPr>
        <w:t>One rationale for the power to cap enrolments at the course level is the idea that international student course choices should reflect Australian labour market needs.</w:t>
      </w:r>
      <w:r w:rsidRPr="007C7C35">
        <w:rPr>
          <w:rStyle w:val="FootnoteReference"/>
          <w:rFonts w:ascii="Aptos" w:hAnsi="Aptos"/>
          <w:szCs w:val="24"/>
        </w:rPr>
        <w:footnoteReference w:id="4"/>
      </w:r>
      <w:r w:rsidRPr="007C7C35">
        <w:rPr>
          <w:rFonts w:ascii="Aptos" w:hAnsi="Aptos"/>
          <w:szCs w:val="24"/>
        </w:rPr>
        <w:t xml:space="preserve"> For example, the government’s consultation paper tells us </w:t>
      </w:r>
      <w:r>
        <w:rPr>
          <w:rFonts w:ascii="Aptos" w:hAnsi="Aptos"/>
          <w:szCs w:val="24"/>
        </w:rPr>
        <w:t xml:space="preserve">on page 18 </w:t>
      </w:r>
      <w:r w:rsidRPr="007C7C35">
        <w:rPr>
          <w:rFonts w:ascii="Aptos" w:hAnsi="Aptos"/>
          <w:szCs w:val="24"/>
        </w:rPr>
        <w:t xml:space="preserve">that: </w:t>
      </w:r>
    </w:p>
    <w:p w14:paraId="64603044" w14:textId="77777777" w:rsidR="006055F1" w:rsidRPr="007C7C35" w:rsidRDefault="006055F1" w:rsidP="006055F1">
      <w:pPr>
        <w:ind w:left="0"/>
        <w:rPr>
          <w:rFonts w:ascii="Aptos" w:hAnsi="Aptos"/>
          <w:color w:val="000000" w:themeColor="text1"/>
          <w:szCs w:val="24"/>
        </w:rPr>
      </w:pPr>
      <w:r w:rsidRPr="007C7C35">
        <w:rPr>
          <w:rFonts w:ascii="Aptos" w:hAnsi="Aptos"/>
          <w:color w:val="000000" w:themeColor="text1"/>
          <w:szCs w:val="24"/>
          <w:shd w:val="clear" w:color="auto" w:fill="FFFFFF"/>
        </w:rPr>
        <w:t>“While international students are an important source of potential skilled migration, student enrolments have not always been aligned with our national skills interests. In 2023, for example, 35 per cent of tertiary level international students studied business and management—skills not generally in shortage in Australia—and only 8.7 per cent studied in areas of health and education.”</w:t>
      </w:r>
    </w:p>
    <w:p w14:paraId="59287AEA" w14:textId="5831E6D7" w:rsidR="006055F1" w:rsidRPr="007C7C35" w:rsidRDefault="00977CD7" w:rsidP="006055F1">
      <w:pPr>
        <w:ind w:left="0"/>
        <w:rPr>
          <w:rFonts w:ascii="Aptos" w:hAnsi="Aptos"/>
          <w:color w:val="000000" w:themeColor="text1"/>
          <w:szCs w:val="24"/>
        </w:rPr>
      </w:pPr>
      <w:r>
        <w:rPr>
          <w:rFonts w:ascii="Aptos" w:hAnsi="Aptos"/>
          <w:color w:val="000000" w:themeColor="text1"/>
          <w:szCs w:val="24"/>
        </w:rPr>
        <w:t>M</w:t>
      </w:r>
      <w:r w:rsidR="006055F1" w:rsidRPr="007C7C35">
        <w:rPr>
          <w:rFonts w:ascii="Aptos" w:hAnsi="Aptos"/>
          <w:color w:val="000000" w:themeColor="text1"/>
          <w:szCs w:val="24"/>
        </w:rPr>
        <w:t>any international students have migration in mind.</w:t>
      </w:r>
      <w:r>
        <w:rPr>
          <w:rStyle w:val="FootnoteReference"/>
          <w:rFonts w:ascii="Aptos" w:hAnsi="Aptos"/>
          <w:color w:val="000000" w:themeColor="text1"/>
          <w:szCs w:val="24"/>
        </w:rPr>
        <w:footnoteReference w:id="5"/>
      </w:r>
      <w:r w:rsidR="006055F1" w:rsidRPr="007C7C35">
        <w:rPr>
          <w:rFonts w:ascii="Aptos" w:hAnsi="Aptos"/>
          <w:color w:val="000000" w:themeColor="text1"/>
          <w:szCs w:val="24"/>
        </w:rPr>
        <w:t xml:space="preserve"> But in practice most international students leave Australia. They spend their careers in their home country’s labour market, or that of some other country. It makes little sense to </w:t>
      </w:r>
      <w:r w:rsidR="006055F1" w:rsidRPr="007C7C35">
        <w:rPr>
          <w:rFonts w:ascii="Aptos" w:hAnsi="Aptos"/>
          <w:color w:val="000000" w:themeColor="text1"/>
          <w:szCs w:val="24"/>
        </w:rPr>
        <w:lastRenderedPageBreak/>
        <w:t xml:space="preserve">restrict </w:t>
      </w:r>
      <w:r w:rsidR="007B0A54">
        <w:rPr>
          <w:rFonts w:ascii="Aptos" w:hAnsi="Aptos"/>
          <w:color w:val="000000" w:themeColor="text1"/>
          <w:szCs w:val="24"/>
        </w:rPr>
        <w:t xml:space="preserve">their options </w:t>
      </w:r>
      <w:r w:rsidR="006055F1" w:rsidRPr="007C7C35">
        <w:rPr>
          <w:rFonts w:ascii="Aptos" w:hAnsi="Aptos"/>
          <w:color w:val="000000" w:themeColor="text1"/>
          <w:szCs w:val="24"/>
        </w:rPr>
        <w:t>or steer international students to courses related to Australian skills shortages. International students should, and should be able</w:t>
      </w:r>
      <w:r w:rsidR="00797879">
        <w:rPr>
          <w:rFonts w:ascii="Aptos" w:hAnsi="Aptos"/>
          <w:color w:val="000000" w:themeColor="text1"/>
          <w:szCs w:val="24"/>
        </w:rPr>
        <w:t xml:space="preserve"> to</w:t>
      </w:r>
      <w:r w:rsidR="006055F1" w:rsidRPr="007C7C35">
        <w:rPr>
          <w:rFonts w:ascii="Aptos" w:hAnsi="Aptos"/>
          <w:color w:val="000000" w:themeColor="text1"/>
          <w:szCs w:val="24"/>
        </w:rPr>
        <w:t xml:space="preserve">, take courses that reflect their own interests, and their own judgments of labour market prospects in countries other than Australia. </w:t>
      </w:r>
    </w:p>
    <w:p w14:paraId="01005787" w14:textId="77777777" w:rsidR="006055F1" w:rsidRPr="007C7C35" w:rsidRDefault="006055F1" w:rsidP="006055F1">
      <w:pPr>
        <w:pStyle w:val="Heading3"/>
        <w:ind w:left="0"/>
        <w:rPr>
          <w:rFonts w:ascii="Aptos" w:hAnsi="Aptos"/>
        </w:rPr>
      </w:pPr>
      <w:bookmarkStart w:id="10" w:name="_Toc170742440"/>
      <w:r w:rsidRPr="007C7C35">
        <w:rPr>
          <w:rFonts w:ascii="Aptos" w:hAnsi="Aptos"/>
        </w:rPr>
        <w:t>Migration patterns</w:t>
      </w:r>
      <w:bookmarkEnd w:id="10"/>
    </w:p>
    <w:p w14:paraId="6EE56B3F" w14:textId="0869F4E2" w:rsidR="00134C00" w:rsidRDefault="006055F1" w:rsidP="006055F1">
      <w:pPr>
        <w:ind w:left="0"/>
        <w:rPr>
          <w:rFonts w:ascii="Aptos" w:hAnsi="Aptos"/>
          <w:color w:val="000000" w:themeColor="text1"/>
          <w:szCs w:val="24"/>
        </w:rPr>
      </w:pPr>
      <w:r w:rsidRPr="007C7C35">
        <w:rPr>
          <w:rFonts w:ascii="Aptos" w:hAnsi="Aptos"/>
          <w:color w:val="000000" w:themeColor="text1"/>
          <w:szCs w:val="24"/>
        </w:rPr>
        <w:t xml:space="preserve">The best analysis of international student migration patterns comes from the Grattan Institute, which used longitudinal migration data. For international student arrivals in the 2010s, typically a third to a half had no substantive visa after their student visa, with the figure varying by year and sector (vocational or higher education). They went home. </w:t>
      </w:r>
    </w:p>
    <w:p w14:paraId="052A7478" w14:textId="598C1A9A" w:rsidR="006055F1" w:rsidRPr="007C7C35" w:rsidRDefault="006055F1" w:rsidP="006055F1">
      <w:pPr>
        <w:ind w:left="0"/>
        <w:rPr>
          <w:rFonts w:ascii="Aptos" w:hAnsi="Aptos"/>
          <w:color w:val="000000" w:themeColor="text1"/>
          <w:szCs w:val="24"/>
        </w:rPr>
      </w:pPr>
      <w:r w:rsidRPr="007C7C35">
        <w:rPr>
          <w:rFonts w:ascii="Aptos" w:hAnsi="Aptos"/>
          <w:color w:val="000000" w:themeColor="text1"/>
          <w:szCs w:val="24"/>
        </w:rPr>
        <w:t>Other student visa</w:t>
      </w:r>
      <w:r w:rsidR="007B0A54">
        <w:rPr>
          <w:rFonts w:ascii="Aptos" w:hAnsi="Aptos"/>
          <w:color w:val="000000" w:themeColor="text1"/>
          <w:szCs w:val="24"/>
        </w:rPr>
        <w:t xml:space="preserve"> holder</w:t>
      </w:r>
      <w:r w:rsidRPr="007C7C35">
        <w:rPr>
          <w:rFonts w:ascii="Aptos" w:hAnsi="Aptos"/>
          <w:color w:val="000000" w:themeColor="text1"/>
          <w:szCs w:val="24"/>
        </w:rPr>
        <w:t xml:space="preserve">s went on to other visas, </w:t>
      </w:r>
      <w:r w:rsidR="001331AA">
        <w:rPr>
          <w:rFonts w:ascii="Aptos" w:hAnsi="Aptos"/>
          <w:color w:val="000000" w:themeColor="text1"/>
          <w:szCs w:val="24"/>
        </w:rPr>
        <w:t xml:space="preserve">often a temporary visa, </w:t>
      </w:r>
      <w:r w:rsidRPr="007C7C35">
        <w:rPr>
          <w:rFonts w:ascii="Aptos" w:hAnsi="Aptos"/>
          <w:color w:val="000000" w:themeColor="text1"/>
          <w:szCs w:val="24"/>
        </w:rPr>
        <w:t>with some becoming permanent residents.</w:t>
      </w:r>
      <w:r w:rsidRPr="007C7C35">
        <w:rPr>
          <w:rStyle w:val="FootnoteReference"/>
          <w:rFonts w:ascii="Aptos" w:hAnsi="Aptos"/>
          <w:color w:val="000000" w:themeColor="text1"/>
          <w:szCs w:val="24"/>
        </w:rPr>
        <w:footnoteReference w:id="6"/>
      </w:r>
    </w:p>
    <w:p w14:paraId="48C2C954" w14:textId="0914CE29" w:rsidR="006055F1" w:rsidRPr="007C7C35" w:rsidRDefault="006055F1" w:rsidP="006055F1">
      <w:pPr>
        <w:ind w:left="0"/>
        <w:rPr>
          <w:rFonts w:ascii="Aptos" w:hAnsi="Aptos"/>
          <w:color w:val="000000" w:themeColor="text1"/>
          <w:szCs w:val="24"/>
        </w:rPr>
      </w:pPr>
      <w:r w:rsidRPr="007C7C35">
        <w:rPr>
          <w:rFonts w:ascii="Aptos" w:hAnsi="Aptos"/>
          <w:color w:val="000000" w:themeColor="text1"/>
          <w:szCs w:val="24"/>
        </w:rPr>
        <w:t xml:space="preserve">As </w:t>
      </w:r>
      <w:r w:rsidRPr="007C7C35">
        <w:rPr>
          <w:rFonts w:ascii="Aptos" w:hAnsi="Aptos"/>
          <w:color w:val="000000" w:themeColor="text1"/>
          <w:szCs w:val="24"/>
        </w:rPr>
        <w:fldChar w:fldCharType="begin"/>
      </w:r>
      <w:r w:rsidRPr="007C7C35">
        <w:rPr>
          <w:rFonts w:ascii="Aptos" w:hAnsi="Aptos"/>
          <w:color w:val="000000" w:themeColor="text1"/>
          <w:szCs w:val="24"/>
        </w:rPr>
        <w:instrText xml:space="preserve"> REF _Ref170574137 \h  \* MERGEFORMAT </w:instrText>
      </w:r>
      <w:r w:rsidRPr="007C7C35">
        <w:rPr>
          <w:rFonts w:ascii="Aptos" w:hAnsi="Aptos"/>
          <w:color w:val="000000" w:themeColor="text1"/>
          <w:szCs w:val="24"/>
        </w:rPr>
      </w:r>
      <w:r w:rsidRPr="007C7C35">
        <w:rPr>
          <w:rFonts w:ascii="Aptos" w:hAnsi="Aptos"/>
          <w:color w:val="000000" w:themeColor="text1"/>
          <w:szCs w:val="24"/>
        </w:rPr>
        <w:fldChar w:fldCharType="separate"/>
      </w:r>
      <w:r w:rsidR="00FF64C8" w:rsidRPr="007C7C35">
        <w:rPr>
          <w:rFonts w:ascii="Aptos" w:hAnsi="Aptos"/>
          <w:szCs w:val="24"/>
        </w:rPr>
        <w:t xml:space="preserve">Figure </w:t>
      </w:r>
      <w:r w:rsidR="00FF64C8">
        <w:rPr>
          <w:rFonts w:ascii="Aptos" w:hAnsi="Aptos"/>
          <w:noProof/>
          <w:szCs w:val="24"/>
        </w:rPr>
        <w:t>1</w:t>
      </w:r>
      <w:r w:rsidRPr="007C7C35">
        <w:rPr>
          <w:rFonts w:ascii="Aptos" w:hAnsi="Aptos"/>
          <w:color w:val="000000" w:themeColor="text1"/>
          <w:szCs w:val="24"/>
        </w:rPr>
        <w:fldChar w:fldCharType="end"/>
      </w:r>
      <w:r w:rsidRPr="007C7C35">
        <w:rPr>
          <w:rFonts w:ascii="Aptos" w:hAnsi="Aptos"/>
          <w:color w:val="000000" w:themeColor="text1"/>
          <w:szCs w:val="24"/>
        </w:rPr>
        <w:t xml:space="preserve"> shows, rates of transitioning to permanent residence have declined over time. For arrivals in the 2010s and later, less than 20% have achieved PR to date. This reflects tighter migration rules </w:t>
      </w:r>
      <w:r w:rsidR="00F23BF8">
        <w:rPr>
          <w:rFonts w:ascii="Aptos" w:hAnsi="Aptos"/>
          <w:color w:val="000000" w:themeColor="text1"/>
          <w:szCs w:val="24"/>
        </w:rPr>
        <w:t xml:space="preserve">in the 2010s </w:t>
      </w:r>
      <w:r w:rsidRPr="007C7C35">
        <w:rPr>
          <w:rFonts w:ascii="Aptos" w:hAnsi="Aptos"/>
          <w:color w:val="000000" w:themeColor="text1"/>
          <w:szCs w:val="24"/>
        </w:rPr>
        <w:t xml:space="preserve">and the greater number of international students coming to Australia.  </w:t>
      </w:r>
    </w:p>
    <w:p w14:paraId="73B28784" w14:textId="20F66285" w:rsidR="006055F1" w:rsidRPr="007C7C35" w:rsidRDefault="006055F1" w:rsidP="006055F1">
      <w:pPr>
        <w:pStyle w:val="Caption"/>
        <w:keepNext/>
        <w:rPr>
          <w:rFonts w:ascii="Aptos" w:hAnsi="Aptos"/>
          <w:szCs w:val="24"/>
        </w:rPr>
      </w:pPr>
      <w:bookmarkStart w:id="11" w:name="_Ref170574137"/>
      <w:bookmarkStart w:id="12" w:name="_Toc170740514"/>
      <w:r w:rsidRPr="007C7C35">
        <w:rPr>
          <w:rFonts w:ascii="Aptos" w:hAnsi="Aptos"/>
          <w:szCs w:val="24"/>
        </w:rPr>
        <w:lastRenderedPageBreak/>
        <w:t xml:space="preserve">Figure </w:t>
      </w:r>
      <w:r w:rsidRPr="007C7C35">
        <w:rPr>
          <w:rFonts w:ascii="Aptos" w:hAnsi="Aptos"/>
          <w:szCs w:val="24"/>
        </w:rPr>
        <w:fldChar w:fldCharType="begin"/>
      </w:r>
      <w:r w:rsidRPr="007C7C35">
        <w:rPr>
          <w:rFonts w:ascii="Aptos" w:hAnsi="Aptos"/>
          <w:szCs w:val="24"/>
        </w:rPr>
        <w:instrText xml:space="preserve"> SEQ Figure \* ARABIC </w:instrText>
      </w:r>
      <w:r w:rsidRPr="007C7C35">
        <w:rPr>
          <w:rFonts w:ascii="Aptos" w:hAnsi="Aptos"/>
          <w:szCs w:val="24"/>
        </w:rPr>
        <w:fldChar w:fldCharType="separate"/>
      </w:r>
      <w:r w:rsidR="00FF64C8">
        <w:rPr>
          <w:rFonts w:ascii="Aptos" w:hAnsi="Aptos"/>
          <w:noProof/>
          <w:szCs w:val="24"/>
        </w:rPr>
        <w:t>1</w:t>
      </w:r>
      <w:r w:rsidRPr="007C7C35">
        <w:rPr>
          <w:rFonts w:ascii="Aptos" w:hAnsi="Aptos"/>
          <w:szCs w:val="24"/>
        </w:rPr>
        <w:fldChar w:fldCharType="end"/>
      </w:r>
      <w:bookmarkEnd w:id="11"/>
      <w:r w:rsidRPr="007C7C35">
        <w:rPr>
          <w:rFonts w:ascii="Aptos" w:hAnsi="Aptos"/>
          <w:szCs w:val="24"/>
        </w:rPr>
        <w:t>: Proportion of international students with permanent residence, by year of commencement</w:t>
      </w:r>
      <w:bookmarkEnd w:id="12"/>
    </w:p>
    <w:p w14:paraId="2305D867" w14:textId="77777777" w:rsidR="006055F1" w:rsidRPr="007C7C35" w:rsidRDefault="006055F1" w:rsidP="006055F1">
      <w:pPr>
        <w:ind w:left="0"/>
        <w:rPr>
          <w:rFonts w:ascii="Aptos" w:hAnsi="Aptos"/>
          <w:color w:val="000000" w:themeColor="text1"/>
          <w:szCs w:val="24"/>
        </w:rPr>
      </w:pPr>
      <w:r w:rsidRPr="007C7C35">
        <w:rPr>
          <w:rFonts w:ascii="Aptos" w:hAnsi="Aptos"/>
          <w:noProof/>
          <w:color w:val="000000" w:themeColor="text1"/>
          <w:szCs w:val="24"/>
        </w:rPr>
        <w:drawing>
          <wp:inline distT="0" distB="0" distL="0" distR="0" wp14:anchorId="324AE80D" wp14:editId="7EB5135C">
            <wp:extent cx="4532070" cy="4140200"/>
            <wp:effectExtent l="0" t="0" r="1905" b="0"/>
            <wp:docPr id="8" name="Content Placeholder 7" descr="Diagram&#10;&#10;Description automatically generated with medium confidence">
              <a:extLst xmlns:a="http://schemas.openxmlformats.org/drawingml/2006/main">
                <a:ext uri="{FF2B5EF4-FFF2-40B4-BE49-F238E27FC236}">
                  <a16:creationId xmlns:a16="http://schemas.microsoft.com/office/drawing/2014/main" id="{D421E499-EE05-79E6-FF82-71B1E4F8289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descr="Diagram&#10;&#10;Description automatically generated with medium confidence">
                      <a:extLst>
                        <a:ext uri="{FF2B5EF4-FFF2-40B4-BE49-F238E27FC236}">
                          <a16:creationId xmlns:a16="http://schemas.microsoft.com/office/drawing/2014/main" id="{D421E499-EE05-79E6-FF82-71B1E4F82899}"/>
                        </a:ext>
                      </a:extLst>
                    </pic:cNvPr>
                    <pic:cNvPicPr>
                      <a:picLocks noGrp="1" noChangeAspect="1"/>
                    </pic:cNvPicPr>
                  </pic:nvPicPr>
                  <pic:blipFill>
                    <a:blip r:embed="rId11"/>
                    <a:stretch>
                      <a:fillRect/>
                    </a:stretch>
                  </pic:blipFill>
                  <pic:spPr>
                    <a:xfrm>
                      <a:off x="0" y="0"/>
                      <a:ext cx="4532070" cy="4140200"/>
                    </a:xfrm>
                    <a:prstGeom prst="rect">
                      <a:avLst/>
                    </a:prstGeom>
                    <a:noFill/>
                    <a:ln>
                      <a:noFill/>
                    </a:ln>
                  </pic:spPr>
                </pic:pic>
              </a:graphicData>
            </a:graphic>
          </wp:inline>
        </w:drawing>
      </w:r>
    </w:p>
    <w:p w14:paraId="324BAE3A" w14:textId="77777777" w:rsidR="006055F1" w:rsidRPr="00977CD7" w:rsidRDefault="006055F1" w:rsidP="006055F1">
      <w:pPr>
        <w:ind w:left="0"/>
        <w:rPr>
          <w:rFonts w:ascii="Aptos" w:hAnsi="Aptos"/>
          <w:color w:val="000000" w:themeColor="text1"/>
          <w:sz w:val="22"/>
          <w:lang w:val="fr-FR"/>
        </w:rPr>
      </w:pPr>
      <w:r w:rsidRPr="00977CD7">
        <w:rPr>
          <w:rFonts w:ascii="Aptos" w:hAnsi="Aptos"/>
          <w:color w:val="000000" w:themeColor="text1"/>
          <w:sz w:val="22"/>
          <w:lang w:val="fr-FR"/>
        </w:rPr>
        <w:t xml:space="preserve">Source: Grattan Institute, </w:t>
      </w:r>
      <w:proofErr w:type="spellStart"/>
      <w:r w:rsidRPr="00977CD7">
        <w:rPr>
          <w:rFonts w:ascii="Aptos" w:hAnsi="Aptos"/>
          <w:i/>
          <w:iCs/>
          <w:color w:val="000000" w:themeColor="text1"/>
          <w:sz w:val="22"/>
          <w:lang w:val="fr-FR"/>
        </w:rPr>
        <w:t>Australia’s</w:t>
      </w:r>
      <w:proofErr w:type="spellEnd"/>
      <w:r w:rsidRPr="00977CD7">
        <w:rPr>
          <w:rFonts w:ascii="Aptos" w:hAnsi="Aptos"/>
          <w:i/>
          <w:iCs/>
          <w:color w:val="000000" w:themeColor="text1"/>
          <w:sz w:val="22"/>
          <w:lang w:val="fr-FR"/>
        </w:rPr>
        <w:t xml:space="preserve"> migration </w:t>
      </w:r>
      <w:proofErr w:type="spellStart"/>
      <w:r w:rsidRPr="00977CD7">
        <w:rPr>
          <w:rFonts w:ascii="Aptos" w:hAnsi="Aptos"/>
          <w:i/>
          <w:iCs/>
          <w:color w:val="000000" w:themeColor="text1"/>
          <w:sz w:val="22"/>
          <w:lang w:val="fr-FR"/>
        </w:rPr>
        <w:t>opportunity</w:t>
      </w:r>
      <w:proofErr w:type="spellEnd"/>
      <w:r w:rsidRPr="00977CD7">
        <w:rPr>
          <w:rFonts w:ascii="Aptos" w:hAnsi="Aptos"/>
          <w:color w:val="000000" w:themeColor="text1"/>
          <w:sz w:val="22"/>
          <w:lang w:val="fr-FR"/>
        </w:rPr>
        <w:t>, p. 38.</w:t>
      </w:r>
    </w:p>
    <w:p w14:paraId="1C67B380" w14:textId="77777777" w:rsidR="006055F1" w:rsidRPr="007C7C35" w:rsidRDefault="006055F1" w:rsidP="006055F1">
      <w:pPr>
        <w:rPr>
          <w:rFonts w:ascii="Aptos" w:hAnsi="Aptos"/>
          <w:szCs w:val="24"/>
          <w:lang w:val="fr-FR"/>
        </w:rPr>
      </w:pPr>
    </w:p>
    <w:p w14:paraId="515DF377" w14:textId="7F589825" w:rsidR="006055F1" w:rsidRPr="007C7C35" w:rsidRDefault="006055F1" w:rsidP="006055F1">
      <w:pPr>
        <w:pStyle w:val="Heading3"/>
        <w:ind w:left="0"/>
        <w:rPr>
          <w:rFonts w:ascii="Aptos" w:hAnsi="Aptos"/>
        </w:rPr>
      </w:pPr>
      <w:bookmarkStart w:id="13" w:name="_Toc170742441"/>
      <w:r w:rsidRPr="007C7C35">
        <w:rPr>
          <w:rFonts w:ascii="Aptos" w:hAnsi="Aptos"/>
        </w:rPr>
        <w:t>Chances of permanent residen</w:t>
      </w:r>
      <w:r w:rsidR="00977CD7">
        <w:rPr>
          <w:rFonts w:ascii="Aptos" w:hAnsi="Aptos"/>
        </w:rPr>
        <w:t xml:space="preserve">ce </w:t>
      </w:r>
      <w:r w:rsidRPr="007C7C35">
        <w:rPr>
          <w:rFonts w:ascii="Aptos" w:hAnsi="Aptos"/>
        </w:rPr>
        <w:t>grants increasing</w:t>
      </w:r>
      <w:bookmarkEnd w:id="13"/>
      <w:r w:rsidRPr="007C7C35">
        <w:rPr>
          <w:rFonts w:ascii="Aptos" w:hAnsi="Aptos"/>
        </w:rPr>
        <w:t xml:space="preserve"> </w:t>
      </w:r>
    </w:p>
    <w:p w14:paraId="1C51FE64" w14:textId="77777777" w:rsidR="006055F1" w:rsidRPr="007C7C35" w:rsidRDefault="006055F1" w:rsidP="006055F1">
      <w:pPr>
        <w:ind w:left="0"/>
        <w:rPr>
          <w:rFonts w:ascii="Aptos" w:hAnsi="Aptos"/>
          <w:szCs w:val="24"/>
        </w:rPr>
      </w:pPr>
      <w:r w:rsidRPr="007C7C35">
        <w:rPr>
          <w:rFonts w:ascii="Aptos" w:hAnsi="Aptos"/>
          <w:szCs w:val="24"/>
        </w:rPr>
        <w:t xml:space="preserve">The government’s policies are – despite the language of ‘managed growth’ – likely to significantly decrease international enrolments. It is pulling every lever it can to constrain both demand and supply. All other things being equal, this will increase the chance the remaining students have of getting permanent residence, but not necessarily to a level that could justify restricting international students to courses chosen to reflect Australia’s skills needs. </w:t>
      </w:r>
    </w:p>
    <w:p w14:paraId="1098F3DC" w14:textId="5BFB4A31" w:rsidR="006055F1" w:rsidRPr="007C7C35" w:rsidRDefault="006055F1" w:rsidP="006055F1">
      <w:pPr>
        <w:ind w:left="0"/>
        <w:rPr>
          <w:rFonts w:ascii="Aptos" w:hAnsi="Aptos"/>
          <w:szCs w:val="24"/>
        </w:rPr>
      </w:pPr>
      <w:r w:rsidRPr="007C7C35">
        <w:rPr>
          <w:rFonts w:ascii="Aptos" w:hAnsi="Aptos"/>
          <w:szCs w:val="24"/>
        </w:rPr>
        <w:t xml:space="preserve">If annual new international students arrivals were restricted to </w:t>
      </w:r>
      <w:r w:rsidR="003E5343">
        <w:rPr>
          <w:rFonts w:ascii="Aptos" w:hAnsi="Aptos"/>
          <w:szCs w:val="24"/>
        </w:rPr>
        <w:t>150</w:t>
      </w:r>
      <w:r w:rsidRPr="007C7C35">
        <w:rPr>
          <w:rFonts w:ascii="Aptos" w:hAnsi="Aptos"/>
          <w:szCs w:val="24"/>
        </w:rPr>
        <w:t>,000 per year – less than any non-COVID year since 201</w:t>
      </w:r>
      <w:r w:rsidR="003E5343">
        <w:rPr>
          <w:rFonts w:ascii="Aptos" w:hAnsi="Aptos"/>
          <w:szCs w:val="24"/>
        </w:rPr>
        <w:t>3</w:t>
      </w:r>
      <w:r w:rsidRPr="007C7C35">
        <w:rPr>
          <w:rFonts w:ascii="Aptos" w:hAnsi="Aptos"/>
          <w:szCs w:val="24"/>
        </w:rPr>
        <w:t xml:space="preserve"> – that would still significantly exceed grants of permanent residence.</w:t>
      </w:r>
      <w:r w:rsidRPr="007C7C35">
        <w:rPr>
          <w:rStyle w:val="FootnoteReference"/>
          <w:rFonts w:ascii="Aptos" w:hAnsi="Aptos"/>
          <w:szCs w:val="24"/>
        </w:rPr>
        <w:footnoteReference w:id="7"/>
      </w:r>
      <w:r w:rsidRPr="007C7C35">
        <w:rPr>
          <w:rFonts w:ascii="Aptos" w:hAnsi="Aptos"/>
          <w:szCs w:val="24"/>
        </w:rPr>
        <w:t xml:space="preserve"> While the published data does not provide a complete annual count of former student visa holders getting permanent residence, the traceable numbers are typically less than 50,000 per year, as seen in </w:t>
      </w:r>
      <w:r w:rsidRPr="007C7C35">
        <w:rPr>
          <w:rFonts w:ascii="Aptos" w:hAnsi="Aptos"/>
          <w:szCs w:val="24"/>
        </w:rPr>
        <w:fldChar w:fldCharType="begin"/>
      </w:r>
      <w:r w:rsidRPr="007C7C35">
        <w:rPr>
          <w:rFonts w:ascii="Aptos" w:hAnsi="Aptos"/>
          <w:szCs w:val="24"/>
        </w:rPr>
        <w:instrText xml:space="preserve"> REF _Ref170578288 \h  \* MERGEFORMAT </w:instrText>
      </w:r>
      <w:r w:rsidRPr="007C7C35">
        <w:rPr>
          <w:rFonts w:ascii="Aptos" w:hAnsi="Aptos"/>
          <w:szCs w:val="24"/>
        </w:rPr>
      </w:r>
      <w:r w:rsidRPr="007C7C35">
        <w:rPr>
          <w:rFonts w:ascii="Aptos" w:hAnsi="Aptos"/>
          <w:szCs w:val="24"/>
        </w:rPr>
        <w:fldChar w:fldCharType="separate"/>
      </w:r>
      <w:r w:rsidR="00FF64C8" w:rsidRPr="007C7C35">
        <w:rPr>
          <w:rFonts w:ascii="Aptos" w:hAnsi="Aptos"/>
          <w:szCs w:val="24"/>
        </w:rPr>
        <w:t xml:space="preserve">Figure </w:t>
      </w:r>
      <w:r w:rsidR="00FF64C8">
        <w:rPr>
          <w:rFonts w:ascii="Aptos" w:hAnsi="Aptos"/>
          <w:noProof/>
          <w:szCs w:val="24"/>
        </w:rPr>
        <w:t>2</w:t>
      </w:r>
      <w:r w:rsidRPr="007C7C35">
        <w:rPr>
          <w:rFonts w:ascii="Aptos" w:hAnsi="Aptos"/>
          <w:szCs w:val="24"/>
        </w:rPr>
        <w:fldChar w:fldCharType="end"/>
      </w:r>
      <w:r w:rsidRPr="007C7C35">
        <w:rPr>
          <w:rFonts w:ascii="Aptos" w:hAnsi="Aptos"/>
          <w:szCs w:val="24"/>
        </w:rPr>
        <w:t xml:space="preserve">  </w:t>
      </w:r>
      <w:r w:rsidRPr="007C7C35">
        <w:rPr>
          <w:rFonts w:ascii="Aptos" w:hAnsi="Aptos"/>
          <w:szCs w:val="24"/>
        </w:rPr>
        <w:lastRenderedPageBreak/>
        <w:t>(2022-23 includ</w:t>
      </w:r>
      <w:r w:rsidR="003E5343">
        <w:rPr>
          <w:rFonts w:ascii="Aptos" w:hAnsi="Aptos"/>
          <w:szCs w:val="24"/>
        </w:rPr>
        <w:t>ed</w:t>
      </w:r>
      <w:r w:rsidRPr="007C7C35">
        <w:rPr>
          <w:rFonts w:ascii="Aptos" w:hAnsi="Aptos"/>
          <w:szCs w:val="24"/>
        </w:rPr>
        <w:t xml:space="preserve"> clearing backlogged applications and is unlikely to be typical).</w:t>
      </w:r>
      <w:r w:rsidRPr="007C7C35">
        <w:rPr>
          <w:rStyle w:val="FootnoteReference"/>
          <w:rFonts w:ascii="Aptos" w:hAnsi="Aptos"/>
          <w:szCs w:val="24"/>
        </w:rPr>
        <w:footnoteReference w:id="8"/>
      </w:r>
      <w:r w:rsidRPr="007C7C35">
        <w:rPr>
          <w:rFonts w:ascii="Aptos" w:hAnsi="Aptos"/>
          <w:szCs w:val="24"/>
        </w:rPr>
        <w:t xml:space="preserve"> We would be looking at the migration system being able to take about one in </w:t>
      </w:r>
      <w:r w:rsidR="003E5343">
        <w:rPr>
          <w:rFonts w:ascii="Aptos" w:hAnsi="Aptos"/>
          <w:szCs w:val="24"/>
        </w:rPr>
        <w:t xml:space="preserve">three </w:t>
      </w:r>
      <w:r w:rsidRPr="007C7C35">
        <w:rPr>
          <w:rFonts w:ascii="Aptos" w:hAnsi="Aptos"/>
          <w:szCs w:val="24"/>
        </w:rPr>
        <w:t xml:space="preserve">international students. The rest would return home to work in their own countries. </w:t>
      </w:r>
    </w:p>
    <w:p w14:paraId="56CFF4DF" w14:textId="31B1BD0F" w:rsidR="006055F1" w:rsidRPr="007C7C35" w:rsidRDefault="006055F1" w:rsidP="006055F1">
      <w:pPr>
        <w:pStyle w:val="Caption"/>
        <w:keepNext/>
        <w:rPr>
          <w:rFonts w:ascii="Aptos" w:hAnsi="Aptos"/>
          <w:szCs w:val="24"/>
        </w:rPr>
      </w:pPr>
      <w:bookmarkStart w:id="14" w:name="_Ref170578288"/>
      <w:bookmarkStart w:id="15" w:name="_Toc170740515"/>
      <w:r w:rsidRPr="007C7C35">
        <w:rPr>
          <w:rFonts w:ascii="Aptos" w:hAnsi="Aptos"/>
          <w:szCs w:val="24"/>
        </w:rPr>
        <w:t xml:space="preserve">Figure </w:t>
      </w:r>
      <w:r w:rsidRPr="007C7C35">
        <w:rPr>
          <w:rFonts w:ascii="Aptos" w:hAnsi="Aptos"/>
          <w:szCs w:val="24"/>
        </w:rPr>
        <w:fldChar w:fldCharType="begin"/>
      </w:r>
      <w:r w:rsidRPr="007C7C35">
        <w:rPr>
          <w:rFonts w:ascii="Aptos" w:hAnsi="Aptos"/>
          <w:szCs w:val="24"/>
        </w:rPr>
        <w:instrText xml:space="preserve"> SEQ Figure \* ARABIC </w:instrText>
      </w:r>
      <w:r w:rsidRPr="007C7C35">
        <w:rPr>
          <w:rFonts w:ascii="Aptos" w:hAnsi="Aptos"/>
          <w:szCs w:val="24"/>
        </w:rPr>
        <w:fldChar w:fldCharType="separate"/>
      </w:r>
      <w:r w:rsidR="00FF64C8">
        <w:rPr>
          <w:rFonts w:ascii="Aptos" w:hAnsi="Aptos"/>
          <w:noProof/>
          <w:szCs w:val="24"/>
        </w:rPr>
        <w:t>2</w:t>
      </w:r>
      <w:r w:rsidRPr="007C7C35">
        <w:rPr>
          <w:rFonts w:ascii="Aptos" w:hAnsi="Aptos"/>
          <w:szCs w:val="24"/>
        </w:rPr>
        <w:fldChar w:fldCharType="end"/>
      </w:r>
      <w:bookmarkEnd w:id="14"/>
      <w:r w:rsidRPr="007C7C35">
        <w:rPr>
          <w:rFonts w:ascii="Aptos" w:hAnsi="Aptos"/>
          <w:szCs w:val="24"/>
        </w:rPr>
        <w:t>: Permanent residence grants where the previous visa was a student visa or temporary graduate visa</w:t>
      </w:r>
      <w:bookmarkEnd w:id="15"/>
    </w:p>
    <w:p w14:paraId="02F1E076" w14:textId="77777777" w:rsidR="006055F1" w:rsidRPr="007C7C35" w:rsidRDefault="006055F1" w:rsidP="006055F1">
      <w:pPr>
        <w:ind w:left="0"/>
        <w:rPr>
          <w:rFonts w:ascii="Aptos" w:hAnsi="Aptos"/>
          <w:szCs w:val="24"/>
        </w:rPr>
      </w:pPr>
      <w:r w:rsidRPr="007C7C35">
        <w:rPr>
          <w:rFonts w:ascii="Aptos" w:hAnsi="Aptos"/>
          <w:noProof/>
          <w:szCs w:val="24"/>
        </w:rPr>
        <w:drawing>
          <wp:inline distT="0" distB="0" distL="0" distR="0" wp14:anchorId="03B4AC0F" wp14:editId="453963D6">
            <wp:extent cx="5731510" cy="3223895"/>
            <wp:effectExtent l="0" t="0" r="0" b="1905"/>
            <wp:docPr id="922428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428477" name=""/>
                    <pic:cNvPicPr/>
                  </pic:nvPicPr>
                  <pic:blipFill>
                    <a:blip r:embed="rId12"/>
                    <a:stretch>
                      <a:fillRect/>
                    </a:stretch>
                  </pic:blipFill>
                  <pic:spPr>
                    <a:xfrm>
                      <a:off x="0" y="0"/>
                      <a:ext cx="5731510" cy="3223895"/>
                    </a:xfrm>
                    <a:prstGeom prst="rect">
                      <a:avLst/>
                    </a:prstGeom>
                  </pic:spPr>
                </pic:pic>
              </a:graphicData>
            </a:graphic>
          </wp:inline>
        </w:drawing>
      </w:r>
    </w:p>
    <w:p w14:paraId="143CD35B" w14:textId="77777777" w:rsidR="006055F1" w:rsidRPr="007C7C35" w:rsidRDefault="006055F1" w:rsidP="006055F1">
      <w:pPr>
        <w:ind w:left="0"/>
        <w:rPr>
          <w:rFonts w:ascii="Aptos" w:hAnsi="Aptos"/>
          <w:szCs w:val="24"/>
        </w:rPr>
      </w:pPr>
    </w:p>
    <w:p w14:paraId="7C84FE48" w14:textId="77777777" w:rsidR="006055F1" w:rsidRPr="007C7C35" w:rsidRDefault="006055F1" w:rsidP="006055F1">
      <w:pPr>
        <w:pStyle w:val="Heading3"/>
        <w:ind w:left="0"/>
        <w:rPr>
          <w:rFonts w:ascii="Aptos" w:hAnsi="Aptos"/>
        </w:rPr>
      </w:pPr>
      <w:bookmarkStart w:id="16" w:name="_Toc170742442"/>
      <w:r w:rsidRPr="007C7C35">
        <w:rPr>
          <w:rFonts w:ascii="Aptos" w:hAnsi="Aptos"/>
        </w:rPr>
        <w:t>Courses with placement constraints</w:t>
      </w:r>
      <w:bookmarkEnd w:id="16"/>
      <w:r w:rsidRPr="007C7C35">
        <w:rPr>
          <w:rFonts w:ascii="Aptos" w:hAnsi="Aptos"/>
        </w:rPr>
        <w:t xml:space="preserve"> </w:t>
      </w:r>
    </w:p>
    <w:p w14:paraId="151C1827" w14:textId="77777777" w:rsidR="006055F1" w:rsidRPr="007C7C35" w:rsidRDefault="006055F1" w:rsidP="006055F1">
      <w:pPr>
        <w:ind w:left="0"/>
        <w:rPr>
          <w:rFonts w:ascii="Aptos" w:hAnsi="Aptos"/>
          <w:szCs w:val="24"/>
        </w:rPr>
      </w:pPr>
      <w:r w:rsidRPr="007C7C35">
        <w:rPr>
          <w:rFonts w:ascii="Aptos" w:hAnsi="Aptos"/>
          <w:szCs w:val="24"/>
        </w:rPr>
        <w:t xml:space="preserve">The health and education courses the government believes international students should be taking have practical constraints on total student places, due to the need for clinical training or other placements. </w:t>
      </w:r>
    </w:p>
    <w:p w14:paraId="71D75DB7" w14:textId="6696EDB0" w:rsidR="006055F1" w:rsidRPr="007C7C35" w:rsidRDefault="006055F1" w:rsidP="006055F1">
      <w:pPr>
        <w:ind w:left="0"/>
        <w:rPr>
          <w:rFonts w:ascii="Aptos" w:hAnsi="Aptos"/>
          <w:szCs w:val="24"/>
        </w:rPr>
      </w:pPr>
      <w:r w:rsidRPr="007C7C35">
        <w:rPr>
          <w:rFonts w:ascii="Aptos" w:hAnsi="Aptos"/>
          <w:szCs w:val="24"/>
        </w:rPr>
        <w:t xml:space="preserve">In these courses international students, due to the higher fees that they pay, could displace domestic students. </w:t>
      </w:r>
      <w:r>
        <w:rPr>
          <w:rFonts w:ascii="Aptos" w:hAnsi="Aptos"/>
          <w:szCs w:val="24"/>
        </w:rPr>
        <w:t xml:space="preserve">The government’s policy of cutting international student </w:t>
      </w:r>
      <w:r w:rsidR="00F23BF8">
        <w:rPr>
          <w:rFonts w:ascii="Aptos" w:hAnsi="Aptos"/>
          <w:szCs w:val="24"/>
        </w:rPr>
        <w:t>numbers</w:t>
      </w:r>
      <w:r>
        <w:rPr>
          <w:rFonts w:ascii="Aptos" w:hAnsi="Aptos"/>
          <w:szCs w:val="24"/>
        </w:rPr>
        <w:t xml:space="preserve"> and revenue will force universities into measures they would not otherwise consider. </w:t>
      </w:r>
      <w:r w:rsidRPr="007C7C35">
        <w:rPr>
          <w:rFonts w:ascii="Aptos" w:hAnsi="Aptos"/>
          <w:szCs w:val="24"/>
        </w:rPr>
        <w:t>The government should consider the potential consequences for domestic students, especially as courses like teaching and nursing have historically been popular with low SES students</w:t>
      </w:r>
      <w:r w:rsidR="00D32A1F">
        <w:rPr>
          <w:rFonts w:ascii="Aptos" w:hAnsi="Aptos"/>
          <w:szCs w:val="24"/>
        </w:rPr>
        <w:t>,</w:t>
      </w:r>
      <w:r w:rsidRPr="007C7C35">
        <w:rPr>
          <w:rFonts w:ascii="Aptos" w:hAnsi="Aptos"/>
          <w:szCs w:val="24"/>
        </w:rPr>
        <w:t xml:space="preserve"> who are a government higher education participation priority.</w:t>
      </w:r>
      <w:r w:rsidR="00C93A06">
        <w:rPr>
          <w:rStyle w:val="FootnoteReference"/>
          <w:rFonts w:ascii="Aptos" w:hAnsi="Aptos"/>
          <w:szCs w:val="24"/>
        </w:rPr>
        <w:footnoteReference w:id="9"/>
      </w:r>
      <w:r w:rsidRPr="007C7C35">
        <w:rPr>
          <w:rFonts w:ascii="Aptos" w:hAnsi="Aptos"/>
          <w:szCs w:val="24"/>
        </w:rPr>
        <w:t xml:space="preserve"> </w:t>
      </w:r>
    </w:p>
    <w:p w14:paraId="6E33359B" w14:textId="49D87CCA" w:rsidR="006055F1" w:rsidRPr="007C7C35" w:rsidRDefault="006055F1" w:rsidP="006055F1">
      <w:pPr>
        <w:ind w:left="0"/>
        <w:rPr>
          <w:rFonts w:ascii="Aptos" w:hAnsi="Aptos"/>
          <w:szCs w:val="24"/>
        </w:rPr>
      </w:pPr>
      <w:r w:rsidRPr="007C7C35">
        <w:rPr>
          <w:rFonts w:ascii="Aptos" w:hAnsi="Aptos"/>
          <w:szCs w:val="24"/>
        </w:rPr>
        <w:lastRenderedPageBreak/>
        <w:t xml:space="preserve">The government should also consider the skills supply consequences of increased international student enrolments in these courses, given that some </w:t>
      </w:r>
      <w:r w:rsidR="001E4286">
        <w:rPr>
          <w:rFonts w:ascii="Aptos" w:hAnsi="Aptos"/>
          <w:szCs w:val="24"/>
        </w:rPr>
        <w:t xml:space="preserve">international graduates </w:t>
      </w:r>
      <w:r w:rsidRPr="007C7C35">
        <w:rPr>
          <w:rFonts w:ascii="Aptos" w:hAnsi="Aptos"/>
          <w:szCs w:val="24"/>
        </w:rPr>
        <w:t xml:space="preserve">will return home rather than work in Australia. </w:t>
      </w:r>
    </w:p>
    <w:p w14:paraId="3D9C6C87" w14:textId="53D92162" w:rsidR="006055F1" w:rsidRPr="007C7C35" w:rsidRDefault="006055F1" w:rsidP="006055F1">
      <w:pPr>
        <w:ind w:left="0"/>
        <w:rPr>
          <w:rFonts w:ascii="Aptos" w:hAnsi="Aptos"/>
          <w:szCs w:val="24"/>
        </w:rPr>
      </w:pPr>
      <w:r w:rsidRPr="007C7C35">
        <w:rPr>
          <w:rFonts w:ascii="Aptos" w:hAnsi="Aptos"/>
          <w:szCs w:val="24"/>
        </w:rPr>
        <w:t>On a preliminary check the risks appear to be low for nursing. Nursing graduates have high rates of remaining in Australia, and international nursing graduates in Australia have high rates of working as nurses.</w:t>
      </w:r>
      <w:r w:rsidRPr="007C7C35">
        <w:rPr>
          <w:rStyle w:val="FootnoteReference"/>
          <w:rFonts w:ascii="Aptos" w:hAnsi="Aptos"/>
          <w:szCs w:val="24"/>
        </w:rPr>
        <w:footnoteReference w:id="10"/>
      </w:r>
      <w:r w:rsidRPr="007C7C35">
        <w:rPr>
          <w:rFonts w:ascii="Aptos" w:hAnsi="Aptos"/>
          <w:szCs w:val="24"/>
        </w:rPr>
        <w:t xml:space="preserve"> However, these results and outcomes for other courses that might have no or high international enrolment caps need to be carefully analysed before proceeding with this policy. This analysis should </w:t>
      </w:r>
      <w:r w:rsidR="001E4286">
        <w:rPr>
          <w:rFonts w:ascii="Aptos" w:hAnsi="Aptos"/>
          <w:szCs w:val="24"/>
        </w:rPr>
        <w:t xml:space="preserve">also </w:t>
      </w:r>
      <w:r w:rsidRPr="007C7C35">
        <w:rPr>
          <w:rFonts w:ascii="Aptos" w:hAnsi="Aptos"/>
          <w:szCs w:val="24"/>
        </w:rPr>
        <w:t xml:space="preserve">consider how changes in migration policy might affect the decision-making of future international students. </w:t>
      </w:r>
      <w:r w:rsidR="00CC2367">
        <w:rPr>
          <w:rFonts w:ascii="Aptos" w:hAnsi="Aptos"/>
          <w:szCs w:val="24"/>
        </w:rPr>
        <w:t xml:space="preserve">For example, the source countries for nursing students may be particularly disadvantaged by increased financial barriers to studying in Australia. </w:t>
      </w:r>
    </w:p>
    <w:p w14:paraId="34FC3C34" w14:textId="77777777" w:rsidR="006055F1" w:rsidRPr="007C7C35" w:rsidRDefault="006055F1" w:rsidP="006055F1">
      <w:pPr>
        <w:ind w:left="0"/>
        <w:rPr>
          <w:rFonts w:ascii="Aptos" w:hAnsi="Aptos"/>
          <w:szCs w:val="24"/>
        </w:rPr>
      </w:pPr>
    </w:p>
    <w:p w14:paraId="4B9E6378" w14:textId="77777777" w:rsidR="006055F1" w:rsidRPr="007C7C35" w:rsidRDefault="006055F1" w:rsidP="006055F1">
      <w:pPr>
        <w:rPr>
          <w:rFonts w:ascii="Aptos" w:hAnsi="Aptos"/>
          <w:szCs w:val="24"/>
        </w:rPr>
      </w:pPr>
    </w:p>
    <w:p w14:paraId="165ABE80" w14:textId="77777777" w:rsidR="006055F1" w:rsidRPr="007C7C35" w:rsidRDefault="006055F1" w:rsidP="006055F1">
      <w:pPr>
        <w:rPr>
          <w:rFonts w:ascii="Aptos" w:hAnsi="Aptos"/>
          <w:szCs w:val="24"/>
        </w:rPr>
      </w:pPr>
      <w:r w:rsidRPr="007C7C35">
        <w:rPr>
          <w:rFonts w:ascii="Aptos" w:hAnsi="Aptos"/>
          <w:szCs w:val="24"/>
        </w:rPr>
        <w:t xml:space="preserve">. </w:t>
      </w:r>
      <w:r w:rsidRPr="007C7C35">
        <w:rPr>
          <w:rFonts w:ascii="Aptos" w:hAnsi="Aptos"/>
          <w:szCs w:val="24"/>
        </w:rPr>
        <w:br w:type="page"/>
      </w:r>
    </w:p>
    <w:p w14:paraId="4D290EB0" w14:textId="13ADD102" w:rsidR="00AC4357" w:rsidRDefault="00AC4357" w:rsidP="00AC4357">
      <w:pPr>
        <w:pStyle w:val="Heading1"/>
        <w:numPr>
          <w:ilvl w:val="0"/>
          <w:numId w:val="7"/>
        </w:numPr>
        <w:ind w:left="357" w:hanging="357"/>
        <w:rPr>
          <w:rFonts w:ascii="Aptos" w:hAnsi="Aptos" w:cs="Arial"/>
          <w:color w:val="4F81BD" w:themeColor="accent1"/>
          <w:sz w:val="24"/>
          <w:szCs w:val="24"/>
        </w:rPr>
      </w:pPr>
      <w:bookmarkStart w:id="17" w:name="_Toc170742443"/>
      <w:r w:rsidRPr="00AC4357">
        <w:rPr>
          <w:rFonts w:ascii="Aptos" w:hAnsi="Aptos" w:cs="Arial"/>
          <w:color w:val="4F81BD" w:themeColor="accent1"/>
          <w:sz w:val="24"/>
          <w:szCs w:val="24"/>
        </w:rPr>
        <w:lastRenderedPageBreak/>
        <w:t xml:space="preserve">Trying to put international students in </w:t>
      </w:r>
      <w:r w:rsidR="00CA7B51">
        <w:rPr>
          <w:rFonts w:ascii="Aptos" w:hAnsi="Aptos" w:cs="Arial"/>
          <w:color w:val="4F81BD" w:themeColor="accent1"/>
          <w:sz w:val="24"/>
          <w:szCs w:val="24"/>
        </w:rPr>
        <w:t>locations</w:t>
      </w:r>
      <w:r w:rsidRPr="00AC4357">
        <w:rPr>
          <w:rFonts w:ascii="Aptos" w:hAnsi="Aptos" w:cs="Arial"/>
          <w:color w:val="4F81BD" w:themeColor="accent1"/>
          <w:sz w:val="24"/>
          <w:szCs w:val="24"/>
        </w:rPr>
        <w:t xml:space="preserve"> that don’t suit them</w:t>
      </w:r>
      <w:bookmarkEnd w:id="17"/>
    </w:p>
    <w:p w14:paraId="5D542985" w14:textId="225E2A64" w:rsidR="0064693C" w:rsidRPr="007C7C35" w:rsidRDefault="007B77D9" w:rsidP="0064693C">
      <w:pPr>
        <w:ind w:left="0"/>
        <w:rPr>
          <w:rFonts w:ascii="Aptos" w:hAnsi="Aptos"/>
          <w:szCs w:val="24"/>
        </w:rPr>
      </w:pPr>
      <w:r w:rsidRPr="007C7C35">
        <w:rPr>
          <w:rFonts w:ascii="Aptos" w:hAnsi="Aptos"/>
          <w:szCs w:val="24"/>
        </w:rPr>
        <w:t xml:space="preserve">The government </w:t>
      </w:r>
      <w:r w:rsidR="004C7973" w:rsidRPr="007C7C35">
        <w:rPr>
          <w:rFonts w:ascii="Aptos" w:hAnsi="Aptos"/>
          <w:szCs w:val="24"/>
        </w:rPr>
        <w:t xml:space="preserve">intends </w:t>
      </w:r>
      <w:r w:rsidRPr="007C7C35">
        <w:rPr>
          <w:rFonts w:ascii="Aptos" w:hAnsi="Aptos"/>
          <w:szCs w:val="24"/>
        </w:rPr>
        <w:t>to favour regional universities when setting caps.</w:t>
      </w:r>
      <w:r w:rsidRPr="007C7C35">
        <w:rPr>
          <w:rStyle w:val="FootnoteReference"/>
          <w:rFonts w:ascii="Aptos" w:hAnsi="Aptos"/>
          <w:szCs w:val="24"/>
        </w:rPr>
        <w:footnoteReference w:id="11"/>
      </w:r>
      <w:r w:rsidRPr="007C7C35">
        <w:rPr>
          <w:rFonts w:ascii="Aptos" w:hAnsi="Aptos"/>
          <w:szCs w:val="24"/>
        </w:rPr>
        <w:t xml:space="preserve"> It acknowledges that less than 10% of international students currently live in regional areas. </w:t>
      </w:r>
    </w:p>
    <w:p w14:paraId="68EB6912" w14:textId="17A9449C" w:rsidR="004C7973" w:rsidRPr="007C7C35" w:rsidRDefault="00386454" w:rsidP="0064693C">
      <w:pPr>
        <w:ind w:left="0"/>
        <w:rPr>
          <w:rFonts w:ascii="Aptos" w:hAnsi="Aptos"/>
          <w:szCs w:val="24"/>
        </w:rPr>
      </w:pPr>
      <w:r w:rsidRPr="007C7C35">
        <w:rPr>
          <w:rFonts w:ascii="Aptos" w:hAnsi="Aptos"/>
          <w:szCs w:val="24"/>
        </w:rPr>
        <w:t xml:space="preserve">The only new mechanism in this bill </w:t>
      </w:r>
      <w:r w:rsidR="00D25243" w:rsidRPr="007C7C35">
        <w:rPr>
          <w:rFonts w:ascii="Aptos" w:hAnsi="Aptos"/>
          <w:szCs w:val="24"/>
        </w:rPr>
        <w:t>to</w:t>
      </w:r>
      <w:r w:rsidRPr="007C7C35">
        <w:rPr>
          <w:rFonts w:ascii="Aptos" w:hAnsi="Aptos"/>
          <w:szCs w:val="24"/>
        </w:rPr>
        <w:t xml:space="preserve"> encourage international students to study in regional areas is caps on students in major city areas. On the logic of this policy, prospective international students </w:t>
      </w:r>
      <w:r w:rsidR="00B60B53" w:rsidRPr="007C7C35">
        <w:rPr>
          <w:rFonts w:ascii="Aptos" w:hAnsi="Aptos"/>
          <w:szCs w:val="24"/>
        </w:rPr>
        <w:t>wanting to study in Australia will still do so, despite not being able to study in the university</w:t>
      </w:r>
      <w:r w:rsidR="00C92599" w:rsidRPr="007C7C35">
        <w:rPr>
          <w:rFonts w:ascii="Aptos" w:hAnsi="Aptos"/>
          <w:szCs w:val="24"/>
        </w:rPr>
        <w:t xml:space="preserve">, </w:t>
      </w:r>
      <w:r w:rsidR="00B60B53" w:rsidRPr="007C7C35">
        <w:rPr>
          <w:rFonts w:ascii="Aptos" w:hAnsi="Aptos"/>
          <w:szCs w:val="24"/>
        </w:rPr>
        <w:t xml:space="preserve">or </w:t>
      </w:r>
      <w:r w:rsidR="00C92599" w:rsidRPr="007C7C35">
        <w:rPr>
          <w:rFonts w:ascii="Aptos" w:hAnsi="Aptos"/>
          <w:szCs w:val="24"/>
        </w:rPr>
        <w:t xml:space="preserve">the </w:t>
      </w:r>
      <w:r w:rsidR="00B60B53" w:rsidRPr="007C7C35">
        <w:rPr>
          <w:rFonts w:ascii="Aptos" w:hAnsi="Aptos"/>
          <w:szCs w:val="24"/>
        </w:rPr>
        <w:t>city</w:t>
      </w:r>
      <w:r w:rsidR="00D25243" w:rsidRPr="007C7C35">
        <w:rPr>
          <w:rFonts w:ascii="Aptos" w:hAnsi="Aptos"/>
          <w:szCs w:val="24"/>
        </w:rPr>
        <w:t xml:space="preserve">, </w:t>
      </w:r>
      <w:r w:rsidR="00B60B53" w:rsidRPr="007C7C35">
        <w:rPr>
          <w:rFonts w:ascii="Aptos" w:hAnsi="Aptos"/>
          <w:szCs w:val="24"/>
        </w:rPr>
        <w:t xml:space="preserve">that they have chosen. So far as I am aware, no market research </w:t>
      </w:r>
      <w:r w:rsidR="00AC4357">
        <w:rPr>
          <w:rFonts w:ascii="Aptos" w:hAnsi="Aptos"/>
          <w:szCs w:val="24"/>
        </w:rPr>
        <w:t>supports</w:t>
      </w:r>
      <w:r w:rsidR="00D96276" w:rsidRPr="007C7C35">
        <w:rPr>
          <w:rFonts w:ascii="Aptos" w:hAnsi="Aptos"/>
          <w:szCs w:val="24"/>
        </w:rPr>
        <w:t xml:space="preserve"> this assumpti</w:t>
      </w:r>
      <w:r w:rsidR="00B60B53" w:rsidRPr="007C7C35">
        <w:rPr>
          <w:rFonts w:ascii="Aptos" w:hAnsi="Aptos"/>
          <w:szCs w:val="24"/>
        </w:rPr>
        <w:t xml:space="preserve">on. </w:t>
      </w:r>
    </w:p>
    <w:p w14:paraId="1166EBF7" w14:textId="1B00974E" w:rsidR="00D25243" w:rsidRPr="007C7C35" w:rsidRDefault="00D25243" w:rsidP="0064693C">
      <w:pPr>
        <w:ind w:left="0"/>
        <w:rPr>
          <w:rFonts w:ascii="Aptos" w:hAnsi="Aptos"/>
          <w:szCs w:val="24"/>
        </w:rPr>
      </w:pPr>
      <w:r w:rsidRPr="007C7C35">
        <w:rPr>
          <w:rFonts w:ascii="Aptos" w:hAnsi="Aptos"/>
          <w:szCs w:val="24"/>
        </w:rPr>
        <w:t xml:space="preserve">The current low share of international student enrolments in the regions is despite existing </w:t>
      </w:r>
      <w:r w:rsidR="009875B7" w:rsidRPr="007C7C35">
        <w:rPr>
          <w:rFonts w:ascii="Aptos" w:hAnsi="Aptos"/>
          <w:szCs w:val="24"/>
        </w:rPr>
        <w:t xml:space="preserve">incentives </w:t>
      </w:r>
      <w:r w:rsidRPr="007C7C35">
        <w:rPr>
          <w:rFonts w:ascii="Aptos" w:hAnsi="Aptos"/>
          <w:szCs w:val="24"/>
        </w:rPr>
        <w:t>tha</w:t>
      </w:r>
      <w:r w:rsidR="00AC4357">
        <w:rPr>
          <w:rFonts w:ascii="Aptos" w:hAnsi="Aptos"/>
          <w:szCs w:val="24"/>
        </w:rPr>
        <w:t>t</w:t>
      </w:r>
      <w:r w:rsidRPr="007C7C35">
        <w:rPr>
          <w:rFonts w:ascii="Aptos" w:hAnsi="Aptos"/>
          <w:szCs w:val="24"/>
        </w:rPr>
        <w:t xml:space="preserve"> </w:t>
      </w:r>
      <w:r w:rsidR="009875B7" w:rsidRPr="007C7C35">
        <w:rPr>
          <w:rFonts w:ascii="Aptos" w:hAnsi="Aptos"/>
          <w:szCs w:val="24"/>
        </w:rPr>
        <w:t>favour</w:t>
      </w:r>
      <w:r w:rsidR="00C92599" w:rsidRPr="007C7C35">
        <w:rPr>
          <w:rFonts w:ascii="Aptos" w:hAnsi="Aptos"/>
          <w:szCs w:val="24"/>
        </w:rPr>
        <w:t xml:space="preserve"> regional universities</w:t>
      </w:r>
      <w:r w:rsidR="009875B7" w:rsidRPr="007C7C35">
        <w:rPr>
          <w:rFonts w:ascii="Aptos" w:hAnsi="Aptos"/>
          <w:szCs w:val="24"/>
        </w:rPr>
        <w:t>.</w:t>
      </w:r>
    </w:p>
    <w:p w14:paraId="574EE93E" w14:textId="4295E5A8" w:rsidR="00CA1850" w:rsidRPr="007C7C35" w:rsidRDefault="00CA1850" w:rsidP="00CA1850">
      <w:pPr>
        <w:pStyle w:val="Heading3"/>
        <w:ind w:left="0"/>
        <w:rPr>
          <w:rFonts w:ascii="Aptos" w:hAnsi="Aptos"/>
        </w:rPr>
      </w:pPr>
      <w:bookmarkStart w:id="18" w:name="_Toc170742444"/>
      <w:r w:rsidRPr="007C7C35">
        <w:rPr>
          <w:rFonts w:ascii="Aptos" w:hAnsi="Aptos"/>
        </w:rPr>
        <w:t>Regional universities offer lower fees</w:t>
      </w:r>
      <w:bookmarkEnd w:id="18"/>
    </w:p>
    <w:p w14:paraId="51CF9AD9" w14:textId="0F4A8CCA" w:rsidR="009875B7" w:rsidRPr="007C7C35" w:rsidRDefault="009875B7" w:rsidP="0064693C">
      <w:pPr>
        <w:ind w:left="0"/>
        <w:rPr>
          <w:rFonts w:ascii="Aptos" w:hAnsi="Aptos"/>
          <w:szCs w:val="24"/>
        </w:rPr>
      </w:pPr>
      <w:r w:rsidRPr="007C7C35">
        <w:rPr>
          <w:rFonts w:ascii="Aptos" w:hAnsi="Aptos"/>
          <w:szCs w:val="24"/>
        </w:rPr>
        <w:t xml:space="preserve"> </w:t>
      </w:r>
      <w:r w:rsidR="00F94CCA" w:rsidRPr="007C7C35">
        <w:rPr>
          <w:rFonts w:ascii="Aptos" w:hAnsi="Aptos"/>
          <w:szCs w:val="24"/>
        </w:rPr>
        <w:t xml:space="preserve">On average regional universities </w:t>
      </w:r>
      <w:r w:rsidR="00D96276" w:rsidRPr="007C7C35">
        <w:rPr>
          <w:rFonts w:ascii="Aptos" w:hAnsi="Aptos"/>
          <w:szCs w:val="24"/>
        </w:rPr>
        <w:t xml:space="preserve">offer lower fees </w:t>
      </w:r>
      <w:r w:rsidR="00F94CCA" w:rsidRPr="007C7C35">
        <w:rPr>
          <w:rFonts w:ascii="Aptos" w:hAnsi="Aptos"/>
          <w:szCs w:val="24"/>
        </w:rPr>
        <w:t xml:space="preserve">than city-based universities – including at the city campuses </w:t>
      </w:r>
      <w:r w:rsidR="00D25243" w:rsidRPr="007C7C35">
        <w:rPr>
          <w:rFonts w:ascii="Aptos" w:hAnsi="Aptos"/>
          <w:szCs w:val="24"/>
        </w:rPr>
        <w:t xml:space="preserve">regional universities </w:t>
      </w:r>
      <w:r w:rsidRPr="007C7C35">
        <w:rPr>
          <w:rFonts w:ascii="Aptos" w:hAnsi="Aptos"/>
          <w:szCs w:val="24"/>
        </w:rPr>
        <w:t xml:space="preserve">established because </w:t>
      </w:r>
      <w:r w:rsidR="00CD7EE5" w:rsidRPr="007C7C35">
        <w:rPr>
          <w:rFonts w:ascii="Aptos" w:hAnsi="Aptos"/>
          <w:szCs w:val="24"/>
        </w:rPr>
        <w:t xml:space="preserve">they believe that </w:t>
      </w:r>
      <w:r w:rsidRPr="007C7C35">
        <w:rPr>
          <w:rFonts w:ascii="Aptos" w:hAnsi="Aptos"/>
          <w:szCs w:val="24"/>
        </w:rPr>
        <w:t>most international students do not want to move to regional areas.</w:t>
      </w:r>
      <w:r w:rsidR="00995921" w:rsidRPr="007C7C35">
        <w:rPr>
          <w:rStyle w:val="FootnoteReference"/>
          <w:rFonts w:ascii="Aptos" w:hAnsi="Aptos"/>
          <w:szCs w:val="24"/>
        </w:rPr>
        <w:footnoteReference w:id="12"/>
      </w:r>
      <w:r w:rsidRPr="007C7C35">
        <w:rPr>
          <w:rFonts w:ascii="Aptos" w:hAnsi="Aptos"/>
          <w:szCs w:val="24"/>
        </w:rPr>
        <w:t xml:space="preserve"> </w:t>
      </w:r>
    </w:p>
    <w:p w14:paraId="3C8DA008" w14:textId="790B1B7C" w:rsidR="00CA1850" w:rsidRPr="007C7C35" w:rsidRDefault="00CA1850" w:rsidP="00CA1850">
      <w:pPr>
        <w:pStyle w:val="Heading3"/>
        <w:ind w:left="0"/>
        <w:rPr>
          <w:rFonts w:ascii="Aptos" w:hAnsi="Aptos"/>
        </w:rPr>
      </w:pPr>
      <w:bookmarkStart w:id="19" w:name="_Toc170742445"/>
      <w:r w:rsidRPr="007C7C35">
        <w:rPr>
          <w:rFonts w:ascii="Aptos" w:hAnsi="Aptos"/>
        </w:rPr>
        <w:t>Studying outside of Melbourne Sydney &amp; Brisbane has migration advantages</w:t>
      </w:r>
      <w:bookmarkEnd w:id="19"/>
    </w:p>
    <w:p w14:paraId="54BAD7BA" w14:textId="422D1DBE" w:rsidR="00C27AFA" w:rsidRPr="007C7C35" w:rsidRDefault="009875B7" w:rsidP="0064693C">
      <w:pPr>
        <w:ind w:left="0"/>
        <w:rPr>
          <w:rFonts w:ascii="Aptos" w:hAnsi="Aptos"/>
          <w:szCs w:val="24"/>
        </w:rPr>
      </w:pPr>
      <w:r w:rsidRPr="007C7C35">
        <w:rPr>
          <w:rFonts w:ascii="Aptos" w:hAnsi="Aptos"/>
          <w:szCs w:val="24"/>
        </w:rPr>
        <w:t xml:space="preserve">The government </w:t>
      </w:r>
      <w:r w:rsidR="00CD7EE5" w:rsidRPr="007C7C35">
        <w:rPr>
          <w:rFonts w:ascii="Aptos" w:hAnsi="Aptos"/>
          <w:szCs w:val="24"/>
        </w:rPr>
        <w:t>uses</w:t>
      </w:r>
      <w:r w:rsidR="00CA1850" w:rsidRPr="007C7C35">
        <w:rPr>
          <w:rFonts w:ascii="Aptos" w:hAnsi="Aptos"/>
          <w:szCs w:val="24"/>
        </w:rPr>
        <w:t xml:space="preserve"> </w:t>
      </w:r>
      <w:r w:rsidRPr="007C7C35">
        <w:rPr>
          <w:rFonts w:ascii="Aptos" w:hAnsi="Aptos"/>
          <w:szCs w:val="24"/>
        </w:rPr>
        <w:t xml:space="preserve">migration incentives to encourage regional enrolments. </w:t>
      </w:r>
      <w:r w:rsidR="00C27AFA" w:rsidRPr="007C7C35">
        <w:rPr>
          <w:rFonts w:ascii="Aptos" w:hAnsi="Aptos"/>
          <w:szCs w:val="24"/>
        </w:rPr>
        <w:t>With 70% of international higher education students expressing interest in migration this should be a powerful lever.</w:t>
      </w:r>
      <w:r w:rsidR="00C27AFA" w:rsidRPr="007C7C35">
        <w:rPr>
          <w:rStyle w:val="FootnoteReference"/>
          <w:rFonts w:ascii="Aptos" w:hAnsi="Aptos"/>
          <w:szCs w:val="24"/>
        </w:rPr>
        <w:footnoteReference w:id="13"/>
      </w:r>
    </w:p>
    <w:p w14:paraId="47D0BE33" w14:textId="726451D2" w:rsidR="003574B5" w:rsidRPr="007C7C35" w:rsidRDefault="009875B7" w:rsidP="0064693C">
      <w:pPr>
        <w:ind w:left="0"/>
        <w:rPr>
          <w:rFonts w:ascii="Aptos" w:hAnsi="Aptos"/>
          <w:szCs w:val="24"/>
        </w:rPr>
      </w:pPr>
      <w:r w:rsidRPr="007C7C35">
        <w:rPr>
          <w:rFonts w:ascii="Aptos" w:hAnsi="Aptos"/>
          <w:szCs w:val="24"/>
        </w:rPr>
        <w:t>Graduates of regional universi</w:t>
      </w:r>
      <w:r w:rsidR="00C27AFA" w:rsidRPr="007C7C35">
        <w:rPr>
          <w:rFonts w:ascii="Aptos" w:hAnsi="Aptos"/>
          <w:szCs w:val="24"/>
        </w:rPr>
        <w:t>ty campuse</w:t>
      </w:r>
      <w:r w:rsidRPr="007C7C35">
        <w:rPr>
          <w:rFonts w:ascii="Aptos" w:hAnsi="Aptos"/>
          <w:szCs w:val="24"/>
        </w:rPr>
        <w:t>s get 5 points towards a points-tested permanent residence visa</w:t>
      </w:r>
      <w:r w:rsidR="003574B5" w:rsidRPr="007C7C35">
        <w:rPr>
          <w:rFonts w:ascii="Aptos" w:hAnsi="Aptos"/>
          <w:szCs w:val="24"/>
        </w:rPr>
        <w:t xml:space="preserve">, on top of the 5 points for any Australian degree. </w:t>
      </w:r>
    </w:p>
    <w:p w14:paraId="5732E560" w14:textId="77777777" w:rsidR="00CD7EE5" w:rsidRPr="007C7C35" w:rsidRDefault="003574B5" w:rsidP="0064693C">
      <w:pPr>
        <w:ind w:left="0"/>
        <w:rPr>
          <w:rFonts w:ascii="Aptos" w:hAnsi="Aptos"/>
          <w:szCs w:val="24"/>
        </w:rPr>
      </w:pPr>
      <w:r w:rsidRPr="007C7C35">
        <w:rPr>
          <w:rFonts w:ascii="Aptos" w:hAnsi="Aptos"/>
          <w:szCs w:val="24"/>
        </w:rPr>
        <w:t xml:space="preserve">Other regional migration benefits are divided into two categories. </w:t>
      </w:r>
    </w:p>
    <w:p w14:paraId="6E192AB3" w14:textId="66F35D0A" w:rsidR="00B60B53" w:rsidRPr="007C7C35" w:rsidRDefault="003574B5" w:rsidP="0064693C">
      <w:pPr>
        <w:ind w:left="0"/>
        <w:rPr>
          <w:rFonts w:ascii="Aptos" w:hAnsi="Aptos"/>
          <w:szCs w:val="24"/>
        </w:rPr>
      </w:pPr>
      <w:r w:rsidRPr="007C7C35">
        <w:rPr>
          <w:rFonts w:ascii="Aptos" w:hAnsi="Aptos"/>
          <w:szCs w:val="24"/>
        </w:rPr>
        <w:t>The first category uses the term ‘regional’ loosely – it includes students enrolled on campuses in Perth, Adelaide and Canberra along with major regional cities. Graduates of these universities can get an additional year on their temporary graduate visa</w:t>
      </w:r>
      <w:r w:rsidR="00CD7EE5" w:rsidRPr="007C7C35">
        <w:rPr>
          <w:rFonts w:ascii="Aptos" w:hAnsi="Aptos"/>
          <w:szCs w:val="24"/>
        </w:rPr>
        <w:t xml:space="preserve"> (so 3 rather than 2 years for bachelor degree graduates)</w:t>
      </w:r>
      <w:r w:rsidRPr="007C7C35">
        <w:rPr>
          <w:rFonts w:ascii="Aptos" w:hAnsi="Aptos"/>
          <w:szCs w:val="24"/>
        </w:rPr>
        <w:t xml:space="preserve">. For their nominated occupation to receive a permanent visa, </w:t>
      </w:r>
      <w:r w:rsidR="00CD7EE5" w:rsidRPr="007C7C35">
        <w:rPr>
          <w:rFonts w:ascii="Aptos" w:hAnsi="Aptos"/>
          <w:szCs w:val="24"/>
        </w:rPr>
        <w:t>graduates of campuses in these areas</w:t>
      </w:r>
      <w:r w:rsidRPr="007C7C35">
        <w:rPr>
          <w:rFonts w:ascii="Aptos" w:hAnsi="Aptos"/>
          <w:szCs w:val="24"/>
        </w:rPr>
        <w:t xml:space="preserve"> have access </w:t>
      </w:r>
      <w:r w:rsidR="00C27AFA" w:rsidRPr="007C7C35">
        <w:rPr>
          <w:rFonts w:ascii="Aptos" w:hAnsi="Aptos"/>
          <w:szCs w:val="24"/>
        </w:rPr>
        <w:t xml:space="preserve">to </w:t>
      </w:r>
      <w:r w:rsidRPr="007C7C35">
        <w:rPr>
          <w:rFonts w:ascii="Aptos" w:hAnsi="Aptos"/>
          <w:szCs w:val="24"/>
        </w:rPr>
        <w:t xml:space="preserve">the Regional Occupations List (ROL). This has </w:t>
      </w:r>
      <w:r w:rsidR="00C27AFA" w:rsidRPr="007C7C35">
        <w:rPr>
          <w:rFonts w:ascii="Aptos" w:hAnsi="Aptos"/>
          <w:szCs w:val="24"/>
        </w:rPr>
        <w:t>504 occupations, 77 more than the number on lists for other visa applicants.</w:t>
      </w:r>
      <w:r w:rsidR="00C27AFA" w:rsidRPr="007C7C35">
        <w:rPr>
          <w:rStyle w:val="FootnoteReference"/>
          <w:rFonts w:ascii="Aptos" w:hAnsi="Aptos"/>
          <w:szCs w:val="24"/>
        </w:rPr>
        <w:footnoteReference w:id="14"/>
      </w:r>
      <w:r w:rsidR="00C27AFA" w:rsidRPr="007C7C35">
        <w:rPr>
          <w:rFonts w:ascii="Aptos" w:hAnsi="Aptos"/>
          <w:szCs w:val="24"/>
        </w:rPr>
        <w:t xml:space="preserve"> In </w:t>
      </w:r>
      <w:r w:rsidR="00C27AFA" w:rsidRPr="007C7C35">
        <w:rPr>
          <w:rFonts w:ascii="Aptos" w:hAnsi="Aptos"/>
          <w:szCs w:val="24"/>
        </w:rPr>
        <w:fldChar w:fldCharType="begin"/>
      </w:r>
      <w:r w:rsidR="00C27AFA" w:rsidRPr="007C7C35">
        <w:rPr>
          <w:rFonts w:ascii="Aptos" w:hAnsi="Aptos"/>
          <w:szCs w:val="24"/>
        </w:rPr>
        <w:instrText xml:space="preserve"> REF _Ref170564947 \h </w:instrText>
      </w:r>
      <w:r w:rsidR="007C7C35" w:rsidRPr="007C7C35">
        <w:rPr>
          <w:rFonts w:ascii="Aptos" w:hAnsi="Aptos"/>
          <w:szCs w:val="24"/>
        </w:rPr>
        <w:instrText xml:space="preserve"> \* MERGEFORMAT </w:instrText>
      </w:r>
      <w:r w:rsidR="00C27AFA" w:rsidRPr="007C7C35">
        <w:rPr>
          <w:rFonts w:ascii="Aptos" w:hAnsi="Aptos"/>
          <w:szCs w:val="24"/>
        </w:rPr>
      </w:r>
      <w:r w:rsidR="00C27AFA" w:rsidRPr="007C7C35">
        <w:rPr>
          <w:rFonts w:ascii="Aptos" w:hAnsi="Aptos"/>
          <w:szCs w:val="24"/>
        </w:rPr>
        <w:fldChar w:fldCharType="separate"/>
      </w:r>
      <w:r w:rsidR="00FF64C8" w:rsidRPr="007C7C35">
        <w:rPr>
          <w:rFonts w:ascii="Aptos" w:hAnsi="Aptos"/>
          <w:szCs w:val="24"/>
        </w:rPr>
        <w:t xml:space="preserve">Figure </w:t>
      </w:r>
      <w:r w:rsidR="00FF64C8">
        <w:rPr>
          <w:rFonts w:ascii="Aptos" w:hAnsi="Aptos"/>
          <w:noProof/>
          <w:szCs w:val="24"/>
        </w:rPr>
        <w:t>3</w:t>
      </w:r>
      <w:r w:rsidR="00C27AFA" w:rsidRPr="007C7C35">
        <w:rPr>
          <w:rFonts w:ascii="Aptos" w:hAnsi="Aptos"/>
          <w:szCs w:val="24"/>
        </w:rPr>
        <w:fldChar w:fldCharType="end"/>
      </w:r>
      <w:r w:rsidR="00C27AFA" w:rsidRPr="007C7C35">
        <w:rPr>
          <w:rFonts w:ascii="Aptos" w:hAnsi="Aptos"/>
          <w:szCs w:val="24"/>
        </w:rPr>
        <w:t xml:space="preserve"> these students are classified as ‘migration advantage’.</w:t>
      </w:r>
    </w:p>
    <w:p w14:paraId="62F5AC89" w14:textId="5E69BD68" w:rsidR="00C27AFA" w:rsidRPr="007C7C35" w:rsidRDefault="00C27AFA" w:rsidP="0064693C">
      <w:pPr>
        <w:ind w:left="0"/>
        <w:rPr>
          <w:rFonts w:ascii="Aptos" w:hAnsi="Aptos"/>
          <w:szCs w:val="24"/>
        </w:rPr>
      </w:pPr>
      <w:r w:rsidRPr="007C7C35">
        <w:rPr>
          <w:rFonts w:ascii="Aptos" w:hAnsi="Aptos"/>
          <w:szCs w:val="24"/>
        </w:rPr>
        <w:lastRenderedPageBreak/>
        <w:t xml:space="preserve">The second category of students, called ‘significant migration advantage’ in </w:t>
      </w:r>
      <w:r w:rsidRPr="007C7C35">
        <w:rPr>
          <w:rFonts w:ascii="Aptos" w:hAnsi="Aptos"/>
          <w:szCs w:val="24"/>
        </w:rPr>
        <w:fldChar w:fldCharType="begin"/>
      </w:r>
      <w:r w:rsidRPr="007C7C35">
        <w:rPr>
          <w:rFonts w:ascii="Aptos" w:hAnsi="Aptos"/>
          <w:szCs w:val="24"/>
        </w:rPr>
        <w:instrText xml:space="preserve"> REF _Ref170564947 \h </w:instrText>
      </w:r>
      <w:r w:rsidR="007C7C35" w:rsidRPr="007C7C35">
        <w:rPr>
          <w:rFonts w:ascii="Aptos" w:hAnsi="Aptos"/>
          <w:szCs w:val="24"/>
        </w:rPr>
        <w:instrText xml:space="preserve"> \* MERGEFORMAT </w:instrText>
      </w:r>
      <w:r w:rsidRPr="007C7C35">
        <w:rPr>
          <w:rFonts w:ascii="Aptos" w:hAnsi="Aptos"/>
          <w:szCs w:val="24"/>
        </w:rPr>
      </w:r>
      <w:r w:rsidRPr="007C7C35">
        <w:rPr>
          <w:rFonts w:ascii="Aptos" w:hAnsi="Aptos"/>
          <w:szCs w:val="24"/>
        </w:rPr>
        <w:fldChar w:fldCharType="separate"/>
      </w:r>
      <w:r w:rsidR="00FF64C8" w:rsidRPr="007C7C35">
        <w:rPr>
          <w:rFonts w:ascii="Aptos" w:hAnsi="Aptos"/>
          <w:szCs w:val="24"/>
        </w:rPr>
        <w:t xml:space="preserve">Figure </w:t>
      </w:r>
      <w:r w:rsidR="00FF64C8">
        <w:rPr>
          <w:rFonts w:ascii="Aptos" w:hAnsi="Aptos"/>
          <w:noProof/>
          <w:szCs w:val="24"/>
        </w:rPr>
        <w:t>3</w:t>
      </w:r>
      <w:r w:rsidRPr="007C7C35">
        <w:rPr>
          <w:rFonts w:ascii="Aptos" w:hAnsi="Aptos"/>
          <w:szCs w:val="24"/>
        </w:rPr>
        <w:fldChar w:fldCharType="end"/>
      </w:r>
      <w:r w:rsidRPr="007C7C35">
        <w:rPr>
          <w:rFonts w:ascii="Aptos" w:hAnsi="Aptos"/>
          <w:szCs w:val="24"/>
        </w:rPr>
        <w:t>, can get an additional two years on their temporary graduate visa</w:t>
      </w:r>
      <w:r w:rsidR="00CD7EE5" w:rsidRPr="007C7C35">
        <w:rPr>
          <w:rFonts w:ascii="Aptos" w:hAnsi="Aptos"/>
          <w:szCs w:val="24"/>
        </w:rPr>
        <w:t xml:space="preserve"> (so 4 rather than 2 years for bachelor degree graduate</w:t>
      </w:r>
      <w:r w:rsidR="001E4286">
        <w:rPr>
          <w:rFonts w:ascii="Aptos" w:hAnsi="Aptos"/>
          <w:szCs w:val="24"/>
        </w:rPr>
        <w:t>s</w:t>
      </w:r>
      <w:r w:rsidR="00CD7EE5" w:rsidRPr="007C7C35">
        <w:rPr>
          <w:rFonts w:ascii="Aptos" w:hAnsi="Aptos"/>
          <w:szCs w:val="24"/>
        </w:rPr>
        <w:t>)</w:t>
      </w:r>
      <w:r w:rsidRPr="007C7C35">
        <w:rPr>
          <w:rFonts w:ascii="Aptos" w:hAnsi="Aptos"/>
          <w:szCs w:val="24"/>
        </w:rPr>
        <w:t xml:space="preserve">. </w:t>
      </w:r>
      <w:r w:rsidR="00875DA6">
        <w:rPr>
          <w:rFonts w:ascii="Aptos" w:hAnsi="Aptos"/>
          <w:szCs w:val="24"/>
        </w:rPr>
        <w:t>This second category has</w:t>
      </w:r>
      <w:r w:rsidRPr="007C7C35">
        <w:rPr>
          <w:rFonts w:ascii="Aptos" w:hAnsi="Aptos"/>
          <w:szCs w:val="24"/>
        </w:rPr>
        <w:t xml:space="preserve"> the same extended list of occupations for permanent residence, but their prospects of a visa are increased by access to dedicated regional places.</w:t>
      </w:r>
      <w:r w:rsidR="007D621B">
        <w:rPr>
          <w:rStyle w:val="FootnoteReference"/>
          <w:rFonts w:ascii="Aptos" w:hAnsi="Aptos"/>
          <w:szCs w:val="24"/>
        </w:rPr>
        <w:footnoteReference w:id="15"/>
      </w:r>
    </w:p>
    <w:p w14:paraId="36F03779" w14:textId="7C3E2FF9" w:rsidR="009875B7" w:rsidRPr="007C7C35" w:rsidRDefault="00C27AFA" w:rsidP="0064693C">
      <w:pPr>
        <w:ind w:left="0"/>
        <w:rPr>
          <w:rFonts w:ascii="Aptos" w:hAnsi="Aptos"/>
          <w:szCs w:val="24"/>
        </w:rPr>
      </w:pPr>
      <w:r w:rsidRPr="007C7C35">
        <w:rPr>
          <w:rFonts w:ascii="Aptos" w:hAnsi="Aptos"/>
          <w:szCs w:val="24"/>
        </w:rPr>
        <w:t xml:space="preserve">Despite these significant migration attractions, </w:t>
      </w:r>
      <w:r w:rsidRPr="007C7C35">
        <w:rPr>
          <w:rFonts w:ascii="Aptos" w:hAnsi="Aptos"/>
          <w:szCs w:val="24"/>
        </w:rPr>
        <w:fldChar w:fldCharType="begin"/>
      </w:r>
      <w:r w:rsidRPr="007C7C35">
        <w:rPr>
          <w:rFonts w:ascii="Aptos" w:hAnsi="Aptos"/>
          <w:szCs w:val="24"/>
        </w:rPr>
        <w:instrText xml:space="preserve"> REF _Ref170564947 \h </w:instrText>
      </w:r>
      <w:r w:rsidR="007C7C35" w:rsidRPr="007C7C35">
        <w:rPr>
          <w:rFonts w:ascii="Aptos" w:hAnsi="Aptos"/>
          <w:szCs w:val="24"/>
        </w:rPr>
        <w:instrText xml:space="preserve"> \* MERGEFORMAT </w:instrText>
      </w:r>
      <w:r w:rsidRPr="007C7C35">
        <w:rPr>
          <w:rFonts w:ascii="Aptos" w:hAnsi="Aptos"/>
          <w:szCs w:val="24"/>
        </w:rPr>
      </w:r>
      <w:r w:rsidRPr="007C7C35">
        <w:rPr>
          <w:rFonts w:ascii="Aptos" w:hAnsi="Aptos"/>
          <w:szCs w:val="24"/>
        </w:rPr>
        <w:fldChar w:fldCharType="separate"/>
      </w:r>
      <w:r w:rsidR="00FF64C8" w:rsidRPr="007C7C35">
        <w:rPr>
          <w:rFonts w:ascii="Aptos" w:hAnsi="Aptos"/>
          <w:szCs w:val="24"/>
        </w:rPr>
        <w:t xml:space="preserve">Figure </w:t>
      </w:r>
      <w:r w:rsidR="00FF64C8">
        <w:rPr>
          <w:rFonts w:ascii="Aptos" w:hAnsi="Aptos"/>
          <w:noProof/>
          <w:szCs w:val="24"/>
        </w:rPr>
        <w:t>3</w:t>
      </w:r>
      <w:r w:rsidRPr="007C7C35">
        <w:rPr>
          <w:rFonts w:ascii="Aptos" w:hAnsi="Aptos"/>
          <w:szCs w:val="24"/>
        </w:rPr>
        <w:fldChar w:fldCharType="end"/>
      </w:r>
      <w:r w:rsidRPr="007C7C35">
        <w:rPr>
          <w:rFonts w:ascii="Aptos" w:hAnsi="Aptos"/>
          <w:szCs w:val="24"/>
        </w:rPr>
        <w:t xml:space="preserve"> shows that most </w:t>
      </w:r>
      <w:r w:rsidR="00995921" w:rsidRPr="007C7C35">
        <w:rPr>
          <w:rFonts w:ascii="Aptos" w:hAnsi="Aptos"/>
          <w:szCs w:val="24"/>
        </w:rPr>
        <w:t xml:space="preserve">higher education </w:t>
      </w:r>
      <w:r w:rsidRPr="007C7C35">
        <w:rPr>
          <w:rFonts w:ascii="Aptos" w:hAnsi="Aptos"/>
          <w:szCs w:val="24"/>
        </w:rPr>
        <w:t xml:space="preserve">international students </w:t>
      </w:r>
      <w:r w:rsidR="00995921" w:rsidRPr="007C7C35">
        <w:rPr>
          <w:rFonts w:ascii="Aptos" w:hAnsi="Aptos"/>
          <w:szCs w:val="24"/>
        </w:rPr>
        <w:t xml:space="preserve">– 74% as of late 2023 - </w:t>
      </w:r>
      <w:r w:rsidRPr="007C7C35">
        <w:rPr>
          <w:rFonts w:ascii="Aptos" w:hAnsi="Aptos"/>
          <w:szCs w:val="24"/>
        </w:rPr>
        <w:t>choose locations with no regional-specific migration advantages</w:t>
      </w:r>
      <w:r w:rsidR="00CA1850" w:rsidRPr="007C7C35">
        <w:rPr>
          <w:rFonts w:ascii="Aptos" w:hAnsi="Aptos"/>
          <w:szCs w:val="24"/>
        </w:rPr>
        <w:t xml:space="preserve"> – </w:t>
      </w:r>
      <w:r w:rsidR="00CA7B51">
        <w:rPr>
          <w:rFonts w:ascii="Aptos" w:hAnsi="Aptos"/>
          <w:szCs w:val="24"/>
        </w:rPr>
        <w:t xml:space="preserve">i.e. </w:t>
      </w:r>
      <w:r w:rsidR="00CA1850" w:rsidRPr="007C7C35">
        <w:rPr>
          <w:rFonts w:ascii="Aptos" w:hAnsi="Aptos"/>
          <w:szCs w:val="24"/>
        </w:rPr>
        <w:t xml:space="preserve">Sydney, Melbourne and Brisbane. </w:t>
      </w:r>
    </w:p>
    <w:p w14:paraId="65AA15F6" w14:textId="4BB4F145" w:rsidR="00C27AFA" w:rsidRPr="007C7C35" w:rsidRDefault="00C27AFA" w:rsidP="00C27AFA">
      <w:pPr>
        <w:pStyle w:val="Caption"/>
        <w:keepNext/>
        <w:rPr>
          <w:rFonts w:ascii="Aptos" w:hAnsi="Aptos"/>
          <w:szCs w:val="24"/>
        </w:rPr>
      </w:pPr>
      <w:bookmarkStart w:id="20" w:name="_Ref170564947"/>
      <w:bookmarkStart w:id="21" w:name="_Toc170740516"/>
      <w:r w:rsidRPr="007C7C35">
        <w:rPr>
          <w:rFonts w:ascii="Aptos" w:hAnsi="Aptos"/>
          <w:szCs w:val="24"/>
        </w:rPr>
        <w:t xml:space="preserve">Figure </w:t>
      </w:r>
      <w:r w:rsidRPr="007C7C35">
        <w:rPr>
          <w:rFonts w:ascii="Aptos" w:hAnsi="Aptos"/>
          <w:szCs w:val="24"/>
        </w:rPr>
        <w:fldChar w:fldCharType="begin"/>
      </w:r>
      <w:r w:rsidRPr="007C7C35">
        <w:rPr>
          <w:rFonts w:ascii="Aptos" w:hAnsi="Aptos"/>
          <w:szCs w:val="24"/>
        </w:rPr>
        <w:instrText xml:space="preserve"> SEQ Figure \* ARABIC </w:instrText>
      </w:r>
      <w:r w:rsidRPr="007C7C35">
        <w:rPr>
          <w:rFonts w:ascii="Aptos" w:hAnsi="Aptos"/>
          <w:szCs w:val="24"/>
        </w:rPr>
        <w:fldChar w:fldCharType="separate"/>
      </w:r>
      <w:r w:rsidR="00FF64C8">
        <w:rPr>
          <w:rFonts w:ascii="Aptos" w:hAnsi="Aptos"/>
          <w:noProof/>
          <w:szCs w:val="24"/>
        </w:rPr>
        <w:t>3</w:t>
      </w:r>
      <w:r w:rsidRPr="007C7C35">
        <w:rPr>
          <w:rFonts w:ascii="Aptos" w:hAnsi="Aptos"/>
          <w:szCs w:val="24"/>
        </w:rPr>
        <w:fldChar w:fldCharType="end"/>
      </w:r>
      <w:bookmarkEnd w:id="20"/>
      <w:r w:rsidRPr="007C7C35">
        <w:rPr>
          <w:rFonts w:ascii="Aptos" w:hAnsi="Aptos"/>
          <w:szCs w:val="24"/>
        </w:rPr>
        <w:t xml:space="preserve">: Higher education enrolments by level of campus location </w:t>
      </w:r>
      <w:r w:rsidR="00CD7EE5" w:rsidRPr="007C7C35">
        <w:rPr>
          <w:rFonts w:ascii="Aptos" w:hAnsi="Aptos"/>
          <w:szCs w:val="24"/>
        </w:rPr>
        <w:t xml:space="preserve">migration </w:t>
      </w:r>
      <w:r w:rsidRPr="007C7C35">
        <w:rPr>
          <w:rFonts w:ascii="Aptos" w:hAnsi="Aptos"/>
          <w:szCs w:val="24"/>
        </w:rPr>
        <w:t>advantage</w:t>
      </w:r>
      <w:bookmarkEnd w:id="21"/>
      <w:r w:rsidRPr="007C7C35">
        <w:rPr>
          <w:rFonts w:ascii="Aptos" w:hAnsi="Aptos"/>
          <w:szCs w:val="24"/>
        </w:rPr>
        <w:t xml:space="preserve"> </w:t>
      </w:r>
    </w:p>
    <w:p w14:paraId="66FDDC7C" w14:textId="1A588B05" w:rsidR="00D96276" w:rsidRPr="007C7C35" w:rsidRDefault="00A86F5D" w:rsidP="0064693C">
      <w:pPr>
        <w:ind w:left="0"/>
        <w:rPr>
          <w:rFonts w:ascii="Aptos" w:hAnsi="Aptos"/>
          <w:szCs w:val="24"/>
        </w:rPr>
      </w:pPr>
      <w:r>
        <w:rPr>
          <w:noProof/>
        </w:rPr>
        <w:drawing>
          <wp:inline distT="0" distB="0" distL="0" distR="0" wp14:anchorId="51DA022D" wp14:editId="1C9DCA87">
            <wp:extent cx="5731510" cy="3223895"/>
            <wp:effectExtent l="0" t="0" r="2540" b="0"/>
            <wp:docPr id="17399826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982686"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5731510" cy="3223895"/>
                    </a:xfrm>
                    <a:prstGeom prst="rect">
                      <a:avLst/>
                    </a:prstGeom>
                  </pic:spPr>
                </pic:pic>
              </a:graphicData>
            </a:graphic>
          </wp:inline>
        </w:drawing>
      </w:r>
    </w:p>
    <w:p w14:paraId="1C7530C1" w14:textId="2A19314D" w:rsidR="00386454" w:rsidRPr="007C7C35" w:rsidRDefault="00386454" w:rsidP="0064693C">
      <w:pPr>
        <w:ind w:left="0"/>
        <w:rPr>
          <w:rFonts w:ascii="Aptos" w:hAnsi="Aptos"/>
          <w:szCs w:val="24"/>
        </w:rPr>
      </w:pPr>
    </w:p>
    <w:p w14:paraId="01C443E0" w14:textId="2188843B" w:rsidR="00CA1850" w:rsidRPr="007C7C35" w:rsidRDefault="00CA1850" w:rsidP="00CA1850">
      <w:pPr>
        <w:pStyle w:val="Heading3"/>
        <w:ind w:left="0"/>
        <w:rPr>
          <w:rFonts w:ascii="Aptos" w:hAnsi="Aptos"/>
        </w:rPr>
      </w:pPr>
      <w:bookmarkStart w:id="22" w:name="_Toc170742446"/>
      <w:r w:rsidRPr="007C7C35">
        <w:rPr>
          <w:rFonts w:ascii="Aptos" w:hAnsi="Aptos"/>
        </w:rPr>
        <w:t>Regional universities have lost enrolment share</w:t>
      </w:r>
      <w:bookmarkEnd w:id="22"/>
    </w:p>
    <w:p w14:paraId="573CF843" w14:textId="5FADEEED" w:rsidR="00386454" w:rsidRPr="007C7C35" w:rsidRDefault="00CD7EE5" w:rsidP="0064693C">
      <w:pPr>
        <w:ind w:left="0"/>
        <w:rPr>
          <w:rFonts w:ascii="Aptos" w:hAnsi="Aptos"/>
          <w:szCs w:val="24"/>
        </w:rPr>
      </w:pPr>
      <w:r w:rsidRPr="007C7C35">
        <w:rPr>
          <w:rFonts w:ascii="Aptos" w:hAnsi="Aptos"/>
          <w:szCs w:val="24"/>
        </w:rPr>
        <w:t>R</w:t>
      </w:r>
      <w:r w:rsidR="00DA66EC" w:rsidRPr="007C7C35">
        <w:rPr>
          <w:rFonts w:ascii="Aptos" w:hAnsi="Aptos"/>
          <w:szCs w:val="24"/>
        </w:rPr>
        <w:t>egional universities</w:t>
      </w:r>
      <w:r w:rsidRPr="007C7C35">
        <w:rPr>
          <w:rFonts w:ascii="Aptos" w:hAnsi="Aptos"/>
          <w:szCs w:val="24"/>
        </w:rPr>
        <w:t xml:space="preserve"> – universities based </w:t>
      </w:r>
      <w:r w:rsidR="007D621B">
        <w:rPr>
          <w:rFonts w:ascii="Aptos" w:hAnsi="Aptos"/>
          <w:szCs w:val="24"/>
        </w:rPr>
        <w:t>in regional areas</w:t>
      </w:r>
      <w:r w:rsidRPr="007C7C35">
        <w:rPr>
          <w:rFonts w:ascii="Aptos" w:hAnsi="Aptos"/>
          <w:szCs w:val="24"/>
        </w:rPr>
        <w:t xml:space="preserve">, although they may have campuses in major cities – </w:t>
      </w:r>
      <w:r w:rsidR="005032BE" w:rsidRPr="007C7C35">
        <w:rPr>
          <w:rFonts w:ascii="Aptos" w:hAnsi="Aptos"/>
          <w:szCs w:val="24"/>
        </w:rPr>
        <w:t>generally increased their total international student enrolments up to the COVID-19 period</w:t>
      </w:r>
      <w:r w:rsidRPr="007C7C35">
        <w:rPr>
          <w:rFonts w:ascii="Aptos" w:hAnsi="Aptos"/>
          <w:szCs w:val="24"/>
        </w:rPr>
        <w:t>. But</w:t>
      </w:r>
      <w:r w:rsidR="005032BE" w:rsidRPr="007C7C35">
        <w:rPr>
          <w:rFonts w:ascii="Aptos" w:hAnsi="Aptos"/>
          <w:szCs w:val="24"/>
        </w:rPr>
        <w:t xml:space="preserve"> metropolitan university international student enrolment grew more quickly. As a result, despite the</w:t>
      </w:r>
      <w:r w:rsidR="001E4286">
        <w:rPr>
          <w:rFonts w:ascii="Aptos" w:hAnsi="Aptos"/>
          <w:szCs w:val="24"/>
        </w:rPr>
        <w:t xml:space="preserve"> cheaper fees of reginal universities and the </w:t>
      </w:r>
      <w:r w:rsidR="005032BE" w:rsidRPr="007C7C35">
        <w:rPr>
          <w:rFonts w:ascii="Aptos" w:hAnsi="Aptos"/>
          <w:szCs w:val="24"/>
        </w:rPr>
        <w:t xml:space="preserve">migration </w:t>
      </w:r>
      <w:r w:rsidR="001E4286">
        <w:rPr>
          <w:rFonts w:ascii="Aptos" w:hAnsi="Aptos"/>
          <w:szCs w:val="24"/>
        </w:rPr>
        <w:t>benefits</w:t>
      </w:r>
      <w:r w:rsidR="005032BE" w:rsidRPr="007C7C35">
        <w:rPr>
          <w:rFonts w:ascii="Aptos" w:hAnsi="Aptos"/>
          <w:szCs w:val="24"/>
        </w:rPr>
        <w:t xml:space="preserve"> of regional locations, regional university market share declined, as seen in </w:t>
      </w:r>
      <w:r w:rsidR="005032BE" w:rsidRPr="007C7C35">
        <w:rPr>
          <w:rFonts w:ascii="Aptos" w:hAnsi="Aptos"/>
          <w:szCs w:val="24"/>
        </w:rPr>
        <w:fldChar w:fldCharType="begin"/>
      </w:r>
      <w:r w:rsidR="005032BE" w:rsidRPr="007C7C35">
        <w:rPr>
          <w:rFonts w:ascii="Aptos" w:hAnsi="Aptos"/>
          <w:szCs w:val="24"/>
        </w:rPr>
        <w:instrText xml:space="preserve"> REF _Ref170567638 \h </w:instrText>
      </w:r>
      <w:r w:rsidR="007C7C35" w:rsidRPr="007C7C35">
        <w:rPr>
          <w:rFonts w:ascii="Aptos" w:hAnsi="Aptos"/>
          <w:szCs w:val="24"/>
        </w:rPr>
        <w:instrText xml:space="preserve"> \* MERGEFORMAT </w:instrText>
      </w:r>
      <w:r w:rsidR="005032BE" w:rsidRPr="007C7C35">
        <w:rPr>
          <w:rFonts w:ascii="Aptos" w:hAnsi="Aptos"/>
          <w:szCs w:val="24"/>
        </w:rPr>
      </w:r>
      <w:r w:rsidR="005032BE" w:rsidRPr="007C7C35">
        <w:rPr>
          <w:rFonts w:ascii="Aptos" w:hAnsi="Aptos"/>
          <w:szCs w:val="24"/>
        </w:rPr>
        <w:fldChar w:fldCharType="separate"/>
      </w:r>
      <w:r w:rsidR="00FF64C8" w:rsidRPr="007C7C35">
        <w:rPr>
          <w:rFonts w:ascii="Aptos" w:hAnsi="Aptos"/>
          <w:szCs w:val="24"/>
        </w:rPr>
        <w:t xml:space="preserve">Figure </w:t>
      </w:r>
      <w:r w:rsidR="00FF64C8">
        <w:rPr>
          <w:rFonts w:ascii="Aptos" w:hAnsi="Aptos"/>
          <w:noProof/>
          <w:szCs w:val="24"/>
        </w:rPr>
        <w:t>4</w:t>
      </w:r>
      <w:r w:rsidR="005032BE" w:rsidRPr="007C7C35">
        <w:rPr>
          <w:rFonts w:ascii="Aptos" w:hAnsi="Aptos"/>
          <w:szCs w:val="24"/>
        </w:rPr>
        <w:fldChar w:fldCharType="end"/>
      </w:r>
      <w:r w:rsidR="005032BE" w:rsidRPr="007C7C35">
        <w:rPr>
          <w:rFonts w:ascii="Aptos" w:hAnsi="Aptos"/>
          <w:szCs w:val="24"/>
        </w:rPr>
        <w:t>.</w:t>
      </w:r>
    </w:p>
    <w:p w14:paraId="508494FA" w14:textId="7E40B992" w:rsidR="00DA66EC" w:rsidRPr="007C7C35" w:rsidRDefault="00DA66EC" w:rsidP="00DA66EC">
      <w:pPr>
        <w:pStyle w:val="Caption"/>
        <w:keepNext/>
        <w:rPr>
          <w:rFonts w:ascii="Aptos" w:hAnsi="Aptos"/>
          <w:szCs w:val="24"/>
        </w:rPr>
      </w:pPr>
      <w:bookmarkStart w:id="23" w:name="_Ref170567638"/>
      <w:bookmarkStart w:id="24" w:name="_Toc170740517"/>
      <w:r w:rsidRPr="007C7C35">
        <w:rPr>
          <w:rFonts w:ascii="Aptos" w:hAnsi="Aptos"/>
          <w:szCs w:val="24"/>
        </w:rPr>
        <w:lastRenderedPageBreak/>
        <w:t xml:space="preserve">Figure </w:t>
      </w:r>
      <w:r w:rsidRPr="007C7C35">
        <w:rPr>
          <w:rFonts w:ascii="Aptos" w:hAnsi="Aptos"/>
          <w:szCs w:val="24"/>
        </w:rPr>
        <w:fldChar w:fldCharType="begin"/>
      </w:r>
      <w:r w:rsidRPr="007C7C35">
        <w:rPr>
          <w:rFonts w:ascii="Aptos" w:hAnsi="Aptos"/>
          <w:szCs w:val="24"/>
        </w:rPr>
        <w:instrText xml:space="preserve"> SEQ Figure \* ARABIC </w:instrText>
      </w:r>
      <w:r w:rsidRPr="007C7C35">
        <w:rPr>
          <w:rFonts w:ascii="Aptos" w:hAnsi="Aptos"/>
          <w:szCs w:val="24"/>
        </w:rPr>
        <w:fldChar w:fldCharType="separate"/>
      </w:r>
      <w:r w:rsidR="00FF64C8">
        <w:rPr>
          <w:rFonts w:ascii="Aptos" w:hAnsi="Aptos"/>
          <w:noProof/>
          <w:szCs w:val="24"/>
        </w:rPr>
        <w:t>4</w:t>
      </w:r>
      <w:r w:rsidRPr="007C7C35">
        <w:rPr>
          <w:rFonts w:ascii="Aptos" w:hAnsi="Aptos"/>
          <w:szCs w:val="24"/>
        </w:rPr>
        <w:fldChar w:fldCharType="end"/>
      </w:r>
      <w:bookmarkEnd w:id="23"/>
      <w:r w:rsidRPr="007C7C35">
        <w:rPr>
          <w:rFonts w:ascii="Aptos" w:hAnsi="Aptos"/>
          <w:szCs w:val="24"/>
        </w:rPr>
        <w:t>: Regional university international student market share</w:t>
      </w:r>
      <w:bookmarkEnd w:id="24"/>
    </w:p>
    <w:p w14:paraId="47EDAA64" w14:textId="170DAE16" w:rsidR="00DA66EC" w:rsidRPr="007C7C35" w:rsidRDefault="00DA66EC" w:rsidP="0064693C">
      <w:pPr>
        <w:ind w:left="0"/>
        <w:rPr>
          <w:rFonts w:ascii="Aptos" w:hAnsi="Aptos"/>
          <w:szCs w:val="24"/>
        </w:rPr>
      </w:pPr>
      <w:r w:rsidRPr="007C7C35">
        <w:rPr>
          <w:rFonts w:ascii="Aptos" w:hAnsi="Aptos"/>
          <w:noProof/>
          <w:szCs w:val="24"/>
        </w:rPr>
        <w:drawing>
          <wp:inline distT="0" distB="0" distL="0" distR="0" wp14:anchorId="02DC2F1A" wp14:editId="0AAA339A">
            <wp:extent cx="5731510" cy="3223895"/>
            <wp:effectExtent l="0" t="0" r="0" b="1905"/>
            <wp:docPr id="2107350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350816" name=""/>
                    <pic:cNvPicPr/>
                  </pic:nvPicPr>
                  <pic:blipFill>
                    <a:blip r:embed="rId15"/>
                    <a:stretch>
                      <a:fillRect/>
                    </a:stretch>
                  </pic:blipFill>
                  <pic:spPr>
                    <a:xfrm>
                      <a:off x="0" y="0"/>
                      <a:ext cx="5731510" cy="3223895"/>
                    </a:xfrm>
                    <a:prstGeom prst="rect">
                      <a:avLst/>
                    </a:prstGeom>
                  </pic:spPr>
                </pic:pic>
              </a:graphicData>
            </a:graphic>
          </wp:inline>
        </w:drawing>
      </w:r>
    </w:p>
    <w:p w14:paraId="59E8941F" w14:textId="77777777" w:rsidR="00DA66EC" w:rsidRPr="007C7C35" w:rsidRDefault="00DA66EC" w:rsidP="0064693C">
      <w:pPr>
        <w:ind w:left="0"/>
        <w:rPr>
          <w:rFonts w:ascii="Aptos" w:hAnsi="Aptos"/>
          <w:szCs w:val="24"/>
        </w:rPr>
      </w:pPr>
    </w:p>
    <w:p w14:paraId="5A1373BF" w14:textId="69BBECCB" w:rsidR="00CA1850" w:rsidRPr="007C7C35" w:rsidRDefault="00CA1850" w:rsidP="00CA1850">
      <w:pPr>
        <w:pStyle w:val="Heading3"/>
        <w:ind w:left="0"/>
        <w:rPr>
          <w:rFonts w:ascii="Aptos" w:hAnsi="Aptos"/>
        </w:rPr>
      </w:pPr>
      <w:bookmarkStart w:id="25" w:name="_Toc170742447"/>
      <w:r w:rsidRPr="007C7C35">
        <w:rPr>
          <w:rFonts w:ascii="Aptos" w:hAnsi="Aptos"/>
        </w:rPr>
        <w:t>Reasons why international students prefer major cities</w:t>
      </w:r>
      <w:bookmarkEnd w:id="25"/>
    </w:p>
    <w:p w14:paraId="34DFED7D" w14:textId="0AAAEB59" w:rsidR="00B85A21" w:rsidRPr="007C7C35" w:rsidRDefault="007E6253" w:rsidP="004A13F7">
      <w:pPr>
        <w:ind w:left="0"/>
        <w:rPr>
          <w:rFonts w:ascii="Aptos" w:hAnsi="Aptos"/>
          <w:szCs w:val="24"/>
        </w:rPr>
      </w:pPr>
      <w:r w:rsidRPr="007C7C35">
        <w:rPr>
          <w:rFonts w:ascii="Aptos" w:hAnsi="Aptos"/>
          <w:szCs w:val="24"/>
        </w:rPr>
        <w:t>I</w:t>
      </w:r>
      <w:r w:rsidR="004A13F7" w:rsidRPr="007C7C35">
        <w:rPr>
          <w:rFonts w:ascii="Aptos" w:hAnsi="Aptos"/>
          <w:szCs w:val="24"/>
        </w:rPr>
        <w:t xml:space="preserve">nternational students favour large cities for good reasons. </w:t>
      </w:r>
    </w:p>
    <w:p w14:paraId="7CAD6914" w14:textId="4F0C0D62" w:rsidR="00B85A21" w:rsidRPr="007C7C35" w:rsidRDefault="00B85A21" w:rsidP="004A13F7">
      <w:pPr>
        <w:ind w:left="0"/>
        <w:rPr>
          <w:rFonts w:ascii="Aptos" w:hAnsi="Aptos"/>
          <w:szCs w:val="24"/>
        </w:rPr>
      </w:pPr>
      <w:r w:rsidRPr="007C7C35">
        <w:rPr>
          <w:rFonts w:ascii="Aptos" w:hAnsi="Aptos"/>
          <w:szCs w:val="24"/>
        </w:rPr>
        <w:t xml:space="preserve">These cities narrow the social and </w:t>
      </w:r>
      <w:r w:rsidR="009C0FE4" w:rsidRPr="007C7C35">
        <w:rPr>
          <w:rFonts w:ascii="Aptos" w:hAnsi="Aptos"/>
          <w:szCs w:val="24"/>
        </w:rPr>
        <w:t xml:space="preserve">cultural gap </w:t>
      </w:r>
      <w:r w:rsidRPr="007C7C35">
        <w:rPr>
          <w:rFonts w:ascii="Aptos" w:hAnsi="Aptos"/>
          <w:szCs w:val="24"/>
        </w:rPr>
        <w:t>between Australia and student home countries</w:t>
      </w:r>
      <w:r w:rsidR="009C0FE4" w:rsidRPr="007C7C35">
        <w:rPr>
          <w:rFonts w:ascii="Aptos" w:hAnsi="Aptos"/>
          <w:szCs w:val="24"/>
        </w:rPr>
        <w:t xml:space="preserve">, </w:t>
      </w:r>
      <w:r w:rsidRPr="007C7C35">
        <w:rPr>
          <w:rFonts w:ascii="Aptos" w:hAnsi="Aptos"/>
          <w:szCs w:val="24"/>
        </w:rPr>
        <w:t>due to their</w:t>
      </w:r>
      <w:r w:rsidR="009C0FE4" w:rsidRPr="007C7C35">
        <w:rPr>
          <w:rFonts w:ascii="Aptos" w:hAnsi="Aptos"/>
          <w:szCs w:val="24"/>
        </w:rPr>
        <w:t xml:space="preserve"> significant temporary and permanent migrant </w:t>
      </w:r>
      <w:r w:rsidR="007D621B">
        <w:rPr>
          <w:rFonts w:ascii="Aptos" w:hAnsi="Aptos"/>
          <w:szCs w:val="24"/>
        </w:rPr>
        <w:t xml:space="preserve">populations </w:t>
      </w:r>
      <w:r w:rsidR="009C0FE4" w:rsidRPr="007C7C35">
        <w:rPr>
          <w:rFonts w:ascii="Aptos" w:hAnsi="Aptos"/>
          <w:szCs w:val="24"/>
        </w:rPr>
        <w:t>from the major international student source countries. Ar</w:t>
      </w:r>
      <w:r w:rsidR="004A13F7" w:rsidRPr="007C7C35">
        <w:rPr>
          <w:rFonts w:ascii="Aptos" w:hAnsi="Aptos"/>
          <w:szCs w:val="24"/>
        </w:rPr>
        <w:t xml:space="preserve">eas around metropolitan universities often have shops and restaurants catering directly to international students. </w:t>
      </w:r>
    </w:p>
    <w:p w14:paraId="375EA7AE" w14:textId="7BE4340A" w:rsidR="00B85A21" w:rsidRPr="007C7C35" w:rsidRDefault="004A13F7" w:rsidP="004A13F7">
      <w:pPr>
        <w:ind w:left="0"/>
        <w:rPr>
          <w:rFonts w:ascii="Aptos" w:hAnsi="Aptos"/>
          <w:szCs w:val="24"/>
        </w:rPr>
      </w:pPr>
      <w:r w:rsidRPr="007C7C35">
        <w:rPr>
          <w:rFonts w:ascii="Aptos" w:hAnsi="Aptos"/>
          <w:szCs w:val="24"/>
        </w:rPr>
        <w:t>Major cities have large and diverse labour markets for students seeking employment.</w:t>
      </w:r>
      <w:r w:rsidRPr="007C7C35">
        <w:rPr>
          <w:rStyle w:val="FootnoteReference"/>
          <w:rFonts w:ascii="Aptos" w:hAnsi="Aptos"/>
          <w:szCs w:val="24"/>
        </w:rPr>
        <w:footnoteReference w:id="16"/>
      </w:r>
      <w:r w:rsidR="009C0FE4" w:rsidRPr="007C7C35">
        <w:rPr>
          <w:rFonts w:ascii="Aptos" w:hAnsi="Aptos"/>
          <w:szCs w:val="24"/>
        </w:rPr>
        <w:t xml:space="preserve"> </w:t>
      </w:r>
    </w:p>
    <w:p w14:paraId="4ED60560" w14:textId="13C6FDC6" w:rsidR="00CA1850" w:rsidRPr="007C7C35" w:rsidRDefault="009C0FE4" w:rsidP="004A13F7">
      <w:pPr>
        <w:ind w:left="0"/>
        <w:rPr>
          <w:rFonts w:ascii="Aptos" w:hAnsi="Aptos"/>
          <w:szCs w:val="24"/>
        </w:rPr>
      </w:pPr>
      <w:r w:rsidRPr="007C7C35">
        <w:rPr>
          <w:rFonts w:ascii="Aptos" w:hAnsi="Aptos"/>
          <w:szCs w:val="24"/>
        </w:rPr>
        <w:t xml:space="preserve">For international students focused on prestige considerations, all these universities are in major cities. </w:t>
      </w:r>
      <w:r w:rsidR="007E6253" w:rsidRPr="007C7C35">
        <w:rPr>
          <w:rFonts w:ascii="Aptos" w:hAnsi="Aptos"/>
          <w:szCs w:val="24"/>
        </w:rPr>
        <w:t xml:space="preserve">They pay extra and forgo migration </w:t>
      </w:r>
      <w:r w:rsidR="002E1CAE" w:rsidRPr="007C7C35">
        <w:rPr>
          <w:rFonts w:ascii="Aptos" w:hAnsi="Aptos"/>
          <w:szCs w:val="24"/>
        </w:rPr>
        <w:t>advantage</w:t>
      </w:r>
      <w:r w:rsidR="007E6253" w:rsidRPr="007C7C35">
        <w:rPr>
          <w:rFonts w:ascii="Aptos" w:hAnsi="Aptos"/>
          <w:szCs w:val="24"/>
        </w:rPr>
        <w:t xml:space="preserve">s for </w:t>
      </w:r>
      <w:r w:rsidR="002E1CAE" w:rsidRPr="007C7C35">
        <w:rPr>
          <w:rFonts w:ascii="Aptos" w:hAnsi="Aptos"/>
          <w:szCs w:val="24"/>
        </w:rPr>
        <w:t xml:space="preserve">these benefits. </w:t>
      </w:r>
    </w:p>
    <w:p w14:paraId="74A82492" w14:textId="0DB965B1" w:rsidR="00CA1850" w:rsidRPr="007C7C35" w:rsidRDefault="00CA1850" w:rsidP="00CA1850">
      <w:pPr>
        <w:pStyle w:val="Heading3"/>
        <w:ind w:left="0"/>
        <w:rPr>
          <w:rFonts w:ascii="Aptos" w:hAnsi="Aptos"/>
        </w:rPr>
      </w:pPr>
      <w:bookmarkStart w:id="26" w:name="_Toc170742448"/>
      <w:r w:rsidRPr="007C7C35">
        <w:rPr>
          <w:rFonts w:ascii="Aptos" w:hAnsi="Aptos"/>
        </w:rPr>
        <w:t>Policy coherence</w:t>
      </w:r>
      <w:bookmarkEnd w:id="26"/>
    </w:p>
    <w:p w14:paraId="5F1C0D26" w14:textId="51E4FB01" w:rsidR="00CA1850" w:rsidRPr="007C7C35" w:rsidRDefault="004A13F7" w:rsidP="004A13F7">
      <w:pPr>
        <w:ind w:left="0"/>
        <w:rPr>
          <w:rFonts w:ascii="Aptos" w:hAnsi="Aptos"/>
          <w:szCs w:val="24"/>
        </w:rPr>
      </w:pPr>
      <w:r w:rsidRPr="007C7C35">
        <w:rPr>
          <w:rFonts w:ascii="Aptos" w:hAnsi="Aptos"/>
          <w:szCs w:val="24"/>
        </w:rPr>
        <w:t>The government’s overall migration strategy</w:t>
      </w:r>
      <w:r w:rsidR="007D621B">
        <w:rPr>
          <w:rFonts w:ascii="Aptos" w:hAnsi="Aptos"/>
          <w:szCs w:val="24"/>
        </w:rPr>
        <w:t xml:space="preserve"> is undermining, and could further undermine,</w:t>
      </w:r>
      <w:r w:rsidRPr="007C7C35">
        <w:rPr>
          <w:rFonts w:ascii="Aptos" w:hAnsi="Aptos"/>
          <w:szCs w:val="24"/>
        </w:rPr>
        <w:t xml:space="preserve"> any benefits </w:t>
      </w:r>
      <w:r w:rsidR="007D621B">
        <w:rPr>
          <w:rFonts w:ascii="Aptos" w:hAnsi="Aptos"/>
          <w:szCs w:val="24"/>
        </w:rPr>
        <w:t xml:space="preserve">to regional universities </w:t>
      </w:r>
      <w:r w:rsidRPr="007C7C35">
        <w:rPr>
          <w:rFonts w:ascii="Aptos" w:hAnsi="Aptos"/>
          <w:szCs w:val="24"/>
        </w:rPr>
        <w:t xml:space="preserve">coming from </w:t>
      </w:r>
      <w:r w:rsidR="00B85A21" w:rsidRPr="007C7C35">
        <w:rPr>
          <w:rFonts w:ascii="Aptos" w:hAnsi="Aptos"/>
          <w:szCs w:val="24"/>
        </w:rPr>
        <w:t xml:space="preserve">partially </w:t>
      </w:r>
      <w:r w:rsidRPr="007C7C35">
        <w:rPr>
          <w:rFonts w:ascii="Aptos" w:hAnsi="Aptos"/>
          <w:szCs w:val="24"/>
        </w:rPr>
        <w:t>blocking metropolitan study pathways.</w:t>
      </w:r>
    </w:p>
    <w:p w14:paraId="61114CE9" w14:textId="6AFB2166" w:rsidR="007D621B" w:rsidRPr="007C7C35" w:rsidRDefault="007D621B" w:rsidP="007D621B">
      <w:pPr>
        <w:ind w:left="0"/>
        <w:rPr>
          <w:rFonts w:ascii="Aptos" w:hAnsi="Aptos"/>
          <w:szCs w:val="24"/>
        </w:rPr>
      </w:pPr>
      <w:r w:rsidRPr="007C7C35">
        <w:rPr>
          <w:rFonts w:ascii="Aptos" w:hAnsi="Aptos"/>
          <w:szCs w:val="24"/>
        </w:rPr>
        <w:lastRenderedPageBreak/>
        <w:t xml:space="preserve">Ministerial direction no. 107, made in December 2023, effectively prioritised student visa processing for more prestigious universities. It has had, and is having, a significant negative effect on regional universities. </w:t>
      </w:r>
      <w:r w:rsidR="00BF2C57">
        <w:rPr>
          <w:rFonts w:ascii="Aptos" w:hAnsi="Aptos"/>
          <w:szCs w:val="24"/>
        </w:rPr>
        <w:t>Federation University, for example, has seen its new international student enrolments fall by 90%.</w:t>
      </w:r>
      <w:r w:rsidR="00BF2C57">
        <w:rPr>
          <w:rStyle w:val="FootnoteReference"/>
          <w:rFonts w:ascii="Aptos" w:hAnsi="Aptos"/>
          <w:szCs w:val="24"/>
        </w:rPr>
        <w:footnoteReference w:id="17"/>
      </w:r>
    </w:p>
    <w:p w14:paraId="48C9CC9A" w14:textId="758AF85C" w:rsidR="00CA1850" w:rsidRDefault="004A13F7" w:rsidP="004A13F7">
      <w:pPr>
        <w:ind w:left="0"/>
        <w:rPr>
          <w:rFonts w:ascii="Aptos" w:hAnsi="Aptos"/>
          <w:szCs w:val="24"/>
        </w:rPr>
      </w:pPr>
      <w:r w:rsidRPr="007C7C35">
        <w:rPr>
          <w:rFonts w:ascii="Aptos" w:hAnsi="Aptos"/>
          <w:szCs w:val="24"/>
        </w:rPr>
        <w:t xml:space="preserve">The </w:t>
      </w:r>
      <w:r w:rsidR="00B85A21" w:rsidRPr="007C7C35">
        <w:rPr>
          <w:rFonts w:ascii="Aptos" w:hAnsi="Aptos"/>
          <w:szCs w:val="24"/>
        </w:rPr>
        <w:t xml:space="preserve">migration </w:t>
      </w:r>
      <w:r w:rsidRPr="007C7C35">
        <w:rPr>
          <w:rFonts w:ascii="Aptos" w:hAnsi="Aptos"/>
          <w:szCs w:val="24"/>
        </w:rPr>
        <w:t xml:space="preserve">policy paper released in December 2023 included the </w:t>
      </w:r>
      <w:r w:rsidR="00C8546B">
        <w:rPr>
          <w:rFonts w:ascii="Aptos" w:hAnsi="Aptos"/>
          <w:szCs w:val="24"/>
        </w:rPr>
        <w:t xml:space="preserve">5 </w:t>
      </w:r>
      <w:r w:rsidRPr="007C7C35">
        <w:rPr>
          <w:rFonts w:ascii="Aptos" w:hAnsi="Aptos"/>
          <w:szCs w:val="24"/>
        </w:rPr>
        <w:t xml:space="preserve">points </w:t>
      </w:r>
      <w:r w:rsidR="00C8546B">
        <w:rPr>
          <w:rFonts w:ascii="Aptos" w:hAnsi="Aptos"/>
          <w:szCs w:val="24"/>
        </w:rPr>
        <w:t xml:space="preserve">towards a points-tested visa </w:t>
      </w:r>
      <w:r w:rsidRPr="007C7C35">
        <w:rPr>
          <w:rFonts w:ascii="Aptos" w:hAnsi="Aptos"/>
          <w:szCs w:val="24"/>
        </w:rPr>
        <w:t>for regional study in a list of ‘poor predictors’ of labour market success.</w:t>
      </w:r>
      <w:r w:rsidR="001E4286">
        <w:rPr>
          <w:rFonts w:ascii="Aptos" w:hAnsi="Aptos"/>
          <w:szCs w:val="24"/>
        </w:rPr>
        <w:t xml:space="preserve"> This analysis was repeated in the April 2024 discussion paper on points-tested migration.</w:t>
      </w:r>
      <w:r w:rsidRPr="007C7C35">
        <w:rPr>
          <w:rStyle w:val="FootnoteReference"/>
          <w:rFonts w:ascii="Aptos" w:hAnsi="Aptos"/>
          <w:szCs w:val="24"/>
        </w:rPr>
        <w:footnoteReference w:id="18"/>
      </w:r>
      <w:r w:rsidRPr="007C7C35">
        <w:rPr>
          <w:rFonts w:ascii="Aptos" w:hAnsi="Aptos"/>
          <w:szCs w:val="24"/>
        </w:rPr>
        <w:t xml:space="preserve"> </w:t>
      </w:r>
    </w:p>
    <w:p w14:paraId="7FDB8383" w14:textId="41F7FCB9" w:rsidR="003E5343" w:rsidRPr="007C7C35" w:rsidRDefault="003E5343" w:rsidP="004A13F7">
      <w:pPr>
        <w:ind w:left="0"/>
        <w:rPr>
          <w:rFonts w:ascii="Aptos" w:hAnsi="Aptos"/>
          <w:szCs w:val="24"/>
        </w:rPr>
      </w:pPr>
      <w:r>
        <w:rPr>
          <w:rFonts w:ascii="Aptos" w:hAnsi="Aptos"/>
          <w:szCs w:val="24"/>
        </w:rPr>
        <w:t>The international students who chose regional universities because of their low fees are likely to be most affected by increasing the visa application fee from $710 to $1600.</w:t>
      </w:r>
    </w:p>
    <w:p w14:paraId="391C41E8" w14:textId="77777777" w:rsidR="00355EB5" w:rsidRDefault="00355EB5">
      <w:pPr>
        <w:rPr>
          <w:rFonts w:ascii="Aptos" w:hAnsi="Aptos"/>
          <w:szCs w:val="24"/>
        </w:rPr>
      </w:pPr>
      <w:r>
        <w:rPr>
          <w:rFonts w:ascii="Aptos" w:hAnsi="Aptos"/>
          <w:szCs w:val="24"/>
        </w:rPr>
        <w:br w:type="page"/>
      </w:r>
    </w:p>
    <w:p w14:paraId="273C78A3" w14:textId="62AB9A36" w:rsidR="00690C4E" w:rsidRPr="00833E20" w:rsidRDefault="00690C4E" w:rsidP="0088097E">
      <w:pPr>
        <w:pStyle w:val="Heading1"/>
        <w:numPr>
          <w:ilvl w:val="0"/>
          <w:numId w:val="7"/>
        </w:numPr>
        <w:ind w:left="357" w:hanging="357"/>
        <w:rPr>
          <w:rFonts w:ascii="Aptos" w:hAnsi="Aptos" w:cs="Arial"/>
          <w:sz w:val="24"/>
          <w:szCs w:val="24"/>
        </w:rPr>
      </w:pPr>
      <w:bookmarkStart w:id="27" w:name="_Toc170742449"/>
      <w:r>
        <w:rPr>
          <w:rFonts w:ascii="Aptos" w:hAnsi="Aptos" w:cstheme="minorHAnsi"/>
          <w:color w:val="4F81BD" w:themeColor="accent1"/>
          <w:sz w:val="24"/>
          <w:szCs w:val="24"/>
        </w:rPr>
        <w:lastRenderedPageBreak/>
        <w:t>Stranded places by university and course</w:t>
      </w:r>
      <w:bookmarkEnd w:id="27"/>
    </w:p>
    <w:p w14:paraId="19EB8F24" w14:textId="10097E41" w:rsidR="0004084E" w:rsidRDefault="0004084E" w:rsidP="00833E20">
      <w:pPr>
        <w:pStyle w:val="BodyText"/>
        <w:ind w:left="0"/>
        <w:rPr>
          <w:rFonts w:ascii="Aptos" w:hAnsi="Aptos"/>
          <w:szCs w:val="24"/>
        </w:rPr>
      </w:pPr>
      <w:r>
        <w:rPr>
          <w:rFonts w:ascii="Aptos" w:hAnsi="Aptos"/>
          <w:szCs w:val="24"/>
        </w:rPr>
        <w:t xml:space="preserve">Sections </w:t>
      </w:r>
      <w:r w:rsidR="00A86F5D">
        <w:rPr>
          <w:rFonts w:ascii="Aptos" w:hAnsi="Aptos"/>
          <w:szCs w:val="24"/>
        </w:rPr>
        <w:t xml:space="preserve">2 </w:t>
      </w:r>
      <w:r>
        <w:rPr>
          <w:rFonts w:ascii="Aptos" w:hAnsi="Aptos"/>
          <w:szCs w:val="24"/>
        </w:rPr>
        <w:t xml:space="preserve">and </w:t>
      </w:r>
      <w:r w:rsidR="00A86F5D">
        <w:rPr>
          <w:rFonts w:ascii="Aptos" w:hAnsi="Aptos"/>
          <w:szCs w:val="24"/>
        </w:rPr>
        <w:t>3</w:t>
      </w:r>
      <w:r>
        <w:rPr>
          <w:rFonts w:ascii="Aptos" w:hAnsi="Aptos"/>
          <w:szCs w:val="24"/>
        </w:rPr>
        <w:t xml:space="preserve"> argue that assumptions behind the capping policy are mistaken and unrealistic. This section looks at how caps by institution and course would lead to lower enrolments than would be expected </w:t>
      </w:r>
      <w:r w:rsidR="001E4286">
        <w:rPr>
          <w:rFonts w:ascii="Aptos" w:hAnsi="Aptos"/>
          <w:szCs w:val="24"/>
        </w:rPr>
        <w:t xml:space="preserve">by </w:t>
      </w:r>
      <w:r>
        <w:rPr>
          <w:rFonts w:ascii="Aptos" w:hAnsi="Aptos"/>
          <w:szCs w:val="24"/>
        </w:rPr>
        <w:t xml:space="preserve">adding up their totals.   </w:t>
      </w:r>
    </w:p>
    <w:p w14:paraId="3277C7F6" w14:textId="482DA3A3" w:rsidR="00833E20" w:rsidRPr="007C7C35" w:rsidRDefault="00833E20" w:rsidP="00833E20">
      <w:pPr>
        <w:pStyle w:val="BodyText"/>
        <w:ind w:left="0"/>
        <w:rPr>
          <w:rFonts w:ascii="Aptos" w:hAnsi="Aptos"/>
          <w:szCs w:val="24"/>
        </w:rPr>
      </w:pPr>
      <w:r w:rsidRPr="007C7C35">
        <w:rPr>
          <w:rFonts w:ascii="Aptos" w:hAnsi="Aptos"/>
          <w:szCs w:val="24"/>
        </w:rPr>
        <w:t xml:space="preserve">All systems of prescriptively allocating student places run the risk of ‘stranded places’ – places that are theoretically available but cannot be in practice be used. This is because every condition added to the use of a student place reduces the number of potential students who could fill it. </w:t>
      </w:r>
    </w:p>
    <w:p w14:paraId="383F073A" w14:textId="177BCBAA" w:rsidR="00833E20" w:rsidRPr="007C7C35" w:rsidRDefault="00833E20" w:rsidP="00833E20">
      <w:pPr>
        <w:pStyle w:val="BodyText"/>
        <w:ind w:left="0"/>
        <w:rPr>
          <w:rFonts w:ascii="Aptos" w:hAnsi="Aptos"/>
          <w:szCs w:val="24"/>
        </w:rPr>
      </w:pPr>
      <w:r w:rsidRPr="007C7C35">
        <w:rPr>
          <w:rFonts w:ascii="Aptos" w:hAnsi="Aptos"/>
          <w:szCs w:val="24"/>
        </w:rPr>
        <w:t xml:space="preserve">The government has recent experience of this problem </w:t>
      </w:r>
      <w:r w:rsidR="001E4286">
        <w:rPr>
          <w:rFonts w:ascii="Aptos" w:hAnsi="Aptos"/>
          <w:szCs w:val="24"/>
        </w:rPr>
        <w:t>with</w:t>
      </w:r>
      <w:r w:rsidRPr="007C7C35">
        <w:rPr>
          <w:rFonts w:ascii="Aptos" w:hAnsi="Aptos"/>
          <w:szCs w:val="24"/>
        </w:rPr>
        <w:t xml:space="preserve"> domestic student places. In 2023 it allocated 10,000 of a promised 20,000 additional Commonwealth supported student places. These places had multiple criteria attached – they were allocated to specific higher education institutions, specific types of courses (those relating to skills shortage occupations) and specific types of students (members of equity groups).</w:t>
      </w:r>
      <w:r w:rsidRPr="007C7C35">
        <w:rPr>
          <w:rStyle w:val="FootnoteReference"/>
          <w:rFonts w:ascii="Aptos" w:hAnsi="Aptos"/>
          <w:szCs w:val="24"/>
        </w:rPr>
        <w:footnoteReference w:id="19"/>
      </w:r>
      <w:r w:rsidRPr="007C7C35">
        <w:rPr>
          <w:rFonts w:ascii="Aptos" w:hAnsi="Aptos"/>
          <w:szCs w:val="24"/>
        </w:rPr>
        <w:t xml:space="preserve"> Universities were already facing soft domestic demand, maximising the need for flexibility to use their existing CSP funding</w:t>
      </w:r>
      <w:r w:rsidR="0004084E">
        <w:rPr>
          <w:rFonts w:ascii="Aptos" w:hAnsi="Aptos"/>
          <w:szCs w:val="24"/>
        </w:rPr>
        <w:t xml:space="preserve"> rather than restricting it to specific courses and students. </w:t>
      </w:r>
    </w:p>
    <w:p w14:paraId="65051442" w14:textId="3AAF603A" w:rsidR="00833E20" w:rsidRDefault="00833E20" w:rsidP="00833E20">
      <w:pPr>
        <w:pStyle w:val="BodyText"/>
        <w:ind w:left="0"/>
        <w:rPr>
          <w:rFonts w:ascii="Aptos" w:hAnsi="Aptos"/>
          <w:szCs w:val="24"/>
        </w:rPr>
      </w:pPr>
      <w:r w:rsidRPr="007C7C35">
        <w:rPr>
          <w:rFonts w:ascii="Aptos" w:hAnsi="Aptos"/>
          <w:szCs w:val="24"/>
        </w:rPr>
        <w:t>Unsurprisingly, many of these prescriptively allocated student places will go unused. With another 10,000 places added in 2024, the government’s Universities Accord panel hopes to save the unspent funding for future use.</w:t>
      </w:r>
      <w:r w:rsidRPr="007C7C35">
        <w:rPr>
          <w:rStyle w:val="FootnoteReference"/>
          <w:rFonts w:ascii="Aptos" w:hAnsi="Aptos"/>
          <w:szCs w:val="24"/>
        </w:rPr>
        <w:footnoteReference w:id="20"/>
      </w:r>
      <w:r w:rsidR="0004084E">
        <w:rPr>
          <w:rFonts w:ascii="Aptos" w:hAnsi="Aptos"/>
          <w:szCs w:val="24"/>
        </w:rPr>
        <w:t xml:space="preserve"> </w:t>
      </w:r>
    </w:p>
    <w:p w14:paraId="5289F8E2" w14:textId="617916AD" w:rsidR="0004084E" w:rsidRDefault="0004084E" w:rsidP="00833E20">
      <w:pPr>
        <w:pStyle w:val="BodyText"/>
        <w:ind w:left="0"/>
        <w:rPr>
          <w:rFonts w:ascii="Aptos" w:hAnsi="Aptos"/>
          <w:szCs w:val="24"/>
        </w:rPr>
      </w:pPr>
      <w:r>
        <w:rPr>
          <w:rFonts w:ascii="Aptos" w:hAnsi="Aptos"/>
          <w:szCs w:val="24"/>
        </w:rPr>
        <w:t xml:space="preserve">The government is repeating this mistake in international education. </w:t>
      </w:r>
    </w:p>
    <w:p w14:paraId="20FA5354" w14:textId="77777777" w:rsidR="005B5CAE" w:rsidRDefault="005B5CAE" w:rsidP="005B5CAE">
      <w:pPr>
        <w:pStyle w:val="BodyText"/>
        <w:ind w:left="0"/>
        <w:rPr>
          <w:rFonts w:ascii="Aptos" w:hAnsi="Aptos"/>
          <w:szCs w:val="24"/>
        </w:rPr>
      </w:pPr>
      <w:r>
        <w:rPr>
          <w:rFonts w:ascii="Aptos" w:hAnsi="Aptos"/>
          <w:szCs w:val="24"/>
        </w:rPr>
        <w:t xml:space="preserve">Allocating more places to courses that international students don’t want to take will leave many of them unused rather than change course preferences. </w:t>
      </w:r>
    </w:p>
    <w:p w14:paraId="5FCEF0D7" w14:textId="1ACAABDF" w:rsidR="005B5CAE" w:rsidRDefault="005B5CAE" w:rsidP="00833E20">
      <w:pPr>
        <w:pStyle w:val="BodyText"/>
        <w:ind w:left="0"/>
        <w:rPr>
          <w:rFonts w:ascii="Aptos" w:hAnsi="Aptos"/>
          <w:szCs w:val="24"/>
        </w:rPr>
      </w:pPr>
      <w:r>
        <w:rPr>
          <w:rFonts w:ascii="Aptos" w:hAnsi="Aptos"/>
          <w:szCs w:val="24"/>
        </w:rPr>
        <w:t xml:space="preserve">Inability to fill course-level quotas will mean </w:t>
      </w:r>
      <w:r w:rsidR="00355EB5">
        <w:rPr>
          <w:rFonts w:ascii="Aptos" w:hAnsi="Aptos"/>
          <w:szCs w:val="24"/>
        </w:rPr>
        <w:t xml:space="preserve">institution level caps won’t be met. </w:t>
      </w:r>
    </w:p>
    <w:p w14:paraId="2AB1B3D7" w14:textId="5C414555" w:rsidR="005B5CAE" w:rsidRDefault="00EA0C71" w:rsidP="00833E20">
      <w:pPr>
        <w:pStyle w:val="BodyText"/>
        <w:ind w:left="0"/>
        <w:rPr>
          <w:rFonts w:ascii="Aptos" w:hAnsi="Aptos"/>
          <w:szCs w:val="24"/>
        </w:rPr>
      </w:pPr>
      <w:r>
        <w:rPr>
          <w:rFonts w:ascii="Aptos" w:hAnsi="Aptos"/>
          <w:szCs w:val="24"/>
        </w:rPr>
        <w:t xml:space="preserve">Allocating more places to regional universities will leave many of them unused rather than encourage a movement of </w:t>
      </w:r>
      <w:r w:rsidR="005B5CAE">
        <w:rPr>
          <w:rFonts w:ascii="Aptos" w:hAnsi="Aptos"/>
          <w:szCs w:val="24"/>
        </w:rPr>
        <w:t xml:space="preserve">international </w:t>
      </w:r>
      <w:r>
        <w:rPr>
          <w:rFonts w:ascii="Aptos" w:hAnsi="Aptos"/>
          <w:szCs w:val="24"/>
        </w:rPr>
        <w:t xml:space="preserve">students to big cities. </w:t>
      </w:r>
    </w:p>
    <w:p w14:paraId="717D94FA" w14:textId="68B8C66A" w:rsidR="005B5CAE" w:rsidRDefault="005B5CAE" w:rsidP="00833E20">
      <w:pPr>
        <w:pStyle w:val="BodyText"/>
        <w:ind w:left="0"/>
        <w:rPr>
          <w:rFonts w:ascii="Aptos" w:hAnsi="Aptos"/>
          <w:szCs w:val="24"/>
        </w:rPr>
      </w:pPr>
      <w:r>
        <w:rPr>
          <w:rFonts w:ascii="Aptos" w:hAnsi="Aptos"/>
          <w:szCs w:val="24"/>
        </w:rPr>
        <w:t>These supply side policies will interact with multiple demand side changes to reduce international student enrolments:</w:t>
      </w:r>
    </w:p>
    <w:p w14:paraId="17015B01" w14:textId="45D22026" w:rsidR="005B5CAE" w:rsidRDefault="005B5CAE" w:rsidP="005B5CAE">
      <w:pPr>
        <w:pStyle w:val="BodyText"/>
        <w:numPr>
          <w:ilvl w:val="0"/>
          <w:numId w:val="12"/>
        </w:numPr>
        <w:rPr>
          <w:rFonts w:ascii="Aptos" w:hAnsi="Aptos"/>
          <w:szCs w:val="24"/>
        </w:rPr>
      </w:pPr>
      <w:r>
        <w:rPr>
          <w:rFonts w:ascii="Aptos" w:hAnsi="Aptos"/>
          <w:szCs w:val="24"/>
        </w:rPr>
        <w:t>Higher visa application fees</w:t>
      </w:r>
    </w:p>
    <w:p w14:paraId="2F55CF17" w14:textId="02215149" w:rsidR="00355EB5" w:rsidRDefault="00355EB5" w:rsidP="005B5CAE">
      <w:pPr>
        <w:pStyle w:val="BodyText"/>
        <w:numPr>
          <w:ilvl w:val="0"/>
          <w:numId w:val="12"/>
        </w:numPr>
        <w:rPr>
          <w:rFonts w:ascii="Aptos" w:hAnsi="Aptos"/>
          <w:szCs w:val="24"/>
        </w:rPr>
      </w:pPr>
      <w:r>
        <w:rPr>
          <w:rFonts w:ascii="Aptos" w:hAnsi="Aptos"/>
          <w:szCs w:val="24"/>
        </w:rPr>
        <w:t xml:space="preserve">Increased financial requirements </w:t>
      </w:r>
      <w:r w:rsidR="0077260C">
        <w:rPr>
          <w:rFonts w:ascii="Aptos" w:hAnsi="Aptos"/>
          <w:szCs w:val="24"/>
        </w:rPr>
        <w:t>to support living in Australia</w:t>
      </w:r>
    </w:p>
    <w:p w14:paraId="07C58C19" w14:textId="516302F9" w:rsidR="005B5CAE" w:rsidRDefault="005B5CAE" w:rsidP="005B5CAE">
      <w:pPr>
        <w:pStyle w:val="BodyText"/>
        <w:numPr>
          <w:ilvl w:val="0"/>
          <w:numId w:val="12"/>
        </w:numPr>
        <w:rPr>
          <w:rFonts w:ascii="Aptos" w:hAnsi="Aptos"/>
          <w:szCs w:val="24"/>
        </w:rPr>
      </w:pPr>
      <w:r>
        <w:rPr>
          <w:rFonts w:ascii="Aptos" w:hAnsi="Aptos"/>
          <w:szCs w:val="24"/>
        </w:rPr>
        <w:t>Prohibitions on some onshore applications</w:t>
      </w:r>
    </w:p>
    <w:p w14:paraId="6D0E9A68" w14:textId="32677FB8" w:rsidR="005B5CAE" w:rsidRDefault="005B5CAE" w:rsidP="005B5CAE">
      <w:pPr>
        <w:pStyle w:val="BodyText"/>
        <w:numPr>
          <w:ilvl w:val="0"/>
          <w:numId w:val="12"/>
        </w:numPr>
        <w:rPr>
          <w:rFonts w:ascii="Aptos" w:hAnsi="Aptos"/>
          <w:szCs w:val="24"/>
        </w:rPr>
      </w:pPr>
      <w:r>
        <w:rPr>
          <w:rFonts w:ascii="Aptos" w:hAnsi="Aptos"/>
          <w:szCs w:val="24"/>
        </w:rPr>
        <w:t>Less favourable temporary graduate visa lengths</w:t>
      </w:r>
    </w:p>
    <w:p w14:paraId="34D8AA46" w14:textId="71D7D87D" w:rsidR="005B5CAE" w:rsidRDefault="005B5CAE" w:rsidP="005B5CAE">
      <w:pPr>
        <w:pStyle w:val="BodyText"/>
        <w:numPr>
          <w:ilvl w:val="0"/>
          <w:numId w:val="12"/>
        </w:numPr>
        <w:rPr>
          <w:rFonts w:ascii="Aptos" w:hAnsi="Aptos"/>
          <w:szCs w:val="24"/>
        </w:rPr>
      </w:pPr>
      <w:r>
        <w:rPr>
          <w:rFonts w:ascii="Aptos" w:hAnsi="Aptos"/>
          <w:szCs w:val="24"/>
        </w:rPr>
        <w:lastRenderedPageBreak/>
        <w:t>Unpredictable application of genuine temporary entrant and genuine student tests.</w:t>
      </w:r>
    </w:p>
    <w:p w14:paraId="3FB7BAF0" w14:textId="6613B111" w:rsidR="00B42767" w:rsidRDefault="00355EB5" w:rsidP="00833E20">
      <w:pPr>
        <w:pStyle w:val="BodyText"/>
        <w:ind w:left="0"/>
        <w:rPr>
          <w:rFonts w:ascii="Aptos" w:hAnsi="Aptos"/>
          <w:szCs w:val="24"/>
        </w:rPr>
      </w:pPr>
      <w:r>
        <w:rPr>
          <w:rFonts w:ascii="Aptos" w:hAnsi="Aptos"/>
          <w:szCs w:val="24"/>
        </w:rPr>
        <w:t xml:space="preserve">As these changes are likely to affect the less prestigious universities the most their caps will not be filled. </w:t>
      </w:r>
    </w:p>
    <w:p w14:paraId="6CCD3255" w14:textId="7EC3ABA2" w:rsidR="00355EB5" w:rsidRDefault="00355EB5" w:rsidP="00833E20">
      <w:pPr>
        <w:pStyle w:val="BodyText"/>
        <w:ind w:left="0"/>
        <w:rPr>
          <w:rFonts w:ascii="Aptos" w:hAnsi="Aptos"/>
          <w:szCs w:val="24"/>
        </w:rPr>
      </w:pPr>
      <w:r>
        <w:rPr>
          <w:rFonts w:ascii="Aptos" w:hAnsi="Aptos"/>
          <w:szCs w:val="24"/>
        </w:rPr>
        <w:t xml:space="preserve">Elsewhere I have suggested a cap-and-trade system to support </w:t>
      </w:r>
      <w:r w:rsidR="00215862">
        <w:rPr>
          <w:rFonts w:ascii="Aptos" w:hAnsi="Aptos"/>
          <w:szCs w:val="24"/>
        </w:rPr>
        <w:t>more efficient use of the available student places.</w:t>
      </w:r>
      <w:r w:rsidR="00215862">
        <w:rPr>
          <w:rStyle w:val="FootnoteReference"/>
          <w:rFonts w:ascii="Aptos" w:hAnsi="Aptos"/>
          <w:szCs w:val="24"/>
        </w:rPr>
        <w:footnoteReference w:id="21"/>
      </w:r>
      <w:r w:rsidR="00215862">
        <w:rPr>
          <w:rFonts w:ascii="Aptos" w:hAnsi="Aptos"/>
          <w:szCs w:val="24"/>
        </w:rPr>
        <w:t xml:space="preserve"> However, </w:t>
      </w:r>
      <w:r w:rsidR="00A86F5D">
        <w:rPr>
          <w:rFonts w:ascii="Aptos" w:hAnsi="Aptos"/>
          <w:szCs w:val="24"/>
        </w:rPr>
        <w:t>as</w:t>
      </w:r>
      <w:r w:rsidR="00215862">
        <w:rPr>
          <w:rFonts w:ascii="Aptos" w:hAnsi="Aptos"/>
          <w:szCs w:val="24"/>
        </w:rPr>
        <w:t xml:space="preserve"> the current policy is </w:t>
      </w:r>
      <w:r w:rsidR="0077260C">
        <w:rPr>
          <w:rFonts w:ascii="Aptos" w:hAnsi="Aptos"/>
          <w:szCs w:val="24"/>
        </w:rPr>
        <w:t xml:space="preserve">already </w:t>
      </w:r>
      <w:r w:rsidR="00215862">
        <w:rPr>
          <w:rFonts w:ascii="Aptos" w:hAnsi="Aptos"/>
          <w:szCs w:val="24"/>
        </w:rPr>
        <w:t xml:space="preserve">beyond the implementation capacity of the relevant departments </w:t>
      </w:r>
      <w:r w:rsidR="0077260C">
        <w:rPr>
          <w:rFonts w:ascii="Aptos" w:hAnsi="Aptos"/>
          <w:szCs w:val="24"/>
        </w:rPr>
        <w:t xml:space="preserve">it should not be considered at this point. </w:t>
      </w:r>
    </w:p>
    <w:p w14:paraId="4F10117F" w14:textId="0C192B9D" w:rsidR="00355EB5" w:rsidRDefault="00355EB5">
      <w:pPr>
        <w:rPr>
          <w:rFonts w:ascii="Aptos" w:hAnsi="Aptos"/>
          <w:szCs w:val="24"/>
        </w:rPr>
      </w:pPr>
      <w:r>
        <w:rPr>
          <w:rFonts w:ascii="Aptos" w:hAnsi="Aptos"/>
          <w:szCs w:val="24"/>
        </w:rPr>
        <w:br w:type="page"/>
      </w:r>
    </w:p>
    <w:p w14:paraId="719679EF" w14:textId="77777777" w:rsidR="00690C4E" w:rsidRPr="00690C4E" w:rsidRDefault="00690C4E" w:rsidP="00690C4E">
      <w:pPr>
        <w:pStyle w:val="Heading1"/>
        <w:numPr>
          <w:ilvl w:val="0"/>
          <w:numId w:val="7"/>
        </w:numPr>
        <w:ind w:left="357" w:hanging="357"/>
        <w:rPr>
          <w:rFonts w:ascii="Aptos" w:hAnsi="Aptos" w:cs="Arial"/>
          <w:sz w:val="24"/>
          <w:szCs w:val="24"/>
        </w:rPr>
      </w:pPr>
      <w:bookmarkStart w:id="28" w:name="_Toc170742450"/>
      <w:r w:rsidRPr="007C7C35">
        <w:rPr>
          <w:rFonts w:ascii="Aptos" w:hAnsi="Aptos" w:cstheme="minorHAnsi"/>
          <w:color w:val="4F81BD" w:themeColor="accent1"/>
          <w:sz w:val="24"/>
          <w:szCs w:val="24"/>
        </w:rPr>
        <w:lastRenderedPageBreak/>
        <w:t>The effects of harsh penalties for breaching an enrolment cap</w:t>
      </w:r>
      <w:bookmarkEnd w:id="28"/>
    </w:p>
    <w:p w14:paraId="3D3D0782" w14:textId="2C73A625" w:rsidR="00355EB5" w:rsidRDefault="00630127" w:rsidP="00630127">
      <w:pPr>
        <w:ind w:left="0"/>
        <w:rPr>
          <w:rFonts w:ascii="Aptos" w:hAnsi="Aptos"/>
          <w:szCs w:val="24"/>
        </w:rPr>
      </w:pPr>
      <w:r w:rsidRPr="007C7C35">
        <w:rPr>
          <w:rFonts w:ascii="Aptos" w:hAnsi="Aptos"/>
          <w:szCs w:val="24"/>
        </w:rPr>
        <w:t xml:space="preserve">Under the </w:t>
      </w:r>
      <w:r w:rsidR="00D3300E" w:rsidRPr="007C7C35">
        <w:rPr>
          <w:rFonts w:ascii="Aptos" w:hAnsi="Aptos"/>
          <w:i/>
          <w:iCs/>
          <w:szCs w:val="24"/>
        </w:rPr>
        <w:t>Education Services for Overseas Students Amendment (Quality and Integrity) Bill 202</w:t>
      </w:r>
      <w:r w:rsidRPr="007C7C35">
        <w:rPr>
          <w:rFonts w:ascii="Aptos" w:hAnsi="Aptos"/>
          <w:i/>
          <w:iCs/>
          <w:szCs w:val="24"/>
        </w:rPr>
        <w:t>4</w:t>
      </w:r>
      <w:r w:rsidRPr="007C7C35">
        <w:rPr>
          <w:rFonts w:ascii="Aptos" w:hAnsi="Aptos"/>
          <w:szCs w:val="24"/>
        </w:rPr>
        <w:t xml:space="preserve"> the penalty for exceeding an enrolment cap is no further enrolments that year – in the institution or the course, depending on which cap was breached. </w:t>
      </w:r>
    </w:p>
    <w:p w14:paraId="016F42B2" w14:textId="1FB5D09B" w:rsidR="003C484C" w:rsidRPr="007C7C35" w:rsidRDefault="003C484C" w:rsidP="003C484C">
      <w:pPr>
        <w:pStyle w:val="Heading3"/>
        <w:ind w:left="0"/>
        <w:rPr>
          <w:rFonts w:ascii="Aptos" w:hAnsi="Aptos"/>
        </w:rPr>
      </w:pPr>
      <w:bookmarkStart w:id="29" w:name="_Toc170742451"/>
      <w:r w:rsidRPr="007C7C35">
        <w:rPr>
          <w:rFonts w:ascii="Aptos" w:hAnsi="Aptos"/>
        </w:rPr>
        <w:t>Consequences of exceeding the cap</w:t>
      </w:r>
      <w:bookmarkEnd w:id="29"/>
      <w:r w:rsidRPr="007C7C35">
        <w:rPr>
          <w:rFonts w:ascii="Aptos" w:hAnsi="Aptos"/>
        </w:rPr>
        <w:t xml:space="preserve"> </w:t>
      </w:r>
    </w:p>
    <w:p w14:paraId="2854C0EB" w14:textId="5725E9FE" w:rsidR="003C484C" w:rsidRPr="007C7C35" w:rsidRDefault="003C484C" w:rsidP="003C484C">
      <w:pPr>
        <w:ind w:left="0"/>
        <w:rPr>
          <w:rFonts w:ascii="Aptos" w:hAnsi="Aptos"/>
          <w:szCs w:val="24"/>
        </w:rPr>
      </w:pPr>
      <w:r w:rsidRPr="007C7C35">
        <w:rPr>
          <w:rFonts w:ascii="Aptos" w:hAnsi="Aptos"/>
          <w:szCs w:val="24"/>
        </w:rPr>
        <w:t xml:space="preserve">This penalty is significant because an enrolment cap </w:t>
      </w:r>
      <w:r w:rsidR="00215862">
        <w:rPr>
          <w:rFonts w:ascii="Aptos" w:hAnsi="Aptos"/>
          <w:szCs w:val="24"/>
        </w:rPr>
        <w:t xml:space="preserve">breach </w:t>
      </w:r>
      <w:r w:rsidRPr="007C7C35">
        <w:rPr>
          <w:rFonts w:ascii="Aptos" w:hAnsi="Aptos"/>
          <w:szCs w:val="24"/>
        </w:rPr>
        <w:t xml:space="preserve">may only be temporary. </w:t>
      </w:r>
      <w:r w:rsidR="00215862">
        <w:rPr>
          <w:rFonts w:ascii="Aptos" w:hAnsi="Aptos"/>
          <w:szCs w:val="24"/>
        </w:rPr>
        <w:t>Enrolments exceeding the cap</w:t>
      </w:r>
      <w:r w:rsidRPr="007C7C35">
        <w:rPr>
          <w:rFonts w:ascii="Aptos" w:hAnsi="Aptos"/>
          <w:szCs w:val="24"/>
        </w:rPr>
        <w:t xml:space="preserve"> in semester one</w:t>
      </w:r>
      <w:r w:rsidR="00215862">
        <w:rPr>
          <w:rFonts w:ascii="Aptos" w:hAnsi="Aptos"/>
          <w:szCs w:val="24"/>
        </w:rPr>
        <w:t xml:space="preserve"> does not necessarily mean breaching the cap through the year. A</w:t>
      </w:r>
      <w:r w:rsidRPr="007C7C35">
        <w:rPr>
          <w:rFonts w:ascii="Aptos" w:hAnsi="Aptos"/>
          <w:szCs w:val="24"/>
        </w:rPr>
        <w:t>ttrition and course completion</w:t>
      </w:r>
      <w:r w:rsidR="00215862">
        <w:rPr>
          <w:rFonts w:ascii="Aptos" w:hAnsi="Aptos"/>
          <w:szCs w:val="24"/>
        </w:rPr>
        <w:t>s will bring numbers down during the year</w:t>
      </w:r>
      <w:r w:rsidRPr="007C7C35">
        <w:rPr>
          <w:rFonts w:ascii="Aptos" w:hAnsi="Aptos"/>
          <w:szCs w:val="24"/>
        </w:rPr>
        <w:t>. But unless special permission is secured, an education provider</w:t>
      </w:r>
      <w:r w:rsidR="00215862">
        <w:rPr>
          <w:rFonts w:ascii="Aptos" w:hAnsi="Aptos"/>
          <w:szCs w:val="24"/>
        </w:rPr>
        <w:t xml:space="preserve"> that exceeded its cap in semester one</w:t>
      </w:r>
      <w:r w:rsidRPr="007C7C35">
        <w:rPr>
          <w:rFonts w:ascii="Aptos" w:hAnsi="Aptos"/>
          <w:szCs w:val="24"/>
        </w:rPr>
        <w:t xml:space="preserve"> may </w:t>
      </w:r>
      <w:r w:rsidR="00215862">
        <w:rPr>
          <w:rFonts w:ascii="Aptos" w:hAnsi="Aptos"/>
          <w:szCs w:val="24"/>
        </w:rPr>
        <w:t>be prohibited from</w:t>
      </w:r>
      <w:r w:rsidRPr="007C7C35">
        <w:rPr>
          <w:rFonts w:ascii="Aptos" w:hAnsi="Aptos"/>
          <w:szCs w:val="24"/>
        </w:rPr>
        <w:t xml:space="preserve"> enrol</w:t>
      </w:r>
      <w:r w:rsidR="00215862">
        <w:rPr>
          <w:rFonts w:ascii="Aptos" w:hAnsi="Aptos"/>
          <w:szCs w:val="24"/>
        </w:rPr>
        <w:t>ling</w:t>
      </w:r>
      <w:r w:rsidRPr="007C7C35">
        <w:rPr>
          <w:rFonts w:ascii="Aptos" w:hAnsi="Aptos"/>
          <w:szCs w:val="24"/>
        </w:rPr>
        <w:t xml:space="preserve"> any students in second semester. </w:t>
      </w:r>
    </w:p>
    <w:p w14:paraId="25B96C6C" w14:textId="0A932ED8" w:rsidR="003C484C" w:rsidRPr="007C7C35" w:rsidRDefault="003C484C" w:rsidP="003C484C">
      <w:pPr>
        <w:ind w:left="0"/>
        <w:rPr>
          <w:rFonts w:ascii="Aptos" w:hAnsi="Aptos"/>
          <w:szCs w:val="24"/>
        </w:rPr>
      </w:pPr>
      <w:r w:rsidRPr="007C7C35">
        <w:rPr>
          <w:rFonts w:ascii="Aptos" w:hAnsi="Aptos"/>
          <w:szCs w:val="24"/>
        </w:rPr>
        <w:t xml:space="preserve">As </w:t>
      </w:r>
      <w:r w:rsidRPr="007C7C35">
        <w:rPr>
          <w:rFonts w:ascii="Aptos" w:hAnsi="Aptos"/>
          <w:szCs w:val="24"/>
        </w:rPr>
        <w:fldChar w:fldCharType="begin"/>
      </w:r>
      <w:r w:rsidRPr="007C7C35">
        <w:rPr>
          <w:rFonts w:ascii="Aptos" w:hAnsi="Aptos"/>
          <w:szCs w:val="24"/>
        </w:rPr>
        <w:instrText xml:space="preserve"> REF _Ref170663015 \h </w:instrText>
      </w:r>
      <w:r w:rsidR="007C7C35" w:rsidRPr="007C7C35">
        <w:rPr>
          <w:rFonts w:ascii="Aptos" w:hAnsi="Aptos"/>
          <w:szCs w:val="24"/>
        </w:rPr>
        <w:instrText xml:space="preserve"> \* MERGEFORMAT </w:instrText>
      </w:r>
      <w:r w:rsidRPr="007C7C35">
        <w:rPr>
          <w:rFonts w:ascii="Aptos" w:hAnsi="Aptos"/>
          <w:szCs w:val="24"/>
        </w:rPr>
      </w:r>
      <w:r w:rsidRPr="007C7C35">
        <w:rPr>
          <w:rFonts w:ascii="Aptos" w:hAnsi="Aptos"/>
          <w:szCs w:val="24"/>
        </w:rPr>
        <w:fldChar w:fldCharType="separate"/>
      </w:r>
      <w:r w:rsidR="00FF64C8" w:rsidRPr="007C7C35">
        <w:rPr>
          <w:rFonts w:ascii="Aptos" w:hAnsi="Aptos"/>
          <w:szCs w:val="24"/>
        </w:rPr>
        <w:t xml:space="preserve">Figure </w:t>
      </w:r>
      <w:r w:rsidR="00FF64C8">
        <w:rPr>
          <w:rFonts w:ascii="Aptos" w:hAnsi="Aptos"/>
          <w:noProof/>
          <w:szCs w:val="24"/>
        </w:rPr>
        <w:t>5</w:t>
      </w:r>
      <w:r w:rsidRPr="007C7C35">
        <w:rPr>
          <w:rFonts w:ascii="Aptos" w:hAnsi="Aptos"/>
          <w:szCs w:val="24"/>
        </w:rPr>
        <w:fldChar w:fldCharType="end"/>
      </w:r>
      <w:r w:rsidRPr="007C7C35">
        <w:rPr>
          <w:rFonts w:ascii="Aptos" w:hAnsi="Aptos"/>
          <w:szCs w:val="24"/>
        </w:rPr>
        <w:t xml:space="preserve"> shows, </w:t>
      </w:r>
      <w:r w:rsidR="00FD575B" w:rsidRPr="007C7C35">
        <w:rPr>
          <w:rFonts w:ascii="Aptos" w:hAnsi="Aptos"/>
          <w:szCs w:val="24"/>
        </w:rPr>
        <w:t xml:space="preserve">mid-year commencements </w:t>
      </w:r>
      <w:r w:rsidR="009D4599" w:rsidRPr="007C7C35">
        <w:rPr>
          <w:rFonts w:ascii="Aptos" w:hAnsi="Aptos"/>
          <w:szCs w:val="24"/>
        </w:rPr>
        <w:t xml:space="preserve">for new-to-Australia students </w:t>
      </w:r>
      <w:r w:rsidR="00FD575B" w:rsidRPr="007C7C35">
        <w:rPr>
          <w:rFonts w:ascii="Aptos" w:hAnsi="Aptos"/>
          <w:szCs w:val="24"/>
        </w:rPr>
        <w:t xml:space="preserve">are very significant. </w:t>
      </w:r>
      <w:r w:rsidR="009D4599">
        <w:rPr>
          <w:rFonts w:ascii="Aptos" w:hAnsi="Aptos"/>
          <w:szCs w:val="24"/>
        </w:rPr>
        <w:t xml:space="preserve">Pre-COVID </w:t>
      </w:r>
      <w:r w:rsidR="00AB4C21">
        <w:rPr>
          <w:rFonts w:ascii="Aptos" w:hAnsi="Aptos"/>
          <w:szCs w:val="24"/>
        </w:rPr>
        <w:t>they exceeded first semester</w:t>
      </w:r>
      <w:r w:rsidR="00FD575B" w:rsidRPr="007C7C35">
        <w:rPr>
          <w:rFonts w:ascii="Aptos" w:hAnsi="Aptos"/>
          <w:szCs w:val="24"/>
        </w:rPr>
        <w:t xml:space="preserve"> commencements</w:t>
      </w:r>
      <w:r w:rsidR="00AB4C21">
        <w:rPr>
          <w:rFonts w:ascii="Aptos" w:hAnsi="Aptos"/>
          <w:szCs w:val="24"/>
        </w:rPr>
        <w:t xml:space="preserve">, </w:t>
      </w:r>
      <w:r w:rsidR="00FD575B" w:rsidRPr="007C7C35">
        <w:rPr>
          <w:rFonts w:ascii="Aptos" w:hAnsi="Aptos"/>
          <w:szCs w:val="24"/>
        </w:rPr>
        <w:t xml:space="preserve">in February or March at most universities. </w:t>
      </w:r>
      <w:r w:rsidR="009D4599">
        <w:rPr>
          <w:rFonts w:ascii="Aptos" w:hAnsi="Aptos"/>
          <w:szCs w:val="24"/>
        </w:rPr>
        <w:t xml:space="preserve">The timing of closing and then re-opening the borders made February/March commencements more numerous, but in 2022 and 2023 the two time periods had very similar numbers. </w:t>
      </w:r>
    </w:p>
    <w:p w14:paraId="581DC93C" w14:textId="0977F9BC" w:rsidR="003C484C" w:rsidRPr="007C7C35" w:rsidRDefault="003C484C" w:rsidP="003C484C">
      <w:pPr>
        <w:pStyle w:val="Caption"/>
        <w:keepNext/>
        <w:rPr>
          <w:rFonts w:ascii="Aptos" w:hAnsi="Aptos"/>
          <w:szCs w:val="24"/>
        </w:rPr>
      </w:pPr>
      <w:bookmarkStart w:id="30" w:name="_Ref170663015"/>
      <w:bookmarkStart w:id="31" w:name="_Toc170740518"/>
      <w:r w:rsidRPr="007C7C35">
        <w:rPr>
          <w:rFonts w:ascii="Aptos" w:hAnsi="Aptos"/>
          <w:szCs w:val="24"/>
        </w:rPr>
        <w:t xml:space="preserve">Figure </w:t>
      </w:r>
      <w:r w:rsidRPr="007C7C35">
        <w:rPr>
          <w:rFonts w:ascii="Aptos" w:hAnsi="Aptos"/>
          <w:szCs w:val="24"/>
        </w:rPr>
        <w:fldChar w:fldCharType="begin"/>
      </w:r>
      <w:r w:rsidRPr="007C7C35">
        <w:rPr>
          <w:rFonts w:ascii="Aptos" w:hAnsi="Aptos"/>
          <w:szCs w:val="24"/>
        </w:rPr>
        <w:instrText xml:space="preserve"> SEQ Figure \* ARABIC </w:instrText>
      </w:r>
      <w:r w:rsidRPr="007C7C35">
        <w:rPr>
          <w:rFonts w:ascii="Aptos" w:hAnsi="Aptos"/>
          <w:szCs w:val="24"/>
        </w:rPr>
        <w:fldChar w:fldCharType="separate"/>
      </w:r>
      <w:r w:rsidR="00FF64C8">
        <w:rPr>
          <w:rFonts w:ascii="Aptos" w:hAnsi="Aptos"/>
          <w:noProof/>
          <w:szCs w:val="24"/>
        </w:rPr>
        <w:t>5</w:t>
      </w:r>
      <w:r w:rsidRPr="007C7C35">
        <w:rPr>
          <w:rFonts w:ascii="Aptos" w:hAnsi="Aptos"/>
          <w:szCs w:val="24"/>
        </w:rPr>
        <w:fldChar w:fldCharType="end"/>
      </w:r>
      <w:bookmarkEnd w:id="30"/>
      <w:r w:rsidRPr="007C7C35">
        <w:rPr>
          <w:rFonts w:ascii="Aptos" w:hAnsi="Aptos"/>
          <w:szCs w:val="24"/>
        </w:rPr>
        <w:t>: New international higher education commencements by time of year</w:t>
      </w:r>
      <w:bookmarkEnd w:id="31"/>
    </w:p>
    <w:p w14:paraId="2D10A77D" w14:textId="507C3F44" w:rsidR="003C484C" w:rsidRPr="007C7C35" w:rsidRDefault="00C64B42" w:rsidP="00630127">
      <w:pPr>
        <w:ind w:left="0"/>
        <w:rPr>
          <w:rFonts w:ascii="Aptos" w:hAnsi="Aptos"/>
          <w:szCs w:val="24"/>
        </w:rPr>
      </w:pPr>
      <w:r>
        <w:rPr>
          <w:noProof/>
        </w:rPr>
        <w:drawing>
          <wp:inline distT="0" distB="0" distL="0" distR="0" wp14:anchorId="4993FEA0" wp14:editId="1316B8ED">
            <wp:extent cx="5731510" cy="3223895"/>
            <wp:effectExtent l="0" t="0" r="2540" b="0"/>
            <wp:docPr id="10612433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243350"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5731510" cy="3223895"/>
                    </a:xfrm>
                    <a:prstGeom prst="rect">
                      <a:avLst/>
                    </a:prstGeom>
                  </pic:spPr>
                </pic:pic>
              </a:graphicData>
            </a:graphic>
          </wp:inline>
        </w:drawing>
      </w:r>
    </w:p>
    <w:p w14:paraId="7C63388F" w14:textId="77777777" w:rsidR="003C484C" w:rsidRPr="007C7C35" w:rsidRDefault="003C484C" w:rsidP="00630127">
      <w:pPr>
        <w:ind w:left="0"/>
        <w:rPr>
          <w:rFonts w:ascii="Aptos" w:hAnsi="Aptos"/>
          <w:szCs w:val="24"/>
        </w:rPr>
      </w:pPr>
    </w:p>
    <w:p w14:paraId="6EEC2EF2" w14:textId="77777777" w:rsidR="00307E0C" w:rsidRPr="007C7C35" w:rsidRDefault="00307E0C" w:rsidP="00307E0C">
      <w:pPr>
        <w:pStyle w:val="Heading3"/>
        <w:ind w:left="0"/>
        <w:rPr>
          <w:rFonts w:ascii="Aptos" w:hAnsi="Aptos"/>
        </w:rPr>
      </w:pPr>
      <w:bookmarkStart w:id="32" w:name="_Toc170742452"/>
      <w:r w:rsidRPr="007C7C35">
        <w:rPr>
          <w:rFonts w:ascii="Aptos" w:hAnsi="Aptos"/>
        </w:rPr>
        <w:t>Hitting a precise enrolment target is not easy</w:t>
      </w:r>
      <w:bookmarkEnd w:id="32"/>
    </w:p>
    <w:p w14:paraId="55587FF0" w14:textId="1B3E5D63" w:rsidR="00307E0C" w:rsidRPr="007C7C35" w:rsidRDefault="00307E0C" w:rsidP="00307E0C">
      <w:pPr>
        <w:ind w:left="0"/>
        <w:rPr>
          <w:rFonts w:ascii="Aptos" w:hAnsi="Aptos"/>
          <w:szCs w:val="24"/>
        </w:rPr>
      </w:pPr>
      <w:r w:rsidRPr="007C7C35">
        <w:rPr>
          <w:rFonts w:ascii="Aptos" w:hAnsi="Aptos"/>
          <w:szCs w:val="24"/>
        </w:rPr>
        <w:t xml:space="preserve">As is the case for the government’s policy for distributing Commonwealth supported places, the student caps consultation paper and legislation appear oblivious to the </w:t>
      </w:r>
      <w:r w:rsidRPr="007C7C35">
        <w:rPr>
          <w:rFonts w:ascii="Aptos" w:hAnsi="Aptos"/>
          <w:szCs w:val="24"/>
        </w:rPr>
        <w:lastRenderedPageBreak/>
        <w:t>practical difficulties in hitting precise enrolment targets.</w:t>
      </w:r>
      <w:r w:rsidR="00215862">
        <w:rPr>
          <w:rStyle w:val="FootnoteReference"/>
          <w:rFonts w:ascii="Aptos" w:hAnsi="Aptos"/>
          <w:szCs w:val="24"/>
        </w:rPr>
        <w:footnoteReference w:id="22"/>
      </w:r>
      <w:r w:rsidRPr="007C7C35">
        <w:rPr>
          <w:rFonts w:ascii="Aptos" w:hAnsi="Aptos"/>
          <w:szCs w:val="24"/>
        </w:rPr>
        <w:t xml:space="preserve"> In the international student case, offer acceptance rates and attrition rates</w:t>
      </w:r>
      <w:r w:rsidR="00215862">
        <w:rPr>
          <w:rFonts w:ascii="Aptos" w:hAnsi="Aptos"/>
          <w:szCs w:val="24"/>
        </w:rPr>
        <w:t xml:space="preserve"> are key variable</w:t>
      </w:r>
      <w:r w:rsidR="00EE0F2E">
        <w:rPr>
          <w:rFonts w:ascii="Aptos" w:hAnsi="Aptos"/>
          <w:szCs w:val="24"/>
        </w:rPr>
        <w:t>s</w:t>
      </w:r>
      <w:r w:rsidRPr="007C7C35">
        <w:rPr>
          <w:rFonts w:ascii="Aptos" w:hAnsi="Aptos"/>
          <w:szCs w:val="24"/>
        </w:rPr>
        <w:t xml:space="preserve">. Each rate can be estimated based on previous patterns, but universities </w:t>
      </w:r>
      <w:r w:rsidR="002E697C" w:rsidRPr="007C7C35">
        <w:rPr>
          <w:rFonts w:ascii="Aptos" w:hAnsi="Aptos"/>
          <w:szCs w:val="24"/>
        </w:rPr>
        <w:t>can</w:t>
      </w:r>
      <w:r w:rsidRPr="007C7C35">
        <w:rPr>
          <w:rFonts w:ascii="Aptos" w:hAnsi="Aptos"/>
          <w:szCs w:val="24"/>
        </w:rPr>
        <w:t xml:space="preserve"> easily end up with </w:t>
      </w:r>
      <w:r w:rsidR="003C484C" w:rsidRPr="007C7C35">
        <w:rPr>
          <w:rFonts w:ascii="Aptos" w:hAnsi="Aptos"/>
          <w:szCs w:val="24"/>
        </w:rPr>
        <w:t xml:space="preserve">a </w:t>
      </w:r>
      <w:r w:rsidRPr="007C7C35">
        <w:rPr>
          <w:rFonts w:ascii="Aptos" w:hAnsi="Aptos"/>
          <w:szCs w:val="24"/>
        </w:rPr>
        <w:t xml:space="preserve">smaller or larger number of students than anticipated. </w:t>
      </w:r>
    </w:p>
    <w:p w14:paraId="5CE58395" w14:textId="24298028" w:rsidR="00C074AE" w:rsidRDefault="002E697C" w:rsidP="001644ED">
      <w:pPr>
        <w:pStyle w:val="BodyText"/>
        <w:ind w:left="0" w:right="0"/>
        <w:rPr>
          <w:rFonts w:ascii="Aptos" w:hAnsi="Aptos"/>
          <w:szCs w:val="24"/>
        </w:rPr>
      </w:pPr>
      <w:r w:rsidRPr="007C7C35">
        <w:rPr>
          <w:rFonts w:ascii="Aptos" w:hAnsi="Aptos"/>
          <w:szCs w:val="24"/>
        </w:rPr>
        <w:t xml:space="preserve">To avoid exceeding </w:t>
      </w:r>
      <w:r w:rsidR="00DD2611" w:rsidRPr="007C7C35">
        <w:rPr>
          <w:rFonts w:ascii="Aptos" w:hAnsi="Aptos"/>
          <w:szCs w:val="24"/>
        </w:rPr>
        <w:t xml:space="preserve">their </w:t>
      </w:r>
      <w:r w:rsidRPr="007C7C35">
        <w:rPr>
          <w:rFonts w:ascii="Aptos" w:hAnsi="Aptos"/>
          <w:szCs w:val="24"/>
        </w:rPr>
        <w:t>cap</w:t>
      </w:r>
      <w:r w:rsidR="00DD2611" w:rsidRPr="007C7C35">
        <w:rPr>
          <w:rFonts w:ascii="Aptos" w:hAnsi="Aptos"/>
          <w:szCs w:val="24"/>
        </w:rPr>
        <w:t>(s)</w:t>
      </w:r>
      <w:r w:rsidRPr="007C7C35">
        <w:rPr>
          <w:rFonts w:ascii="Aptos" w:hAnsi="Aptos"/>
          <w:szCs w:val="24"/>
        </w:rPr>
        <w:t xml:space="preserve"> universities would </w:t>
      </w:r>
      <w:r w:rsidR="001644ED">
        <w:rPr>
          <w:rFonts w:ascii="Aptos" w:hAnsi="Aptos"/>
          <w:szCs w:val="24"/>
        </w:rPr>
        <w:t>need</w:t>
      </w:r>
      <w:r w:rsidRPr="007C7C35">
        <w:rPr>
          <w:rFonts w:ascii="Aptos" w:hAnsi="Aptos"/>
          <w:szCs w:val="24"/>
        </w:rPr>
        <w:t xml:space="preserve"> to </w:t>
      </w:r>
      <w:r w:rsidR="00DD2611" w:rsidRPr="007C7C35">
        <w:rPr>
          <w:rFonts w:ascii="Aptos" w:hAnsi="Aptos"/>
          <w:szCs w:val="24"/>
        </w:rPr>
        <w:t xml:space="preserve">change their enrolment practices. Confirmed offers may have to be replaced with conditional offers, </w:t>
      </w:r>
      <w:r w:rsidR="001644ED">
        <w:rPr>
          <w:rFonts w:ascii="Aptos" w:hAnsi="Aptos"/>
          <w:szCs w:val="24"/>
        </w:rPr>
        <w:t xml:space="preserve">that </w:t>
      </w:r>
      <w:r w:rsidR="00DD2611" w:rsidRPr="007C7C35">
        <w:rPr>
          <w:rFonts w:ascii="Aptos" w:hAnsi="Aptos"/>
          <w:szCs w:val="24"/>
        </w:rPr>
        <w:t xml:space="preserve">universities </w:t>
      </w:r>
      <w:r w:rsidR="001644ED">
        <w:rPr>
          <w:rFonts w:ascii="Aptos" w:hAnsi="Aptos"/>
          <w:szCs w:val="24"/>
        </w:rPr>
        <w:t xml:space="preserve">can </w:t>
      </w:r>
      <w:r w:rsidR="00DD2611" w:rsidRPr="007C7C35">
        <w:rPr>
          <w:rFonts w:ascii="Aptos" w:hAnsi="Aptos"/>
          <w:szCs w:val="24"/>
        </w:rPr>
        <w:t xml:space="preserve">withdraw if </w:t>
      </w:r>
      <w:r w:rsidR="00C074AE">
        <w:rPr>
          <w:rFonts w:ascii="Aptos" w:hAnsi="Aptos"/>
          <w:szCs w:val="24"/>
        </w:rPr>
        <w:t>enrolments</w:t>
      </w:r>
      <w:r w:rsidR="00DD2611" w:rsidRPr="007C7C35">
        <w:rPr>
          <w:rFonts w:ascii="Aptos" w:hAnsi="Aptos"/>
          <w:szCs w:val="24"/>
        </w:rPr>
        <w:t xml:space="preserve"> are getting too close to the relevant cap.</w:t>
      </w:r>
      <w:r w:rsidR="00C074AE">
        <w:rPr>
          <w:rFonts w:ascii="Aptos" w:hAnsi="Aptos"/>
          <w:szCs w:val="24"/>
        </w:rPr>
        <w:t xml:space="preserve"> The fact that the legislation gives the minister until 1 September (31 December for 2024) </w:t>
      </w:r>
      <w:r w:rsidR="009D4599">
        <w:rPr>
          <w:rFonts w:ascii="Aptos" w:hAnsi="Aptos"/>
          <w:szCs w:val="24"/>
        </w:rPr>
        <w:t xml:space="preserve">to make cap decisions </w:t>
      </w:r>
      <w:r w:rsidR="00C074AE">
        <w:rPr>
          <w:rFonts w:ascii="Aptos" w:hAnsi="Aptos"/>
          <w:szCs w:val="24"/>
        </w:rPr>
        <w:t xml:space="preserve">means that key information will not be available prior to then. A conditional offer system </w:t>
      </w:r>
      <w:r w:rsidR="00DD2611" w:rsidRPr="007C7C35">
        <w:rPr>
          <w:rFonts w:ascii="Aptos" w:hAnsi="Aptos"/>
          <w:szCs w:val="24"/>
        </w:rPr>
        <w:t xml:space="preserve">would </w:t>
      </w:r>
      <w:r w:rsidR="00C074AE">
        <w:rPr>
          <w:rFonts w:ascii="Aptos" w:hAnsi="Aptos"/>
          <w:szCs w:val="24"/>
        </w:rPr>
        <w:t>treat</w:t>
      </w:r>
      <w:r w:rsidR="00DD2611" w:rsidRPr="007C7C35">
        <w:rPr>
          <w:rFonts w:ascii="Aptos" w:hAnsi="Aptos"/>
          <w:szCs w:val="24"/>
        </w:rPr>
        <w:t xml:space="preserve"> course applicants</w:t>
      </w:r>
      <w:r w:rsidR="00C074AE">
        <w:rPr>
          <w:rFonts w:ascii="Aptos" w:hAnsi="Aptos"/>
          <w:szCs w:val="24"/>
        </w:rPr>
        <w:t xml:space="preserve"> poorly</w:t>
      </w:r>
      <w:r w:rsidR="00DD2611" w:rsidRPr="007C7C35">
        <w:rPr>
          <w:rFonts w:ascii="Aptos" w:hAnsi="Aptos"/>
          <w:szCs w:val="24"/>
        </w:rPr>
        <w:t>.</w:t>
      </w:r>
    </w:p>
    <w:p w14:paraId="2B605079" w14:textId="6982E058" w:rsidR="00DD2611" w:rsidRDefault="00DD2611" w:rsidP="001644ED">
      <w:pPr>
        <w:pStyle w:val="BodyText"/>
        <w:ind w:left="0" w:right="0"/>
        <w:rPr>
          <w:rFonts w:ascii="Aptos" w:hAnsi="Aptos"/>
          <w:szCs w:val="24"/>
        </w:rPr>
      </w:pPr>
      <w:r w:rsidRPr="007C7C35">
        <w:rPr>
          <w:rFonts w:ascii="Aptos" w:hAnsi="Aptos"/>
          <w:szCs w:val="24"/>
        </w:rPr>
        <w:t xml:space="preserve"> In some cases, as the bill envisages</w:t>
      </w:r>
      <w:r w:rsidR="001644ED">
        <w:rPr>
          <w:rFonts w:ascii="Aptos" w:hAnsi="Aptos"/>
          <w:szCs w:val="24"/>
        </w:rPr>
        <w:t xml:space="preserve"> in plans for compensating universities</w:t>
      </w:r>
      <w:r w:rsidRPr="007C7C35">
        <w:rPr>
          <w:rFonts w:ascii="Aptos" w:hAnsi="Aptos"/>
          <w:szCs w:val="24"/>
        </w:rPr>
        <w:t>, actual enrolments may have to be cancelled. This would be exceptionally</w:t>
      </w:r>
      <w:r w:rsidR="00C074AE">
        <w:rPr>
          <w:rFonts w:ascii="Aptos" w:hAnsi="Aptos"/>
          <w:szCs w:val="24"/>
        </w:rPr>
        <w:t xml:space="preserve"> bad</w:t>
      </w:r>
      <w:r w:rsidRPr="007C7C35">
        <w:rPr>
          <w:rFonts w:ascii="Aptos" w:hAnsi="Aptos"/>
          <w:szCs w:val="24"/>
        </w:rPr>
        <w:t xml:space="preserve"> market practice. </w:t>
      </w:r>
    </w:p>
    <w:p w14:paraId="209FD659" w14:textId="496F80BA" w:rsidR="00615B73" w:rsidRPr="007C7C35" w:rsidRDefault="00615B73" w:rsidP="001644ED">
      <w:pPr>
        <w:pStyle w:val="BodyText"/>
        <w:ind w:left="0" w:right="0"/>
        <w:rPr>
          <w:rFonts w:ascii="Aptos" w:hAnsi="Aptos"/>
          <w:szCs w:val="24"/>
        </w:rPr>
      </w:pPr>
      <w:r>
        <w:rPr>
          <w:rFonts w:ascii="Aptos" w:hAnsi="Aptos"/>
          <w:szCs w:val="24"/>
        </w:rPr>
        <w:t xml:space="preserve">These practices would </w:t>
      </w:r>
      <w:r w:rsidR="009D4599">
        <w:rPr>
          <w:rFonts w:ascii="Aptos" w:hAnsi="Aptos"/>
          <w:szCs w:val="24"/>
        </w:rPr>
        <w:t>damage</w:t>
      </w:r>
      <w:r>
        <w:rPr>
          <w:rFonts w:ascii="Aptos" w:hAnsi="Aptos"/>
          <w:szCs w:val="24"/>
        </w:rPr>
        <w:t xml:space="preserve"> the reputation of universities and Australia more generally. </w:t>
      </w:r>
    </w:p>
    <w:p w14:paraId="5A3BAA12" w14:textId="78E23546" w:rsidR="007C7C35" w:rsidRDefault="00DD2611" w:rsidP="00C074AE">
      <w:pPr>
        <w:pStyle w:val="BodyText"/>
        <w:ind w:left="0" w:right="0"/>
        <w:rPr>
          <w:rFonts w:ascii="Aptos" w:hAnsi="Aptos"/>
          <w:szCs w:val="24"/>
        </w:rPr>
      </w:pPr>
      <w:r w:rsidRPr="007C7C35">
        <w:rPr>
          <w:rFonts w:ascii="Aptos" w:hAnsi="Aptos"/>
          <w:szCs w:val="24"/>
        </w:rPr>
        <w:t>For international student applicants the</w:t>
      </w:r>
      <w:r w:rsidR="00C074AE">
        <w:rPr>
          <w:rFonts w:ascii="Aptos" w:hAnsi="Aptos"/>
          <w:szCs w:val="24"/>
        </w:rPr>
        <w:t xml:space="preserve"> new</w:t>
      </w:r>
      <w:r w:rsidRPr="007C7C35">
        <w:rPr>
          <w:rFonts w:ascii="Aptos" w:hAnsi="Aptos"/>
          <w:szCs w:val="24"/>
        </w:rPr>
        <w:t xml:space="preserve"> system would encourage them to </w:t>
      </w:r>
      <w:r w:rsidR="00F10F22" w:rsidRPr="007C7C35">
        <w:rPr>
          <w:rFonts w:ascii="Aptos" w:hAnsi="Aptos"/>
          <w:szCs w:val="24"/>
        </w:rPr>
        <w:t xml:space="preserve">apply and </w:t>
      </w:r>
      <w:r w:rsidRPr="007C7C35">
        <w:rPr>
          <w:rFonts w:ascii="Aptos" w:hAnsi="Aptos"/>
          <w:szCs w:val="24"/>
        </w:rPr>
        <w:t xml:space="preserve">accept early to reserve </w:t>
      </w:r>
      <w:r w:rsidR="00C074AE">
        <w:rPr>
          <w:rFonts w:ascii="Aptos" w:hAnsi="Aptos"/>
          <w:szCs w:val="24"/>
        </w:rPr>
        <w:t>a</w:t>
      </w:r>
      <w:r w:rsidRPr="007C7C35">
        <w:rPr>
          <w:rFonts w:ascii="Aptos" w:hAnsi="Aptos"/>
          <w:szCs w:val="24"/>
        </w:rPr>
        <w:t xml:space="preserve"> place</w:t>
      </w:r>
      <w:r w:rsidR="00F10F22" w:rsidRPr="007C7C35">
        <w:rPr>
          <w:rFonts w:ascii="Aptos" w:hAnsi="Aptos"/>
          <w:szCs w:val="24"/>
        </w:rPr>
        <w:t xml:space="preserve">. This may have biases that are not </w:t>
      </w:r>
      <w:r w:rsidR="00EE0F2E">
        <w:rPr>
          <w:rFonts w:ascii="Aptos" w:hAnsi="Aptos"/>
          <w:szCs w:val="24"/>
        </w:rPr>
        <w:t>immediately</w:t>
      </w:r>
      <w:r w:rsidR="00F10F22" w:rsidRPr="007C7C35">
        <w:rPr>
          <w:rFonts w:ascii="Aptos" w:hAnsi="Aptos"/>
          <w:szCs w:val="24"/>
        </w:rPr>
        <w:t xml:space="preserve"> evident, such as benefiting applicants that get necessary school or other academic results at earlier dates. </w:t>
      </w:r>
      <w:r w:rsidR="00351740" w:rsidRPr="007C7C35">
        <w:rPr>
          <w:rFonts w:ascii="Aptos" w:hAnsi="Aptos"/>
          <w:szCs w:val="24"/>
        </w:rPr>
        <w:t xml:space="preserve">It may also create additional uncertainties for universities, if </w:t>
      </w:r>
      <w:r w:rsidR="009D4599">
        <w:rPr>
          <w:rFonts w:ascii="Aptos" w:hAnsi="Aptos"/>
          <w:szCs w:val="24"/>
        </w:rPr>
        <w:t xml:space="preserve">more </w:t>
      </w:r>
      <w:r w:rsidR="00351740" w:rsidRPr="007C7C35">
        <w:rPr>
          <w:rFonts w:ascii="Aptos" w:hAnsi="Aptos"/>
          <w:szCs w:val="24"/>
        </w:rPr>
        <w:t xml:space="preserve">applicants accept offers while still holding out for a better offer later. </w:t>
      </w:r>
    </w:p>
    <w:p w14:paraId="5F4CE81E" w14:textId="34C3CB85" w:rsidR="00C074AE" w:rsidRPr="007C7C35" w:rsidRDefault="00C074AE" w:rsidP="00C074AE">
      <w:pPr>
        <w:pStyle w:val="Heading3"/>
        <w:ind w:left="0"/>
        <w:rPr>
          <w:rFonts w:ascii="Aptos" w:hAnsi="Aptos"/>
        </w:rPr>
      </w:pPr>
      <w:bookmarkStart w:id="33" w:name="_Toc170742453"/>
      <w:r>
        <w:rPr>
          <w:rFonts w:ascii="Aptos" w:hAnsi="Aptos"/>
        </w:rPr>
        <w:t>Getting the enrolment ban lifted</w:t>
      </w:r>
      <w:bookmarkEnd w:id="33"/>
      <w:r>
        <w:rPr>
          <w:rFonts w:ascii="Aptos" w:hAnsi="Aptos"/>
        </w:rPr>
        <w:t xml:space="preserve"> </w:t>
      </w:r>
    </w:p>
    <w:p w14:paraId="1DDA6B23" w14:textId="2814F49A" w:rsidR="00C074AE" w:rsidRDefault="00C074AE" w:rsidP="00C074AE">
      <w:pPr>
        <w:pStyle w:val="BodyText"/>
        <w:spacing w:line="240" w:lineRule="auto"/>
        <w:ind w:left="0" w:right="0"/>
        <w:rPr>
          <w:rFonts w:ascii="Aptos" w:hAnsi="Aptos"/>
          <w:szCs w:val="24"/>
        </w:rPr>
      </w:pPr>
      <w:r>
        <w:rPr>
          <w:rFonts w:ascii="Aptos" w:hAnsi="Aptos"/>
          <w:szCs w:val="24"/>
        </w:rPr>
        <w:t xml:space="preserve">The legislation includes a process for getting a suspension lifted, but it </w:t>
      </w:r>
      <w:r w:rsidR="00615B73">
        <w:rPr>
          <w:rFonts w:ascii="Aptos" w:hAnsi="Aptos"/>
          <w:szCs w:val="24"/>
        </w:rPr>
        <w:t xml:space="preserve">is a slow set of appeals and does not give clear grounds for why it should occur, such as </w:t>
      </w:r>
      <w:r w:rsidR="00AB4C21">
        <w:rPr>
          <w:rFonts w:ascii="Aptos" w:hAnsi="Aptos"/>
          <w:szCs w:val="24"/>
        </w:rPr>
        <w:t xml:space="preserve">that </w:t>
      </w:r>
      <w:r w:rsidR="00615B73">
        <w:rPr>
          <w:rFonts w:ascii="Aptos" w:hAnsi="Aptos"/>
          <w:szCs w:val="24"/>
        </w:rPr>
        <w:t xml:space="preserve">the provider is now below the relevant cap. </w:t>
      </w:r>
    </w:p>
    <w:p w14:paraId="36BA2AC0" w14:textId="24ED8C6D" w:rsidR="00615B73" w:rsidRDefault="00615B73" w:rsidP="00615B73">
      <w:pPr>
        <w:pStyle w:val="Heading3"/>
        <w:ind w:left="0"/>
        <w:rPr>
          <w:rFonts w:ascii="Aptos" w:hAnsi="Aptos"/>
        </w:rPr>
      </w:pPr>
      <w:bookmarkStart w:id="34" w:name="_Toc170742454"/>
      <w:r>
        <w:rPr>
          <w:rFonts w:ascii="Aptos" w:hAnsi="Aptos"/>
        </w:rPr>
        <w:t>Alternative enforcement</w:t>
      </w:r>
      <w:bookmarkEnd w:id="34"/>
    </w:p>
    <w:p w14:paraId="12B272E0" w14:textId="62EDC088" w:rsidR="00615B73" w:rsidRDefault="00615B73" w:rsidP="00615B73">
      <w:pPr>
        <w:ind w:left="0"/>
        <w:rPr>
          <w:rFonts w:ascii="Aptos" w:hAnsi="Aptos"/>
        </w:rPr>
      </w:pPr>
      <w:r>
        <w:rPr>
          <w:rFonts w:ascii="Aptos" w:hAnsi="Aptos"/>
        </w:rPr>
        <w:t xml:space="preserve">Other enforcement provisions could be considered. </w:t>
      </w:r>
    </w:p>
    <w:p w14:paraId="1715D879" w14:textId="76B12D9E" w:rsidR="00615B73" w:rsidRDefault="00615B73" w:rsidP="00615B73">
      <w:pPr>
        <w:ind w:left="0"/>
        <w:rPr>
          <w:rFonts w:ascii="Aptos" w:hAnsi="Aptos"/>
        </w:rPr>
      </w:pPr>
      <w:r>
        <w:rPr>
          <w:rFonts w:ascii="Aptos" w:hAnsi="Aptos"/>
        </w:rPr>
        <w:t xml:space="preserve">These could include a margin of error, expressed in an absolute number of enrolments or a percentage of the cap. </w:t>
      </w:r>
      <w:r w:rsidR="00AB4C21">
        <w:rPr>
          <w:rFonts w:ascii="Aptos" w:hAnsi="Aptos"/>
        </w:rPr>
        <w:t xml:space="preserve">Only above this would an enrolment ban apply. </w:t>
      </w:r>
    </w:p>
    <w:p w14:paraId="5573E5B6" w14:textId="66B30E23" w:rsidR="00615B73" w:rsidRDefault="009D4599" w:rsidP="00615B73">
      <w:pPr>
        <w:ind w:left="0"/>
        <w:rPr>
          <w:rFonts w:ascii="Aptos" w:hAnsi="Aptos"/>
        </w:rPr>
      </w:pPr>
      <w:r>
        <w:rPr>
          <w:rFonts w:ascii="Aptos" w:hAnsi="Aptos"/>
        </w:rPr>
        <w:t>T</w:t>
      </w:r>
      <w:r w:rsidR="00615B73">
        <w:rPr>
          <w:rFonts w:ascii="Aptos" w:hAnsi="Aptos"/>
        </w:rPr>
        <w:t xml:space="preserve">he penalty could be fine rather than an enrolment ban. This would reduce the need to cancel offers or enrolments, which have as noted have high reputational risks. </w:t>
      </w:r>
    </w:p>
    <w:p w14:paraId="1BBF7AED" w14:textId="29DBD91E" w:rsidR="00615B73" w:rsidRDefault="00615B73" w:rsidP="00615B73">
      <w:pPr>
        <w:ind w:left="0"/>
        <w:rPr>
          <w:rFonts w:ascii="Aptos" w:hAnsi="Aptos"/>
        </w:rPr>
      </w:pPr>
    </w:p>
    <w:p w14:paraId="54A34B40" w14:textId="77777777" w:rsidR="00615B73" w:rsidRPr="00615B73" w:rsidRDefault="00615B73" w:rsidP="00615B73">
      <w:pPr>
        <w:ind w:left="0"/>
        <w:rPr>
          <w:rFonts w:ascii="Aptos" w:hAnsi="Aptos"/>
        </w:rPr>
      </w:pPr>
    </w:p>
    <w:p w14:paraId="068A2FD0" w14:textId="77777777" w:rsidR="00615B73" w:rsidRDefault="00615B73" w:rsidP="00C074AE">
      <w:pPr>
        <w:pStyle w:val="BodyText"/>
        <w:spacing w:line="240" w:lineRule="auto"/>
        <w:ind w:left="0" w:right="0"/>
        <w:rPr>
          <w:rFonts w:ascii="Aptos" w:hAnsi="Aptos"/>
          <w:szCs w:val="24"/>
        </w:rPr>
      </w:pPr>
    </w:p>
    <w:p w14:paraId="0362A37E" w14:textId="77777777" w:rsidR="00355EB5" w:rsidRPr="00EE0F2E" w:rsidRDefault="00355EB5" w:rsidP="00355EB5">
      <w:pPr>
        <w:pStyle w:val="Heading1"/>
        <w:numPr>
          <w:ilvl w:val="0"/>
          <w:numId w:val="7"/>
        </w:numPr>
        <w:ind w:left="357" w:hanging="357"/>
        <w:rPr>
          <w:rFonts w:ascii="Aptos" w:hAnsi="Aptos" w:cs="Arial"/>
          <w:color w:val="4F81BD" w:themeColor="accent1"/>
          <w:sz w:val="24"/>
          <w:szCs w:val="24"/>
        </w:rPr>
      </w:pPr>
      <w:bookmarkStart w:id="35" w:name="_Toc170742455"/>
      <w:r w:rsidRPr="00EE0F2E">
        <w:rPr>
          <w:rFonts w:ascii="Aptos" w:hAnsi="Aptos" w:cs="Arial"/>
          <w:color w:val="4F81BD" w:themeColor="accent1"/>
          <w:sz w:val="24"/>
          <w:szCs w:val="24"/>
        </w:rPr>
        <w:lastRenderedPageBreak/>
        <w:t>Conclusion</w:t>
      </w:r>
      <w:bookmarkEnd w:id="35"/>
      <w:r w:rsidRPr="00EE0F2E">
        <w:rPr>
          <w:rFonts w:ascii="Aptos" w:hAnsi="Aptos" w:cs="Arial"/>
          <w:color w:val="4F81BD" w:themeColor="accent1"/>
          <w:sz w:val="24"/>
          <w:szCs w:val="24"/>
        </w:rPr>
        <w:t xml:space="preserve"> </w:t>
      </w:r>
    </w:p>
    <w:p w14:paraId="037CD299" w14:textId="5544933A" w:rsidR="00DD2611" w:rsidRDefault="00615B73" w:rsidP="00615B73">
      <w:pPr>
        <w:pStyle w:val="BodyText"/>
        <w:ind w:left="0"/>
        <w:rPr>
          <w:rStyle w:val="Hyperlink"/>
          <w:rFonts w:ascii="Aptos" w:hAnsi="Aptos" w:cs="Open Sans"/>
          <w:color w:val="auto"/>
          <w:szCs w:val="24"/>
          <w:u w:val="none"/>
          <w:shd w:val="clear" w:color="auto" w:fill="FFFFFF"/>
        </w:rPr>
      </w:pPr>
      <w:r>
        <w:rPr>
          <w:rFonts w:ascii="Aptos" w:hAnsi="Aptos"/>
          <w:szCs w:val="24"/>
        </w:rPr>
        <w:t xml:space="preserve">Given the range of other measures already introduced to reduce the number of international students the caps proposed by the </w:t>
      </w:r>
      <w:hyperlink r:id="rId18" w:history="1">
        <w:r w:rsidRPr="007C7C35">
          <w:rPr>
            <w:rStyle w:val="Hyperlink"/>
            <w:rFonts w:ascii="Aptos" w:hAnsi="Aptos" w:cs="Open Sans"/>
            <w:i/>
            <w:iCs/>
            <w:color w:val="auto"/>
            <w:szCs w:val="24"/>
            <w:u w:val="none"/>
            <w:shd w:val="clear" w:color="auto" w:fill="FFFFFF"/>
          </w:rPr>
          <w:t>Education Services for Overseas Students Amendment (Quality and Integrity) Bill 2024</w:t>
        </w:r>
      </w:hyperlink>
      <w:r>
        <w:rPr>
          <w:rStyle w:val="Hyperlink"/>
          <w:rFonts w:ascii="Aptos" w:hAnsi="Aptos" w:cs="Open Sans"/>
          <w:color w:val="auto"/>
          <w:szCs w:val="24"/>
          <w:u w:val="none"/>
          <w:shd w:val="clear" w:color="auto" w:fill="FFFFFF"/>
        </w:rPr>
        <w:t xml:space="preserve"> are unnecessary.</w:t>
      </w:r>
      <w:r w:rsidR="000B3AB7">
        <w:rPr>
          <w:rStyle w:val="Hyperlink"/>
          <w:rFonts w:ascii="Aptos" w:hAnsi="Aptos" w:cs="Open Sans"/>
          <w:color w:val="auto"/>
          <w:szCs w:val="24"/>
          <w:u w:val="none"/>
          <w:shd w:val="clear" w:color="auto" w:fill="FFFFFF"/>
        </w:rPr>
        <w:t xml:space="preserve"> Student numbers will fall significantly without it. </w:t>
      </w:r>
    </w:p>
    <w:p w14:paraId="3E28520D" w14:textId="5A08FAF5" w:rsidR="000F75FD" w:rsidRPr="007C7C35" w:rsidRDefault="000F75FD" w:rsidP="000F75FD">
      <w:pPr>
        <w:ind w:left="0"/>
        <w:rPr>
          <w:rFonts w:ascii="Aptos" w:hAnsi="Aptos"/>
          <w:szCs w:val="24"/>
        </w:rPr>
      </w:pPr>
      <w:r w:rsidRPr="007C7C35">
        <w:rPr>
          <w:rFonts w:ascii="Aptos" w:hAnsi="Aptos"/>
          <w:szCs w:val="24"/>
        </w:rPr>
        <w:t>The capping system’s design would result in actual international enrolments well below the cap. This in turn would lead to larger job losses in the education sector than will otherwise be the case, more flow-on job losses and labour constraints in other industries than is necessary, and greater levels of international student disappointment and Australian reputational loss than need</w:t>
      </w:r>
      <w:r w:rsidR="00AB4C21">
        <w:rPr>
          <w:rFonts w:ascii="Aptos" w:hAnsi="Aptos"/>
          <w:szCs w:val="24"/>
        </w:rPr>
        <w:t>s to</w:t>
      </w:r>
      <w:r w:rsidRPr="007C7C35">
        <w:rPr>
          <w:rFonts w:ascii="Aptos" w:hAnsi="Aptos"/>
          <w:szCs w:val="24"/>
        </w:rPr>
        <w:t xml:space="preserve"> be suffered to reduce net overseas migration. </w:t>
      </w:r>
    </w:p>
    <w:p w14:paraId="3CA41C02" w14:textId="2252737B" w:rsidR="00615B73" w:rsidRDefault="000B3AB7" w:rsidP="00615B73">
      <w:pPr>
        <w:pStyle w:val="BodyText"/>
        <w:ind w:left="0"/>
        <w:rPr>
          <w:rFonts w:ascii="Aptos" w:hAnsi="Aptos"/>
          <w:szCs w:val="24"/>
        </w:rPr>
      </w:pPr>
      <w:r>
        <w:rPr>
          <w:rFonts w:ascii="Aptos" w:hAnsi="Aptos"/>
          <w:szCs w:val="24"/>
        </w:rPr>
        <w:t xml:space="preserve">Aside from the significant negative consequences for universities and other education providers and for international students, this bill is an extreme example of </w:t>
      </w:r>
      <w:r w:rsidR="0077260C">
        <w:rPr>
          <w:rFonts w:ascii="Aptos" w:hAnsi="Aptos"/>
          <w:szCs w:val="24"/>
        </w:rPr>
        <w:t xml:space="preserve">the </w:t>
      </w:r>
      <w:r>
        <w:rPr>
          <w:rFonts w:ascii="Aptos" w:hAnsi="Aptos"/>
          <w:szCs w:val="24"/>
        </w:rPr>
        <w:t xml:space="preserve">concerning </w:t>
      </w:r>
      <w:r w:rsidR="00CF5244">
        <w:rPr>
          <w:rFonts w:ascii="Aptos" w:hAnsi="Aptos"/>
          <w:szCs w:val="24"/>
        </w:rPr>
        <w:t xml:space="preserve">decline </w:t>
      </w:r>
      <w:r>
        <w:rPr>
          <w:rFonts w:ascii="Aptos" w:hAnsi="Aptos"/>
          <w:szCs w:val="24"/>
        </w:rPr>
        <w:t xml:space="preserve">of the rule of law in </w:t>
      </w:r>
      <w:r w:rsidR="00134C00">
        <w:rPr>
          <w:rFonts w:ascii="Aptos" w:hAnsi="Aptos"/>
          <w:szCs w:val="24"/>
        </w:rPr>
        <w:t xml:space="preserve">higher </w:t>
      </w:r>
      <w:r>
        <w:rPr>
          <w:rFonts w:ascii="Aptos" w:hAnsi="Aptos"/>
          <w:szCs w:val="24"/>
        </w:rPr>
        <w:t>education policy. Rule-driven programs are being replaced with personal decision making by ministers.</w:t>
      </w:r>
    </w:p>
    <w:p w14:paraId="71F57C42" w14:textId="11263A18" w:rsidR="000B3AB7" w:rsidRDefault="000B3AB7" w:rsidP="00615B73">
      <w:pPr>
        <w:pStyle w:val="BodyText"/>
        <w:ind w:left="0"/>
        <w:rPr>
          <w:rFonts w:ascii="Aptos" w:hAnsi="Aptos"/>
          <w:szCs w:val="24"/>
        </w:rPr>
      </w:pPr>
      <w:r>
        <w:rPr>
          <w:rFonts w:ascii="Aptos" w:hAnsi="Aptos"/>
          <w:szCs w:val="24"/>
        </w:rPr>
        <w:t xml:space="preserve">For domestic students, I have highlighted how one-sided funding agreements with universities are being used implement policies that should have been put before the Parliament and </w:t>
      </w:r>
      <w:r w:rsidR="0077260C">
        <w:rPr>
          <w:rFonts w:ascii="Aptos" w:hAnsi="Aptos"/>
          <w:szCs w:val="24"/>
        </w:rPr>
        <w:t xml:space="preserve">to </w:t>
      </w:r>
      <w:r>
        <w:rPr>
          <w:rFonts w:ascii="Aptos" w:hAnsi="Aptos"/>
          <w:szCs w:val="24"/>
        </w:rPr>
        <w:t>distribute student places in ways that are contrary to the intent of the funding legislation.</w:t>
      </w:r>
      <w:r w:rsidR="00CF5244">
        <w:rPr>
          <w:rStyle w:val="FootnoteReference"/>
          <w:rFonts w:ascii="Aptos" w:hAnsi="Aptos"/>
          <w:szCs w:val="24"/>
        </w:rPr>
        <w:footnoteReference w:id="23"/>
      </w:r>
      <w:r>
        <w:rPr>
          <w:rFonts w:ascii="Aptos" w:hAnsi="Aptos"/>
          <w:szCs w:val="24"/>
        </w:rPr>
        <w:t xml:space="preserve"> </w:t>
      </w:r>
    </w:p>
    <w:p w14:paraId="2F60E0B5" w14:textId="1A2C75B6" w:rsidR="003E5343" w:rsidRDefault="003E5343" w:rsidP="003E5343">
      <w:pPr>
        <w:ind w:left="0"/>
        <w:rPr>
          <w:rFonts w:ascii="Aptos" w:hAnsi="Aptos"/>
          <w:szCs w:val="24"/>
        </w:rPr>
      </w:pPr>
      <w:r w:rsidRPr="007C7C35">
        <w:rPr>
          <w:rFonts w:ascii="Aptos" w:hAnsi="Aptos"/>
          <w:szCs w:val="24"/>
        </w:rPr>
        <w:t>Irrespective of its substantive policy merits, ministerial direction no. 107 show</w:t>
      </w:r>
      <w:r>
        <w:rPr>
          <w:rFonts w:ascii="Aptos" w:hAnsi="Aptos"/>
          <w:szCs w:val="24"/>
        </w:rPr>
        <w:t>ed</w:t>
      </w:r>
      <w:r w:rsidRPr="007C7C35">
        <w:rPr>
          <w:rFonts w:ascii="Aptos" w:hAnsi="Aptos"/>
          <w:szCs w:val="24"/>
        </w:rPr>
        <w:t xml:space="preserve"> how high levels of personal ministerial discretion create unpredictability for students and providers. </w:t>
      </w:r>
    </w:p>
    <w:p w14:paraId="6C582A17" w14:textId="6888AE56" w:rsidR="005B36DA" w:rsidRDefault="003E5343" w:rsidP="00615B73">
      <w:pPr>
        <w:pStyle w:val="BodyText"/>
        <w:ind w:left="0"/>
        <w:rPr>
          <w:rFonts w:ascii="Aptos" w:hAnsi="Aptos"/>
          <w:szCs w:val="24"/>
        </w:rPr>
      </w:pPr>
      <w:r>
        <w:rPr>
          <w:rFonts w:ascii="Aptos" w:hAnsi="Aptos"/>
          <w:szCs w:val="24"/>
        </w:rPr>
        <w:t>U</w:t>
      </w:r>
      <w:r w:rsidR="005B36DA">
        <w:rPr>
          <w:rFonts w:ascii="Aptos" w:hAnsi="Aptos"/>
          <w:szCs w:val="24"/>
        </w:rPr>
        <w:t>nannounced changes to the way visa applications were assessed</w:t>
      </w:r>
      <w:r>
        <w:rPr>
          <w:rFonts w:ascii="Aptos" w:hAnsi="Aptos"/>
          <w:szCs w:val="24"/>
        </w:rPr>
        <w:t xml:space="preserve"> </w:t>
      </w:r>
      <w:r w:rsidR="005B36DA">
        <w:rPr>
          <w:rFonts w:ascii="Aptos" w:hAnsi="Aptos"/>
          <w:szCs w:val="24"/>
        </w:rPr>
        <w:t xml:space="preserve">cost visa applicants the fee they paid </w:t>
      </w:r>
      <w:r w:rsidR="004815F2">
        <w:rPr>
          <w:rFonts w:ascii="Aptos" w:hAnsi="Aptos"/>
          <w:szCs w:val="24"/>
        </w:rPr>
        <w:t>(then $710, now $1,600) and fo</w:t>
      </w:r>
      <w:r>
        <w:rPr>
          <w:rFonts w:ascii="Aptos" w:hAnsi="Aptos"/>
          <w:szCs w:val="24"/>
        </w:rPr>
        <w:t>rced</w:t>
      </w:r>
      <w:r w:rsidR="004815F2">
        <w:rPr>
          <w:rFonts w:ascii="Aptos" w:hAnsi="Aptos"/>
          <w:szCs w:val="24"/>
        </w:rPr>
        <w:t xml:space="preserve"> universities to cancel confirmations of enrolment.</w:t>
      </w:r>
      <w:r w:rsidR="004815F2">
        <w:rPr>
          <w:rStyle w:val="FootnoteReference"/>
          <w:rFonts w:ascii="Aptos" w:hAnsi="Aptos"/>
          <w:szCs w:val="24"/>
        </w:rPr>
        <w:footnoteReference w:id="24"/>
      </w:r>
    </w:p>
    <w:p w14:paraId="311FDE32" w14:textId="7A36C87C" w:rsidR="004815F2" w:rsidRDefault="005B36DA" w:rsidP="00615B73">
      <w:pPr>
        <w:pStyle w:val="BodyText"/>
        <w:ind w:left="0"/>
        <w:rPr>
          <w:rFonts w:ascii="Aptos" w:hAnsi="Aptos"/>
          <w:szCs w:val="24"/>
        </w:rPr>
      </w:pPr>
      <w:r>
        <w:rPr>
          <w:rFonts w:ascii="Aptos" w:hAnsi="Aptos"/>
          <w:szCs w:val="24"/>
        </w:rPr>
        <w:t xml:space="preserve">Whether or not ministers exercise these powers in capricious ways, the fact that they have them </w:t>
      </w:r>
      <w:r w:rsidR="004815F2">
        <w:rPr>
          <w:rFonts w:ascii="Aptos" w:hAnsi="Aptos"/>
          <w:szCs w:val="24"/>
        </w:rPr>
        <w:t xml:space="preserve">changes the whole system. </w:t>
      </w:r>
    </w:p>
    <w:p w14:paraId="1FF27F5B" w14:textId="2BFAEE4E" w:rsidR="005B36DA" w:rsidRDefault="004815F2" w:rsidP="00615B73">
      <w:pPr>
        <w:pStyle w:val="BodyText"/>
        <w:ind w:left="0"/>
        <w:rPr>
          <w:rFonts w:ascii="Aptos" w:hAnsi="Aptos"/>
          <w:szCs w:val="24"/>
        </w:rPr>
      </w:pPr>
      <w:r>
        <w:rPr>
          <w:rFonts w:ascii="Aptos" w:hAnsi="Aptos"/>
          <w:szCs w:val="24"/>
        </w:rPr>
        <w:t xml:space="preserve">For fear of losing their funding, universities go along with unlegislated requirements. </w:t>
      </w:r>
    </w:p>
    <w:p w14:paraId="709F6DC3" w14:textId="7874CEE7" w:rsidR="004815F2" w:rsidRDefault="004815F2" w:rsidP="00615B73">
      <w:pPr>
        <w:pStyle w:val="BodyText"/>
        <w:ind w:left="0"/>
        <w:rPr>
          <w:rFonts w:ascii="Aptos" w:hAnsi="Aptos"/>
          <w:szCs w:val="24"/>
        </w:rPr>
      </w:pPr>
      <w:r>
        <w:rPr>
          <w:rFonts w:ascii="Aptos" w:hAnsi="Aptos"/>
          <w:szCs w:val="24"/>
        </w:rPr>
        <w:t>Every institution finds i</w:t>
      </w:r>
      <w:r w:rsidR="00364042">
        <w:rPr>
          <w:rFonts w:ascii="Aptos" w:hAnsi="Aptos"/>
          <w:szCs w:val="24"/>
        </w:rPr>
        <w:t>t</w:t>
      </w:r>
      <w:r>
        <w:rPr>
          <w:rFonts w:ascii="Aptos" w:hAnsi="Aptos"/>
          <w:szCs w:val="24"/>
        </w:rPr>
        <w:t xml:space="preserve"> hard to plan, because the rules can be changed easily and with little notice. </w:t>
      </w:r>
    </w:p>
    <w:p w14:paraId="4A9C864B" w14:textId="2E3269A3" w:rsidR="004815F2" w:rsidRDefault="004815F2" w:rsidP="00615B73">
      <w:pPr>
        <w:pStyle w:val="BodyText"/>
        <w:ind w:left="0"/>
        <w:rPr>
          <w:rFonts w:ascii="Aptos" w:hAnsi="Aptos"/>
          <w:szCs w:val="24"/>
        </w:rPr>
      </w:pPr>
      <w:r>
        <w:rPr>
          <w:rFonts w:ascii="Aptos" w:hAnsi="Aptos"/>
          <w:szCs w:val="24"/>
        </w:rPr>
        <w:t xml:space="preserve">Students </w:t>
      </w:r>
      <w:r w:rsidR="0077260C">
        <w:rPr>
          <w:rFonts w:ascii="Aptos" w:hAnsi="Aptos"/>
          <w:szCs w:val="24"/>
        </w:rPr>
        <w:t>also find it hard to plan</w:t>
      </w:r>
      <w:r>
        <w:rPr>
          <w:rFonts w:ascii="Aptos" w:hAnsi="Aptos"/>
          <w:szCs w:val="24"/>
        </w:rPr>
        <w:t>, because the rules are not stable and changes in rules can cost them their applica</w:t>
      </w:r>
      <w:r w:rsidR="00364042">
        <w:rPr>
          <w:rFonts w:ascii="Aptos" w:hAnsi="Aptos"/>
          <w:szCs w:val="24"/>
        </w:rPr>
        <w:t>tion</w:t>
      </w:r>
      <w:r>
        <w:rPr>
          <w:rFonts w:ascii="Aptos" w:hAnsi="Aptos"/>
          <w:szCs w:val="24"/>
        </w:rPr>
        <w:t xml:space="preserve"> fee</w:t>
      </w:r>
      <w:r w:rsidR="00364042">
        <w:rPr>
          <w:rFonts w:ascii="Aptos" w:hAnsi="Aptos"/>
          <w:szCs w:val="24"/>
        </w:rPr>
        <w:t xml:space="preserve"> and hopes of studying in Australia. </w:t>
      </w:r>
    </w:p>
    <w:p w14:paraId="41723D9D" w14:textId="6EEE8DD2" w:rsidR="00615B73" w:rsidRPr="007C7C35" w:rsidRDefault="00364042" w:rsidP="004815F2">
      <w:pPr>
        <w:ind w:left="0" w:right="0"/>
        <w:rPr>
          <w:rFonts w:ascii="Aptos" w:hAnsi="Aptos"/>
          <w:szCs w:val="24"/>
        </w:rPr>
      </w:pPr>
      <w:r>
        <w:rPr>
          <w:rFonts w:ascii="Aptos" w:hAnsi="Aptos"/>
          <w:szCs w:val="24"/>
        </w:rPr>
        <w:lastRenderedPageBreak/>
        <w:t>E</w:t>
      </w:r>
      <w:r w:rsidR="00CF5244">
        <w:rPr>
          <w:rFonts w:ascii="Aptos" w:hAnsi="Aptos"/>
          <w:szCs w:val="24"/>
        </w:rPr>
        <w:t>ducation p</w:t>
      </w:r>
      <w:r w:rsidR="00615B73" w:rsidRPr="007C7C35">
        <w:rPr>
          <w:rFonts w:ascii="Aptos" w:hAnsi="Aptos"/>
          <w:szCs w:val="24"/>
        </w:rPr>
        <w:t xml:space="preserve">roviders and prospective international students may dislike the visa rules. But if these rules are clear </w:t>
      </w:r>
      <w:r>
        <w:rPr>
          <w:rFonts w:ascii="Aptos" w:hAnsi="Aptos"/>
          <w:szCs w:val="24"/>
        </w:rPr>
        <w:t xml:space="preserve">and stable </w:t>
      </w:r>
      <w:r w:rsidR="00615B73" w:rsidRPr="007C7C35">
        <w:rPr>
          <w:rFonts w:ascii="Aptos" w:hAnsi="Aptos"/>
          <w:szCs w:val="24"/>
        </w:rPr>
        <w:t xml:space="preserve">both parties can make decisions with confidence. This cannot be the case with the proposed </w:t>
      </w:r>
      <w:r w:rsidR="00CF5244">
        <w:rPr>
          <w:rFonts w:ascii="Aptos" w:hAnsi="Aptos"/>
          <w:szCs w:val="24"/>
        </w:rPr>
        <w:t>capped s</w:t>
      </w:r>
      <w:r w:rsidR="00615B73" w:rsidRPr="007C7C35">
        <w:rPr>
          <w:rFonts w:ascii="Aptos" w:hAnsi="Aptos"/>
          <w:szCs w:val="24"/>
        </w:rPr>
        <w:t xml:space="preserve">ystem, </w:t>
      </w:r>
      <w:r w:rsidR="00CF5244">
        <w:rPr>
          <w:rFonts w:ascii="Aptos" w:hAnsi="Aptos"/>
          <w:szCs w:val="24"/>
        </w:rPr>
        <w:t xml:space="preserve">under which the minister can make decisions </w:t>
      </w:r>
      <w:r>
        <w:rPr>
          <w:rFonts w:ascii="Aptos" w:hAnsi="Aptos"/>
          <w:szCs w:val="24"/>
        </w:rPr>
        <w:t xml:space="preserve">with a few </w:t>
      </w:r>
      <w:proofErr w:type="spellStart"/>
      <w:r>
        <w:rPr>
          <w:rFonts w:ascii="Aptos" w:hAnsi="Aptos"/>
          <w:szCs w:val="24"/>
        </w:rPr>
        <w:t>months notice</w:t>
      </w:r>
      <w:proofErr w:type="spellEnd"/>
      <w:r>
        <w:rPr>
          <w:rFonts w:ascii="Aptos" w:hAnsi="Aptos"/>
          <w:szCs w:val="24"/>
        </w:rPr>
        <w:t xml:space="preserve"> and </w:t>
      </w:r>
      <w:r w:rsidR="00CF5244">
        <w:rPr>
          <w:rFonts w:ascii="Aptos" w:hAnsi="Aptos"/>
          <w:szCs w:val="24"/>
        </w:rPr>
        <w:t xml:space="preserve">for almost any reason. </w:t>
      </w:r>
    </w:p>
    <w:p w14:paraId="65FD48CE" w14:textId="315FE83B" w:rsidR="00CF5244" w:rsidRDefault="00CF5244">
      <w:pPr>
        <w:rPr>
          <w:rFonts w:ascii="Aptos" w:hAnsi="Aptos"/>
          <w:szCs w:val="24"/>
        </w:rPr>
      </w:pPr>
      <w:r>
        <w:rPr>
          <w:rFonts w:ascii="Aptos" w:hAnsi="Aptos"/>
          <w:szCs w:val="24"/>
        </w:rPr>
        <w:br w:type="page"/>
      </w:r>
    </w:p>
    <w:p w14:paraId="475CDD40" w14:textId="77777777" w:rsidR="00615B73" w:rsidRPr="007C7C35" w:rsidRDefault="00615B73" w:rsidP="000E5271">
      <w:pPr>
        <w:pStyle w:val="BodyText"/>
        <w:rPr>
          <w:rFonts w:ascii="Aptos" w:hAnsi="Aptos"/>
          <w:szCs w:val="24"/>
        </w:rPr>
      </w:pPr>
    </w:p>
    <w:p w14:paraId="6ED4C8E1" w14:textId="004CF040" w:rsidR="00AD4757" w:rsidRPr="007C7C35" w:rsidRDefault="00AD4757" w:rsidP="00D94A34">
      <w:pPr>
        <w:pStyle w:val="Heading1"/>
        <w:rPr>
          <w:rFonts w:ascii="Aptos" w:hAnsi="Aptos"/>
          <w:color w:val="4F81BD" w:themeColor="accent1"/>
          <w:sz w:val="24"/>
          <w:szCs w:val="24"/>
        </w:rPr>
      </w:pPr>
      <w:bookmarkStart w:id="36" w:name="_Toc170742456"/>
      <w:r w:rsidRPr="007C7C35">
        <w:rPr>
          <w:rFonts w:ascii="Aptos" w:hAnsi="Aptos"/>
          <w:color w:val="4F81BD" w:themeColor="accent1"/>
          <w:sz w:val="24"/>
          <w:szCs w:val="24"/>
        </w:rPr>
        <w:t>References</w:t>
      </w:r>
      <w:bookmarkEnd w:id="36"/>
    </w:p>
    <w:p w14:paraId="19CABA9A" w14:textId="77777777" w:rsidR="00977CD7" w:rsidRPr="0077260C" w:rsidRDefault="00AA74E5" w:rsidP="00977CD7">
      <w:pPr>
        <w:pStyle w:val="EndNoteBibliography"/>
        <w:ind w:left="720" w:hanging="720"/>
        <w:rPr>
          <w:rFonts w:ascii="Aptos" w:hAnsi="Aptos"/>
          <w:sz w:val="24"/>
          <w:szCs w:val="24"/>
        </w:rPr>
      </w:pPr>
      <w:r w:rsidRPr="0077260C">
        <w:rPr>
          <w:rFonts w:ascii="Aptos" w:hAnsi="Aptos" w:cstheme="minorHAnsi"/>
          <w:sz w:val="24"/>
          <w:szCs w:val="24"/>
        </w:rPr>
        <w:fldChar w:fldCharType="begin"/>
      </w:r>
      <w:r w:rsidRPr="0077260C">
        <w:rPr>
          <w:rFonts w:ascii="Aptos" w:hAnsi="Aptos" w:cstheme="minorHAnsi"/>
          <w:sz w:val="24"/>
          <w:szCs w:val="24"/>
        </w:rPr>
        <w:instrText xml:space="preserve"> ADDIN EN.REFLIST </w:instrText>
      </w:r>
      <w:r w:rsidRPr="0077260C">
        <w:rPr>
          <w:rFonts w:ascii="Aptos" w:hAnsi="Aptos" w:cstheme="minorHAnsi"/>
          <w:sz w:val="24"/>
          <w:szCs w:val="24"/>
        </w:rPr>
        <w:fldChar w:fldCharType="separate"/>
      </w:r>
      <w:r w:rsidR="00977CD7" w:rsidRPr="0077260C">
        <w:rPr>
          <w:rFonts w:ascii="Aptos" w:hAnsi="Aptos"/>
          <w:sz w:val="24"/>
          <w:szCs w:val="24"/>
        </w:rPr>
        <w:t xml:space="preserve">ABS. </w:t>
      </w:r>
      <w:r w:rsidR="00977CD7" w:rsidRPr="0077260C">
        <w:rPr>
          <w:rFonts w:ascii="Aptos" w:hAnsi="Aptos"/>
          <w:i/>
          <w:sz w:val="24"/>
          <w:szCs w:val="24"/>
        </w:rPr>
        <w:t xml:space="preserve">Australian Census and Migrants, 2021 TableBuilder </w:t>
      </w:r>
      <w:r w:rsidR="00977CD7" w:rsidRPr="0077260C">
        <w:rPr>
          <w:rFonts w:ascii="Aptos" w:hAnsi="Aptos"/>
          <w:sz w:val="24"/>
          <w:szCs w:val="24"/>
        </w:rPr>
        <w:t xml:space="preserve">(Australian Bureau of Statistics, 2023). </w:t>
      </w:r>
    </w:p>
    <w:p w14:paraId="797786A5"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 </w:t>
      </w:r>
      <w:r w:rsidRPr="0077260C">
        <w:rPr>
          <w:rFonts w:ascii="Aptos" w:hAnsi="Aptos"/>
          <w:i/>
          <w:sz w:val="24"/>
          <w:szCs w:val="24"/>
        </w:rPr>
        <w:t xml:space="preserve">Australian Census and Temporary Entrants 2021 TableBuilder </w:t>
      </w:r>
      <w:r w:rsidRPr="0077260C">
        <w:rPr>
          <w:rFonts w:ascii="Aptos" w:hAnsi="Aptos"/>
          <w:sz w:val="24"/>
          <w:szCs w:val="24"/>
        </w:rPr>
        <w:t xml:space="preserve">(Australian Bureau of Statistics, 2023). </w:t>
      </w:r>
    </w:p>
    <w:p w14:paraId="2CB2E95C"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 </w:t>
      </w:r>
      <w:r w:rsidRPr="0077260C">
        <w:rPr>
          <w:rFonts w:ascii="Aptos" w:hAnsi="Aptos"/>
          <w:i/>
          <w:sz w:val="24"/>
          <w:szCs w:val="24"/>
        </w:rPr>
        <w:t xml:space="preserve">Education and Work, TableBuilder </w:t>
      </w:r>
      <w:r w:rsidRPr="0077260C">
        <w:rPr>
          <w:rFonts w:ascii="Aptos" w:hAnsi="Aptos"/>
          <w:sz w:val="24"/>
          <w:szCs w:val="24"/>
        </w:rPr>
        <w:t xml:space="preserve">(Australian Bureau of Statistics, 2024). </w:t>
      </w:r>
    </w:p>
    <w:p w14:paraId="699FD01C"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Australian Government. </w:t>
      </w:r>
      <w:r w:rsidRPr="0077260C">
        <w:rPr>
          <w:rFonts w:ascii="Aptos" w:hAnsi="Aptos"/>
          <w:i/>
          <w:sz w:val="24"/>
          <w:szCs w:val="24"/>
        </w:rPr>
        <w:t xml:space="preserve">Migration strategy: Getting migation working for the nation </w:t>
      </w:r>
      <w:r w:rsidRPr="0077260C">
        <w:rPr>
          <w:rFonts w:ascii="Aptos" w:hAnsi="Aptos"/>
          <w:sz w:val="24"/>
          <w:szCs w:val="24"/>
        </w:rPr>
        <w:t xml:space="preserve">(Department of Home Affairs 2023). </w:t>
      </w:r>
    </w:p>
    <w:p w14:paraId="19226192"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 </w:t>
      </w:r>
      <w:r w:rsidRPr="0077260C">
        <w:rPr>
          <w:rFonts w:ascii="Aptos" w:hAnsi="Aptos"/>
          <w:i/>
          <w:sz w:val="24"/>
          <w:szCs w:val="24"/>
        </w:rPr>
        <w:t xml:space="preserve">Australia's international education and skills strategic framework (Draft for consultation) </w:t>
      </w:r>
      <w:r w:rsidRPr="0077260C">
        <w:rPr>
          <w:rFonts w:ascii="Aptos" w:hAnsi="Aptos"/>
          <w:sz w:val="24"/>
          <w:szCs w:val="24"/>
        </w:rPr>
        <w:t xml:space="preserve">(Department of Education, 2024). </w:t>
      </w:r>
    </w:p>
    <w:p w14:paraId="19D2921F"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 </w:t>
      </w:r>
      <w:r w:rsidRPr="0077260C">
        <w:rPr>
          <w:rFonts w:ascii="Aptos" w:hAnsi="Aptos"/>
          <w:i/>
          <w:sz w:val="24"/>
          <w:szCs w:val="24"/>
        </w:rPr>
        <w:t xml:space="preserve">Australian Tertiary Education Commission - implementation consultation paper </w:t>
      </w:r>
      <w:r w:rsidRPr="0077260C">
        <w:rPr>
          <w:rFonts w:ascii="Aptos" w:hAnsi="Aptos"/>
          <w:sz w:val="24"/>
          <w:szCs w:val="24"/>
        </w:rPr>
        <w:t xml:space="preserve">(Department of Education, 2024). </w:t>
      </w:r>
    </w:p>
    <w:p w14:paraId="2FCCA581"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 </w:t>
      </w:r>
      <w:r w:rsidRPr="0077260C">
        <w:rPr>
          <w:rFonts w:ascii="Aptos" w:hAnsi="Aptos"/>
          <w:i/>
          <w:sz w:val="24"/>
          <w:szCs w:val="24"/>
        </w:rPr>
        <w:t xml:space="preserve">Australian Universities Accord final report </w:t>
      </w:r>
      <w:r w:rsidRPr="0077260C">
        <w:rPr>
          <w:rFonts w:ascii="Aptos" w:hAnsi="Aptos"/>
          <w:sz w:val="24"/>
          <w:szCs w:val="24"/>
        </w:rPr>
        <w:t xml:space="preserve">(Department of Education, 2024). </w:t>
      </w:r>
    </w:p>
    <w:p w14:paraId="221C7CD9"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 </w:t>
      </w:r>
      <w:r w:rsidRPr="0077260C">
        <w:rPr>
          <w:rFonts w:ascii="Aptos" w:hAnsi="Aptos"/>
          <w:i/>
          <w:sz w:val="24"/>
          <w:szCs w:val="24"/>
        </w:rPr>
        <w:t xml:space="preserve">Department of Home Affairs submission on the Inquiry into the Education Services for Overseas Students (Quality and Integrity) Bill 2024, Senate Education and Employment Legislation Committee </w:t>
      </w:r>
      <w:r w:rsidRPr="0077260C">
        <w:rPr>
          <w:rFonts w:ascii="Aptos" w:hAnsi="Aptos"/>
          <w:sz w:val="24"/>
          <w:szCs w:val="24"/>
        </w:rPr>
        <w:t xml:space="preserve">(Department of Home Affairs, 2024). </w:t>
      </w:r>
    </w:p>
    <w:p w14:paraId="74E4B509"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 </w:t>
      </w:r>
      <w:r w:rsidRPr="0077260C">
        <w:rPr>
          <w:rFonts w:ascii="Aptos" w:hAnsi="Aptos"/>
          <w:i/>
          <w:sz w:val="24"/>
          <w:szCs w:val="24"/>
        </w:rPr>
        <w:t xml:space="preserve">Review of the point test - discussion paper April 2024 </w:t>
      </w:r>
      <w:r w:rsidRPr="0077260C">
        <w:rPr>
          <w:rFonts w:ascii="Aptos" w:hAnsi="Aptos"/>
          <w:sz w:val="24"/>
          <w:szCs w:val="24"/>
        </w:rPr>
        <w:t xml:space="preserve">(Department of Home Affairs, 2024). </w:t>
      </w:r>
    </w:p>
    <w:p w14:paraId="3893F59C"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Coates, B., T. Wiltshire, and N. Bradshaw. </w:t>
      </w:r>
      <w:r w:rsidRPr="0077260C">
        <w:rPr>
          <w:rFonts w:ascii="Aptos" w:hAnsi="Aptos"/>
          <w:i/>
          <w:sz w:val="24"/>
          <w:szCs w:val="24"/>
        </w:rPr>
        <w:t xml:space="preserve">It all adds up: reforming points-tested visas </w:t>
      </w:r>
      <w:r w:rsidRPr="0077260C">
        <w:rPr>
          <w:rFonts w:ascii="Aptos" w:hAnsi="Aptos"/>
          <w:sz w:val="24"/>
          <w:szCs w:val="24"/>
        </w:rPr>
        <w:t xml:space="preserve">(Grattan Institute, 2024). </w:t>
      </w:r>
    </w:p>
    <w:p w14:paraId="583A7C96"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Coates, B., T. Wiltshire, and T. Resenbach. </w:t>
      </w:r>
      <w:r w:rsidRPr="0077260C">
        <w:rPr>
          <w:rFonts w:ascii="Aptos" w:hAnsi="Aptos"/>
          <w:i/>
          <w:sz w:val="24"/>
          <w:szCs w:val="24"/>
        </w:rPr>
        <w:t xml:space="preserve">Graduates in limbo: International student visa pathways after graduation </w:t>
      </w:r>
      <w:r w:rsidRPr="0077260C">
        <w:rPr>
          <w:rFonts w:ascii="Aptos" w:hAnsi="Aptos"/>
          <w:sz w:val="24"/>
          <w:szCs w:val="24"/>
        </w:rPr>
        <w:t xml:space="preserve">(Grattan Institute, 2023). </w:t>
      </w:r>
    </w:p>
    <w:p w14:paraId="2C5474C3"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DHA. </w:t>
      </w:r>
      <w:r w:rsidRPr="0077260C">
        <w:rPr>
          <w:rFonts w:ascii="Aptos" w:hAnsi="Aptos"/>
          <w:i/>
          <w:sz w:val="24"/>
          <w:szCs w:val="24"/>
        </w:rPr>
        <w:t xml:space="preserve">Student visa and temporary graduate visa program report </w:t>
      </w:r>
      <w:r w:rsidRPr="0077260C">
        <w:rPr>
          <w:rFonts w:ascii="Aptos" w:hAnsi="Aptos"/>
          <w:sz w:val="24"/>
          <w:szCs w:val="24"/>
        </w:rPr>
        <w:t xml:space="preserve">(Department of Home Affairs, 2024). </w:t>
      </w:r>
    </w:p>
    <w:p w14:paraId="67237B87"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DofE. </w:t>
      </w:r>
      <w:r w:rsidRPr="0077260C">
        <w:rPr>
          <w:rFonts w:ascii="Aptos" w:hAnsi="Aptos"/>
          <w:i/>
          <w:sz w:val="24"/>
          <w:szCs w:val="24"/>
        </w:rPr>
        <w:t xml:space="preserve">Undergraduate applications, offers and acceptances 2021 </w:t>
      </w:r>
      <w:r w:rsidRPr="0077260C">
        <w:rPr>
          <w:rFonts w:ascii="Aptos" w:hAnsi="Aptos"/>
          <w:sz w:val="24"/>
          <w:szCs w:val="24"/>
        </w:rPr>
        <w:t xml:space="preserve">(Department of Education, 2021). </w:t>
      </w:r>
    </w:p>
    <w:p w14:paraId="48207922"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 </w:t>
      </w:r>
      <w:r w:rsidRPr="0077260C">
        <w:rPr>
          <w:rFonts w:ascii="Aptos" w:hAnsi="Aptos"/>
          <w:i/>
          <w:sz w:val="24"/>
          <w:szCs w:val="24"/>
        </w:rPr>
        <w:t xml:space="preserve">Award course completions pivot table 2022 </w:t>
      </w:r>
      <w:r w:rsidRPr="0077260C">
        <w:rPr>
          <w:rFonts w:ascii="Aptos" w:hAnsi="Aptos"/>
          <w:sz w:val="24"/>
          <w:szCs w:val="24"/>
        </w:rPr>
        <w:t xml:space="preserve">(Department of Education, 2024). </w:t>
      </w:r>
    </w:p>
    <w:p w14:paraId="7BBAFB95"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 </w:t>
      </w:r>
      <w:r w:rsidRPr="0077260C">
        <w:rPr>
          <w:rFonts w:ascii="Aptos" w:hAnsi="Aptos"/>
          <w:i/>
          <w:sz w:val="24"/>
          <w:szCs w:val="24"/>
        </w:rPr>
        <w:t xml:space="preserve">International student data - for the year-to-date </w:t>
      </w:r>
      <w:r w:rsidRPr="0077260C">
        <w:rPr>
          <w:rFonts w:ascii="Aptos" w:hAnsi="Aptos"/>
          <w:sz w:val="24"/>
          <w:szCs w:val="24"/>
        </w:rPr>
        <w:t xml:space="preserve">(Department of Education, 2024). </w:t>
      </w:r>
    </w:p>
    <w:p w14:paraId="2AECCC8E"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 </w:t>
      </w:r>
      <w:r w:rsidRPr="0077260C">
        <w:rPr>
          <w:rFonts w:ascii="Aptos" w:hAnsi="Aptos"/>
          <w:i/>
          <w:sz w:val="24"/>
          <w:szCs w:val="24"/>
        </w:rPr>
        <w:t xml:space="preserve">uCube - Higher education statistics </w:t>
      </w:r>
      <w:r w:rsidRPr="0077260C">
        <w:rPr>
          <w:rFonts w:ascii="Aptos" w:hAnsi="Aptos"/>
          <w:sz w:val="24"/>
          <w:szCs w:val="24"/>
        </w:rPr>
        <w:t xml:space="preserve">(Department of Education, 2024). </w:t>
      </w:r>
    </w:p>
    <w:p w14:paraId="49F4C3F1"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Hare, J. ‘Mass lay-offs at regional uni as international enrolments slump 90pc’, </w:t>
      </w:r>
      <w:r w:rsidRPr="0077260C">
        <w:rPr>
          <w:rFonts w:ascii="Aptos" w:hAnsi="Aptos"/>
          <w:i/>
          <w:sz w:val="24"/>
          <w:szCs w:val="24"/>
        </w:rPr>
        <w:t>Australian Financial Review</w:t>
      </w:r>
      <w:r w:rsidRPr="0077260C">
        <w:rPr>
          <w:rFonts w:ascii="Aptos" w:hAnsi="Aptos"/>
          <w:sz w:val="24"/>
          <w:szCs w:val="24"/>
        </w:rPr>
        <w:t>, 26 April 2024.</w:t>
      </w:r>
    </w:p>
    <w:p w14:paraId="0240A92D"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Mulder, D. ‘More evidence of eCOE’s being withdrawn and confusion within the sector’, </w:t>
      </w:r>
      <w:r w:rsidRPr="0077260C">
        <w:rPr>
          <w:rFonts w:ascii="Aptos" w:hAnsi="Aptos"/>
          <w:i/>
          <w:sz w:val="24"/>
          <w:szCs w:val="24"/>
        </w:rPr>
        <w:t>The Koala: International education news</w:t>
      </w:r>
      <w:r w:rsidRPr="0077260C">
        <w:rPr>
          <w:rFonts w:ascii="Aptos" w:hAnsi="Aptos"/>
          <w:sz w:val="24"/>
          <w:szCs w:val="24"/>
        </w:rPr>
        <w:t>, 9 February 2024.</w:t>
      </w:r>
    </w:p>
    <w:p w14:paraId="3D027A93"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lastRenderedPageBreak/>
        <w:t xml:space="preserve">Norton, A. ‘University-Commonwealth funding agreements and the rule of law in higher education’, </w:t>
      </w:r>
      <w:r w:rsidRPr="0077260C">
        <w:rPr>
          <w:rFonts w:ascii="Aptos" w:hAnsi="Aptos"/>
          <w:i/>
          <w:sz w:val="24"/>
          <w:szCs w:val="24"/>
        </w:rPr>
        <w:t>Andrew Norton: Higher education commentary from Carlton (blog)</w:t>
      </w:r>
      <w:r w:rsidRPr="0077260C">
        <w:rPr>
          <w:rFonts w:ascii="Aptos" w:hAnsi="Aptos"/>
          <w:sz w:val="24"/>
          <w:szCs w:val="24"/>
        </w:rPr>
        <w:t>, 17 March 2021.</w:t>
      </w:r>
    </w:p>
    <w:p w14:paraId="569D02FB"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 ‘The 20,000 equity places that nearly weren’t allocated and that will probably never be delivered’, </w:t>
      </w:r>
      <w:r w:rsidRPr="0077260C">
        <w:rPr>
          <w:rFonts w:ascii="Aptos" w:hAnsi="Aptos"/>
          <w:i/>
          <w:sz w:val="24"/>
          <w:szCs w:val="24"/>
        </w:rPr>
        <w:t>Andrew Norton: Higher education commentary from Carlton (blog)</w:t>
      </w:r>
      <w:r w:rsidRPr="0077260C">
        <w:rPr>
          <w:rFonts w:ascii="Aptos" w:hAnsi="Aptos"/>
          <w:sz w:val="24"/>
          <w:szCs w:val="24"/>
        </w:rPr>
        <w:t>, 6 February 2023.</w:t>
      </w:r>
    </w:p>
    <w:p w14:paraId="64B65A60"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 </w:t>
      </w:r>
      <w:r w:rsidRPr="0077260C">
        <w:rPr>
          <w:rFonts w:ascii="Aptos" w:hAnsi="Aptos"/>
          <w:i/>
          <w:sz w:val="24"/>
          <w:szCs w:val="24"/>
        </w:rPr>
        <w:t xml:space="preserve">Mapping Australian higher education 2023 </w:t>
      </w:r>
      <w:r w:rsidRPr="0077260C">
        <w:rPr>
          <w:rFonts w:ascii="Aptos" w:hAnsi="Aptos"/>
          <w:sz w:val="24"/>
          <w:szCs w:val="24"/>
        </w:rPr>
        <w:t xml:space="preserve">(ANU Centre for Social Research and Methods, 2023). </w:t>
      </w:r>
    </w:p>
    <w:p w14:paraId="07E1E37D"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 ‘Accord implementation proposals, part #3: The distribution of student places to universities and the folly of hard caps’, </w:t>
      </w:r>
      <w:r w:rsidRPr="0077260C">
        <w:rPr>
          <w:rFonts w:ascii="Aptos" w:hAnsi="Aptos"/>
          <w:i/>
          <w:sz w:val="24"/>
          <w:szCs w:val="24"/>
        </w:rPr>
        <w:t>Andrew Norton: Higher education commentary from Carlton (blog)</w:t>
      </w:r>
      <w:r w:rsidRPr="0077260C">
        <w:rPr>
          <w:rFonts w:ascii="Aptos" w:hAnsi="Aptos"/>
          <w:sz w:val="24"/>
          <w:szCs w:val="24"/>
        </w:rPr>
        <w:t>, 25 June 2024.</w:t>
      </w:r>
    </w:p>
    <w:p w14:paraId="0532C3D3"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 ‘A cap-and-trade system for international student places ’, </w:t>
      </w:r>
      <w:r w:rsidRPr="0077260C">
        <w:rPr>
          <w:rFonts w:ascii="Aptos" w:hAnsi="Aptos"/>
          <w:i/>
          <w:sz w:val="24"/>
          <w:szCs w:val="24"/>
        </w:rPr>
        <w:t>Andrew Norton: Higher education commentary from Carlton (blog)</w:t>
      </w:r>
      <w:r w:rsidRPr="0077260C">
        <w:rPr>
          <w:rFonts w:ascii="Aptos" w:hAnsi="Aptos"/>
          <w:sz w:val="24"/>
          <w:szCs w:val="24"/>
        </w:rPr>
        <w:t>, 27 May 2024.</w:t>
      </w:r>
    </w:p>
    <w:p w14:paraId="18973AC5"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 ‘What's new in the university funding agreements, part 3: new rules on early offers’, </w:t>
      </w:r>
      <w:r w:rsidRPr="0077260C">
        <w:rPr>
          <w:rFonts w:ascii="Aptos" w:hAnsi="Aptos"/>
          <w:i/>
          <w:sz w:val="24"/>
          <w:szCs w:val="24"/>
        </w:rPr>
        <w:t>Andrew Norton: Higher education commentary from Carlton (blog)</w:t>
      </w:r>
      <w:r w:rsidRPr="0077260C">
        <w:rPr>
          <w:rFonts w:ascii="Aptos" w:hAnsi="Aptos"/>
          <w:sz w:val="24"/>
          <w:szCs w:val="24"/>
        </w:rPr>
        <w:t>, 2024, 13 June.</w:t>
      </w:r>
    </w:p>
    <w:p w14:paraId="126B61FC"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Norton, A., and I. Cherastidtham. </w:t>
      </w:r>
      <w:r w:rsidRPr="0077260C">
        <w:rPr>
          <w:rFonts w:ascii="Aptos" w:hAnsi="Aptos"/>
          <w:i/>
          <w:sz w:val="24"/>
          <w:szCs w:val="24"/>
        </w:rPr>
        <w:t xml:space="preserve">University fees: what students pay in deregulated markets </w:t>
      </w:r>
      <w:r w:rsidRPr="0077260C">
        <w:rPr>
          <w:rFonts w:ascii="Aptos" w:hAnsi="Aptos"/>
          <w:sz w:val="24"/>
          <w:szCs w:val="24"/>
        </w:rPr>
        <w:t xml:space="preserve">(Grattan Institute, 2015). </w:t>
      </w:r>
    </w:p>
    <w:p w14:paraId="1507A6B8" w14:textId="77777777" w:rsidR="00977CD7" w:rsidRPr="0077260C" w:rsidRDefault="00977CD7" w:rsidP="00977CD7">
      <w:pPr>
        <w:pStyle w:val="EndNoteBibliography"/>
        <w:ind w:left="720" w:hanging="720"/>
        <w:rPr>
          <w:rFonts w:ascii="Aptos" w:hAnsi="Aptos"/>
          <w:sz w:val="24"/>
          <w:szCs w:val="24"/>
        </w:rPr>
      </w:pPr>
      <w:r w:rsidRPr="0077260C">
        <w:rPr>
          <w:rFonts w:ascii="Aptos" w:hAnsi="Aptos"/>
          <w:sz w:val="24"/>
          <w:szCs w:val="24"/>
        </w:rPr>
        <w:t xml:space="preserve">SRC. </w:t>
      </w:r>
      <w:r w:rsidRPr="0077260C">
        <w:rPr>
          <w:rFonts w:ascii="Aptos" w:hAnsi="Aptos"/>
          <w:i/>
          <w:sz w:val="24"/>
          <w:szCs w:val="24"/>
        </w:rPr>
        <w:t xml:space="preserve">2022 Student Experience Survey: the international student experience </w:t>
      </w:r>
      <w:r w:rsidRPr="0077260C">
        <w:rPr>
          <w:rFonts w:ascii="Aptos" w:hAnsi="Aptos"/>
          <w:sz w:val="24"/>
          <w:szCs w:val="24"/>
        </w:rPr>
        <w:t xml:space="preserve">(Social Research Centre/Department of Education, 2023). </w:t>
      </w:r>
    </w:p>
    <w:p w14:paraId="2127BDE5" w14:textId="3C9AADBB" w:rsidR="00724833" w:rsidRPr="0077260C" w:rsidRDefault="00AA74E5" w:rsidP="0072746B">
      <w:pPr>
        <w:pStyle w:val="BodyText"/>
        <w:rPr>
          <w:rFonts w:ascii="Aptos" w:hAnsi="Aptos" w:cstheme="minorHAnsi"/>
          <w:szCs w:val="24"/>
        </w:rPr>
      </w:pPr>
      <w:r w:rsidRPr="0077260C">
        <w:rPr>
          <w:rFonts w:ascii="Aptos" w:hAnsi="Aptos" w:cstheme="minorHAnsi"/>
          <w:szCs w:val="24"/>
        </w:rPr>
        <w:fldChar w:fldCharType="end"/>
      </w:r>
    </w:p>
    <w:sectPr w:rsidR="00724833" w:rsidRPr="0077260C" w:rsidSect="001D407A">
      <w:headerReference w:type="default" r:id="rId19"/>
      <w:footerReference w:type="default" r:id="rId20"/>
      <w:pgSz w:w="11906" w:h="16838" w:code="9"/>
      <w:pgMar w:top="1440" w:right="1440" w:bottom="1440" w:left="1440" w:header="0" w:footer="101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649866" w14:textId="77777777" w:rsidR="00DF5776" w:rsidRDefault="00DF5776">
      <w:r>
        <w:separator/>
      </w:r>
    </w:p>
  </w:endnote>
  <w:endnote w:type="continuationSeparator" w:id="0">
    <w:p w14:paraId="10FEEBCC" w14:textId="77777777" w:rsidR="00DF5776" w:rsidRDefault="00DF5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4EC8BD" w14:textId="6B77F398" w:rsidR="009B5476" w:rsidRDefault="009B5476">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r>
      <w:rPr>
        <w:caps/>
        <w:noProof/>
        <w:color w:val="4F81BD" w:themeColor="accent1"/>
      </w:rPr>
      <w:t xml:space="preserve"> </w:t>
    </w:r>
  </w:p>
  <w:p w14:paraId="04170E73" w14:textId="49555947" w:rsidR="009B5476" w:rsidRDefault="009B547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049A32" w14:textId="77777777" w:rsidR="00DF5776" w:rsidRDefault="00DF5776">
      <w:r>
        <w:separator/>
      </w:r>
    </w:p>
  </w:footnote>
  <w:footnote w:type="continuationSeparator" w:id="0">
    <w:p w14:paraId="644ED6DF" w14:textId="77777777" w:rsidR="00DF5776" w:rsidRDefault="00DF5776">
      <w:r>
        <w:continuationSeparator/>
      </w:r>
    </w:p>
  </w:footnote>
  <w:footnote w:id="1">
    <w:p w14:paraId="45B7DEE9" w14:textId="77777777" w:rsidR="006055F1" w:rsidRDefault="006055F1" w:rsidP="006055F1">
      <w:pPr>
        <w:pStyle w:val="FootnoteText"/>
      </w:pPr>
      <w:r>
        <w:rPr>
          <w:rStyle w:val="FootnoteReference"/>
        </w:rPr>
        <w:footnoteRef/>
      </w:r>
      <w:r>
        <w:t xml:space="preserve"> </w:t>
      </w:r>
      <w:r>
        <w:fldChar w:fldCharType="begin"/>
      </w:r>
      <w:r>
        <w:instrText xml:space="preserve"> ADDIN EN.CITE &lt;EndNote&gt;&lt;Cite&gt;&lt;Author&gt;Norton&lt;/Author&gt;&lt;Year&gt;2023&lt;/Year&gt;&lt;RecNum&gt;2849&lt;/RecNum&gt;&lt;DisplayText&gt;A. Norton, &lt;style face="italic"&gt;Mapping Australian higher education 2023&lt;/style&gt; (ANU Centre for Social Research and Methods, 2023)&lt;/DisplayText&gt;&lt;record&gt;&lt;rec-number&gt;2849&lt;/rec-number&gt;&lt;foreign-keys&gt;&lt;key app="EN" db-id="vvzd2dx21wzx23e9p9wxpde9was55s9aevsr" timestamp="1719791887"&gt;2849&lt;/key&gt;&lt;/foreign-keys&gt;&lt;ref-type name="Report"&gt;27&lt;/ref-type&gt;&lt;contributors&gt;&lt;authors&gt;&lt;author&gt;Norton, A.&lt;/author&gt;&lt;/authors&gt;&lt;/contributors&gt;&lt;titles&gt;&lt;title&gt;Mapping Australian higher education 2023&lt;/title&gt;&lt;/titles&gt;&lt;dates&gt;&lt;year&gt;2023&lt;/year&gt;&lt;/dates&gt;&lt;publisher&gt;ANU Centre for Social Research and Methods&lt;/publisher&gt;&lt;urls&gt;&lt;/urls&gt;&lt;/record&gt;&lt;/Cite&gt;&lt;/EndNote&gt;</w:instrText>
      </w:r>
      <w:r>
        <w:fldChar w:fldCharType="separate"/>
      </w:r>
      <w:r>
        <w:rPr>
          <w:noProof/>
        </w:rPr>
        <w:t xml:space="preserve">A. Norton, </w:t>
      </w:r>
      <w:r w:rsidRPr="00674E44">
        <w:rPr>
          <w:i/>
          <w:noProof/>
        </w:rPr>
        <w:t>Mapping Australian higher education 2023</w:t>
      </w:r>
      <w:r>
        <w:rPr>
          <w:noProof/>
        </w:rPr>
        <w:t xml:space="preserve"> (ANU Centre for Social Research and Methods, 2023)</w:t>
      </w:r>
      <w:r>
        <w:fldChar w:fldCharType="end"/>
      </w:r>
      <w:r>
        <w:t>, p. 129.</w:t>
      </w:r>
    </w:p>
  </w:footnote>
  <w:footnote w:id="2">
    <w:p w14:paraId="39EF6623" w14:textId="77777777" w:rsidR="006055F1" w:rsidRDefault="006055F1" w:rsidP="006055F1">
      <w:pPr>
        <w:pStyle w:val="FootnoteText"/>
      </w:pPr>
      <w:r>
        <w:rPr>
          <w:rStyle w:val="FootnoteReference"/>
        </w:rPr>
        <w:footnoteRef/>
      </w:r>
      <w:r>
        <w:t xml:space="preserve"> </w:t>
      </w:r>
      <w:r>
        <w:fldChar w:fldCharType="begin"/>
      </w:r>
      <w:r>
        <w:instrText xml:space="preserve"> ADDIN EN.CITE &lt;EndNote&gt;&lt;Cite&gt;&lt;Author&gt;Australian Government&lt;/Author&gt;&lt;Year&gt;2024&lt;/Year&gt;&lt;RecNum&gt;2851&lt;/RecNum&gt;&lt;DisplayText&gt;Australian Government, &lt;style face="italic"&gt;Australian Tertiary Education Commission - implementation consultation paper&lt;/style&gt; (Department of Education, 2024)&lt;/DisplayText&gt;&lt;record&gt;&lt;rec-number&gt;2851&lt;/rec-number&gt;&lt;foreign-keys&gt;&lt;key app="EN" db-id="vvzd2dx21wzx23e9p9wxpde9was55s9aevsr" timestamp="1719792307"&gt;2851&lt;/key&gt;&lt;/foreign-keys&gt;&lt;ref-type name="Report"&gt;27&lt;/ref-type&gt;&lt;contributors&gt;&lt;authors&gt;&lt;author&gt;Australian Government,&lt;/author&gt;&lt;/authors&gt;&lt;/contributors&gt;&lt;titles&gt;&lt;title&gt;Australian Tertiary Education Commission - implementation consultation paper&lt;/title&gt;&lt;/titles&gt;&lt;dates&gt;&lt;year&gt;2024&lt;/year&gt;&lt;/dates&gt;&lt;publisher&gt;Department of Education&lt;/publisher&gt;&lt;urls&gt;&lt;/urls&gt;&lt;/record&gt;&lt;/Cite&gt;&lt;/EndNote&gt;</w:instrText>
      </w:r>
      <w:r>
        <w:fldChar w:fldCharType="separate"/>
      </w:r>
      <w:r>
        <w:rPr>
          <w:noProof/>
        </w:rPr>
        <w:t xml:space="preserve">Australian Government, </w:t>
      </w:r>
      <w:r w:rsidRPr="00674E44">
        <w:rPr>
          <w:i/>
          <w:noProof/>
        </w:rPr>
        <w:t>Australian Tertiary Education Commission - implementation consultation paper</w:t>
      </w:r>
      <w:r>
        <w:rPr>
          <w:noProof/>
        </w:rPr>
        <w:t xml:space="preserve"> (Department of Education, 2024)</w:t>
      </w:r>
      <w:r>
        <w:fldChar w:fldCharType="end"/>
      </w:r>
      <w:r>
        <w:t>.</w:t>
      </w:r>
    </w:p>
  </w:footnote>
  <w:footnote w:id="3">
    <w:p w14:paraId="302E3039" w14:textId="77777777" w:rsidR="006055F1" w:rsidRDefault="006055F1" w:rsidP="006055F1">
      <w:pPr>
        <w:pStyle w:val="FootnoteText"/>
      </w:pPr>
      <w:r>
        <w:rPr>
          <w:rStyle w:val="FootnoteReference"/>
        </w:rPr>
        <w:footnoteRef/>
      </w:r>
      <w:r>
        <w:t xml:space="preserve"> </w:t>
      </w:r>
      <w:r>
        <w:fldChar w:fldCharType="begin"/>
      </w:r>
      <w:r>
        <w:instrText xml:space="preserve"> ADDIN EN.CITE &lt;EndNote&gt;&lt;Cite&gt;&lt;Author&gt;Australian Government&lt;/Author&gt;&lt;Year&gt;2024&lt;/Year&gt;&lt;RecNum&gt;2852&lt;/RecNum&gt;&lt;DisplayText&gt;Australian Government, &lt;style face="italic"&gt;Department of Home Affairs submission on the Inquiry into the Education Services for Overseas Students (Quality and Integrity) Bill 2024, Senate Education and Employment Legislation Committee&lt;/style&gt; (Department of Home Affairs, 2024)&lt;/DisplayText&gt;&lt;record&gt;&lt;rec-number&gt;2852&lt;/rec-number&gt;&lt;foreign-keys&gt;&lt;key app="EN" db-id="vvzd2dx21wzx23e9p9wxpde9was55s9aevsr" timestamp="1719792953"&gt;2852&lt;/key&gt;&lt;/foreign-keys&gt;&lt;ref-type name="Report"&gt;27&lt;/ref-type&gt;&lt;contributors&gt;&lt;authors&gt;&lt;author&gt;Australian Government,&lt;/author&gt;&lt;/authors&gt;&lt;/contributors&gt;&lt;titles&gt;&lt;title&gt;Department of Home Affairs submission on the Inquiry into the Education Services for Overseas Students (Quality and Integrity) Bill 2024, Senate Education and Employment Legislation Committee&lt;/title&gt;&lt;/titles&gt;&lt;dates&gt;&lt;year&gt;2024&lt;/year&gt;&lt;/dates&gt;&lt;publisher&gt;Department of Home Affairs&lt;/publisher&gt;&lt;urls&gt;&lt;/urls&gt;&lt;/record&gt;&lt;/Cite&gt;&lt;/EndNote&gt;</w:instrText>
      </w:r>
      <w:r>
        <w:fldChar w:fldCharType="separate"/>
      </w:r>
      <w:r>
        <w:rPr>
          <w:noProof/>
        </w:rPr>
        <w:t xml:space="preserve">Australian Government, </w:t>
      </w:r>
      <w:r w:rsidRPr="003F3E08">
        <w:rPr>
          <w:i/>
          <w:noProof/>
        </w:rPr>
        <w:t>Department of Home Affairs submission on the Inquiry into the Education Services for Overseas Students (Quality and Integrity) Bill 2024, Senate Education and Employment Legislation Committee</w:t>
      </w:r>
      <w:r>
        <w:rPr>
          <w:noProof/>
        </w:rPr>
        <w:t xml:space="preserve"> (Department of Home Affairs, 2024)</w:t>
      </w:r>
      <w:r>
        <w:fldChar w:fldCharType="end"/>
      </w:r>
      <w:r>
        <w:t>, p. 5.</w:t>
      </w:r>
    </w:p>
  </w:footnote>
  <w:footnote w:id="4">
    <w:p w14:paraId="76FCB692" w14:textId="191F88E8" w:rsidR="006055F1" w:rsidRDefault="006055F1" w:rsidP="006055F1">
      <w:pPr>
        <w:pStyle w:val="FootnoteText"/>
      </w:pPr>
      <w:r>
        <w:rPr>
          <w:rStyle w:val="FootnoteReference"/>
        </w:rPr>
        <w:footnoteRef/>
      </w:r>
      <w:r>
        <w:t xml:space="preserve"> </w:t>
      </w:r>
      <w:r>
        <w:fldChar w:fldCharType="begin"/>
      </w:r>
      <w:r>
        <w:instrText xml:space="preserve"> ADDIN EN.CITE &lt;EndNote&gt;&lt;Cite&gt;&lt;Author&gt;Australian Government&lt;/Author&gt;&lt;Year&gt;2024&lt;/Year&gt;&lt;RecNum&gt;2844&lt;/RecNum&gt;&lt;DisplayText&gt;Australian Government, &lt;style face="italic"&gt;Australia&amp;apos;s international education and skills strategic framework (Draft for consultation)&lt;/style&gt; (Department of Education, 2024)&lt;/DisplayText&gt;&lt;record&gt;&lt;rec-number&gt;2844&lt;/rec-number&gt;&lt;foreign-keys&gt;&lt;key app="EN" db-id="vvzd2dx21wzx23e9p9wxpde9was55s9aevsr" timestamp="1719554259"&gt;2844&lt;/key&gt;&lt;/foreign-keys&gt;&lt;ref-type name="Report"&gt;27&lt;/ref-type&gt;&lt;contributors&gt;&lt;authors&gt;&lt;author&gt;Australian Government,&lt;/author&gt;&lt;/authors&gt;&lt;/contributors&gt;&lt;titles&gt;&lt;title&gt;Australia&amp;apos;s international education and skills strategic framework (Draft for consultation)&lt;/title&gt;&lt;/titles&gt;&lt;dates&gt;&lt;year&gt;2024&lt;/year&gt;&lt;/dates&gt;&lt;publisher&gt;Department of Education&lt;/publisher&gt;&lt;urls&gt;&lt;/urls&gt;&lt;/record&gt;&lt;/Cite&gt;&lt;/EndNote&gt;</w:instrText>
      </w:r>
      <w:r>
        <w:fldChar w:fldCharType="separate"/>
      </w:r>
      <w:r>
        <w:rPr>
          <w:noProof/>
        </w:rPr>
        <w:t xml:space="preserve">Australian Government, </w:t>
      </w:r>
      <w:r w:rsidRPr="006055F1">
        <w:rPr>
          <w:i/>
          <w:noProof/>
        </w:rPr>
        <w:t>Australia's international education and skills strategic framework (Draft for consultation)</w:t>
      </w:r>
      <w:r>
        <w:rPr>
          <w:noProof/>
        </w:rPr>
        <w:t xml:space="preserve"> (Department of Education, 2024)</w:t>
      </w:r>
      <w:r>
        <w:fldChar w:fldCharType="end"/>
      </w:r>
      <w:r>
        <w:t xml:space="preserve">, pp. 3, 5-8, 10, 12, 15-18, 22, 27, 37. </w:t>
      </w:r>
    </w:p>
  </w:footnote>
  <w:footnote w:id="5">
    <w:p w14:paraId="0D71B980" w14:textId="5B4ED4AE" w:rsidR="00977CD7" w:rsidRDefault="00977CD7">
      <w:pPr>
        <w:pStyle w:val="FootnoteText"/>
      </w:pPr>
      <w:r>
        <w:rPr>
          <w:rStyle w:val="FootnoteReference"/>
        </w:rPr>
        <w:footnoteRef/>
      </w:r>
      <w:r>
        <w:t xml:space="preserve"> 70% in 2022: </w:t>
      </w:r>
      <w:r>
        <w:fldChar w:fldCharType="begin"/>
      </w:r>
      <w:r>
        <w:instrText xml:space="preserve"> ADDIN EN.CITE &lt;EndNote&gt;&lt;Cite&gt;&lt;Author&gt;SRC&lt;/Author&gt;&lt;Year&gt;2023&lt;/Year&gt;&lt;RecNum&gt;2795&lt;/RecNum&gt;&lt;DisplayText&gt;SRC, &lt;style face="italic"&gt;2022 Student Experience Survey: the international student experience&lt;/style&gt; (Social Research Centre/Department of Education, 2023)&lt;/DisplayText&gt;&lt;record&gt;&lt;rec-number&gt;2795&lt;/rec-number&gt;&lt;foreign-keys&gt;&lt;key app="EN" db-id="vvzd2dx21wzx23e9p9wxpde9was55s9aevsr" timestamp="1688624749"&gt;2795&lt;/key&gt;&lt;/foreign-keys&gt;&lt;ref-type name="Report"&gt;27&lt;/ref-type&gt;&lt;contributors&gt;&lt;authors&gt;&lt;author&gt;SRC&lt;/author&gt;&lt;/authors&gt;&lt;/contributors&gt;&lt;titles&gt;&lt;title&gt;2022 Student Experience Survey: the international student experience&lt;/title&gt;&lt;/titles&gt;&lt;dates&gt;&lt;year&gt;2023&lt;/year&gt;&lt;/dates&gt;&lt;publisher&gt;Social Research Centre/Department of Education&lt;/publisher&gt;&lt;urls&gt;&lt;/urls&gt;&lt;/record&gt;&lt;/Cite&gt;&lt;/EndNote&gt;</w:instrText>
      </w:r>
      <w:r>
        <w:fldChar w:fldCharType="separate"/>
      </w:r>
      <w:r>
        <w:rPr>
          <w:noProof/>
        </w:rPr>
        <w:t xml:space="preserve">SRC, </w:t>
      </w:r>
      <w:r w:rsidRPr="00977CD7">
        <w:rPr>
          <w:i/>
          <w:noProof/>
        </w:rPr>
        <w:t>2022 Student Experience Survey: the international student experience</w:t>
      </w:r>
      <w:r>
        <w:rPr>
          <w:noProof/>
        </w:rPr>
        <w:t xml:space="preserve"> (Social Research Centre/Department of Education, 2023)</w:t>
      </w:r>
      <w:r>
        <w:fldChar w:fldCharType="end"/>
      </w:r>
      <w:r>
        <w:t>, p. 32.</w:t>
      </w:r>
    </w:p>
  </w:footnote>
  <w:footnote w:id="6">
    <w:p w14:paraId="57F50443" w14:textId="77777777" w:rsidR="006055F1" w:rsidRDefault="006055F1" w:rsidP="006055F1">
      <w:pPr>
        <w:pStyle w:val="FootnoteText"/>
      </w:pPr>
      <w:r>
        <w:rPr>
          <w:rStyle w:val="FootnoteReference"/>
        </w:rPr>
        <w:footnoteRef/>
      </w:r>
      <w:r>
        <w:t xml:space="preserve"> </w:t>
      </w:r>
      <w:r>
        <w:fldChar w:fldCharType="begin"/>
      </w:r>
      <w:r>
        <w:instrText xml:space="preserve"> ADDIN EN.CITE &lt;EndNote&gt;&lt;Cite&gt;&lt;Author&gt;Coates&lt;/Author&gt;&lt;Year&gt;2023&lt;/Year&gt;&lt;RecNum&gt;2853&lt;/RecNum&gt;&lt;DisplayText&gt;B. Coates, T. Wiltshire and T. Resenbach, &lt;style face="italic"&gt;Graduates in limbo: International student visa pathways after graduation &lt;/style&gt;(Grattan Institute, 2023)&lt;/DisplayText&gt;&lt;record&gt;&lt;rec-number&gt;2853&lt;/rec-number&gt;&lt;foreign-keys&gt;&lt;key app="EN" db-id="vvzd2dx21wzx23e9p9wxpde9was55s9aevsr" timestamp="1719793389"&gt;2853&lt;/key&gt;&lt;/foreign-keys&gt;&lt;ref-type name="Report"&gt;27&lt;/ref-type&gt;&lt;contributors&gt;&lt;authors&gt;&lt;author&gt;Coates, B.&lt;/author&gt;&lt;author&gt;Wiltshire, T.&lt;/author&gt;&lt;author&gt;Resenbach, T.&lt;/author&gt;&lt;/authors&gt;&lt;/contributors&gt;&lt;titles&gt;&lt;title&gt;Graduates in limbo: International student visa pathways after graduation &lt;/title&gt;&lt;/titles&gt;&lt;dates&gt;&lt;year&gt;2023&lt;/year&gt;&lt;/dates&gt;&lt;publisher&gt;Grattan Institute&lt;/publisher&gt;&lt;urls&gt;&lt;/urls&gt;&lt;/record&gt;&lt;/Cite&gt;&lt;/EndNote&gt;</w:instrText>
      </w:r>
      <w:r>
        <w:fldChar w:fldCharType="separate"/>
      </w:r>
      <w:r>
        <w:rPr>
          <w:noProof/>
        </w:rPr>
        <w:t xml:space="preserve">B. Coates, T. Wiltshire and T. Resenbach, </w:t>
      </w:r>
      <w:r w:rsidRPr="00390464">
        <w:rPr>
          <w:i/>
          <w:noProof/>
        </w:rPr>
        <w:t xml:space="preserve">Graduates in limbo: International student visa pathways after graduation </w:t>
      </w:r>
      <w:r>
        <w:rPr>
          <w:noProof/>
        </w:rPr>
        <w:t>(Grattan Institute, 2023)</w:t>
      </w:r>
      <w:r>
        <w:fldChar w:fldCharType="end"/>
      </w:r>
      <w:r>
        <w:t>, p. 16.</w:t>
      </w:r>
    </w:p>
  </w:footnote>
  <w:footnote w:id="7">
    <w:p w14:paraId="6DB156AE" w14:textId="77777777" w:rsidR="006055F1" w:rsidRDefault="006055F1" w:rsidP="006055F1">
      <w:pPr>
        <w:pStyle w:val="FootnoteText"/>
      </w:pPr>
      <w:r>
        <w:rPr>
          <w:rStyle w:val="FootnoteReference"/>
        </w:rPr>
        <w:footnoteRef/>
      </w:r>
      <w:r>
        <w:t xml:space="preserve"> </w:t>
      </w:r>
      <w:r>
        <w:fldChar w:fldCharType="begin"/>
      </w:r>
      <w:r>
        <w:instrText xml:space="preserve"> ADDIN EN.CITE &lt;EndNote&gt;&lt;Cite&gt;&lt;Author&gt;DofE&lt;/Author&gt;&lt;Year&gt;2024&lt;/Year&gt;&lt;RecNum&gt;2785&lt;/RecNum&gt;&lt;DisplayText&gt;DofE, &lt;style face="italic"&gt;International student data - for the year-to-date&lt;/style&gt; (Department of Education, 2024)&lt;/DisplayText&gt;&lt;record&gt;&lt;rec-number&gt;2785&lt;/rec-number&gt;&lt;foreign-keys&gt;&lt;key app="EN" db-id="vvzd2dx21wzx23e9p9wxpde9was55s9aevsr" timestamp="1685841950"&gt;2785&lt;/key&gt;&lt;/foreign-keys&gt;&lt;ref-type name="Report"&gt;27&lt;/ref-type&gt;&lt;contributors&gt;&lt;authors&gt;&lt;author&gt;DofE&lt;/author&gt;&lt;/authors&gt;&lt;/contributors&gt;&lt;titles&gt;&lt;title&gt;International student data - for the year-to-date&lt;/title&gt;&lt;/titles&gt;&lt;dates&gt;&lt;year&gt;2024&lt;/year&gt;&lt;/dates&gt;&lt;publisher&gt;Department of Education&lt;/publisher&gt;&lt;urls&gt;&lt;/urls&gt;&lt;/record&gt;&lt;/Cite&gt;&lt;/EndNote&gt;</w:instrText>
      </w:r>
      <w:r>
        <w:fldChar w:fldCharType="separate"/>
      </w:r>
      <w:r>
        <w:rPr>
          <w:noProof/>
        </w:rPr>
        <w:t xml:space="preserve">DofE, </w:t>
      </w:r>
      <w:r w:rsidRPr="00653C60">
        <w:rPr>
          <w:i/>
          <w:noProof/>
        </w:rPr>
        <w:t>International student data - for the year-to-date</w:t>
      </w:r>
      <w:r>
        <w:rPr>
          <w:noProof/>
        </w:rPr>
        <w:t xml:space="preserve"> (Department of Education, 2024)</w:t>
      </w:r>
      <w:r>
        <w:fldChar w:fldCharType="end"/>
      </w:r>
      <w:r>
        <w:t>.</w:t>
      </w:r>
    </w:p>
  </w:footnote>
  <w:footnote w:id="8">
    <w:p w14:paraId="475730F8" w14:textId="77777777" w:rsidR="006055F1" w:rsidRDefault="006055F1" w:rsidP="006055F1">
      <w:pPr>
        <w:pStyle w:val="FootnoteText"/>
      </w:pPr>
      <w:r>
        <w:rPr>
          <w:rStyle w:val="FootnoteReference"/>
        </w:rPr>
        <w:footnoteRef/>
      </w:r>
      <w:r>
        <w:t xml:space="preserve"> This count only includes people who moved directly from a student visa or a temporary graduate visa to PR.  Former students or temporary graduate visa holders can move to another temporary visa and then to PR. As a rough guide to how many might be missing, 21% of people who arrived on a student visa between 2000 and 2017 and had PR by 2021 held 3 or more temporary visa sub-classes between arrival and PR: Calculated from: </w:t>
      </w:r>
      <w:r>
        <w:fldChar w:fldCharType="begin"/>
      </w:r>
      <w:r>
        <w:instrText xml:space="preserve"> ADDIN EN.CITE &lt;EndNote&gt;&lt;Cite&gt;&lt;Author&gt;DHA&lt;/Author&gt;&lt;Year&gt;2024&lt;/Year&gt;&lt;RecNum&gt;2693&lt;/RecNum&gt;&lt;DisplayText&gt;DHA, &lt;style face="italic"&gt;Student visa and temporary graduate visa program report&lt;/style&gt; (Department of Home Affairs, 2024)&lt;/DisplayText&gt;&lt;record&gt;&lt;rec-number&gt;2693&lt;/rec-number&gt;&lt;foreign-keys&gt;&lt;key app="EN" db-id="vvzd2dx21wzx23e9p9wxpde9was55s9aevsr" timestamp="1672887235"&gt;2693&lt;/key&gt;&lt;/foreign-keys&gt;&lt;ref-type name="Report"&gt;27&lt;/ref-type&gt;&lt;contributors&gt;&lt;authors&gt;&lt;author&gt;DHA&lt;/author&gt;&lt;/authors&gt;&lt;/contributors&gt;&lt;titles&gt;&lt;title&gt;Student visa and temporary graduate visa program report&lt;/title&gt;&lt;/titles&gt;&lt;dates&gt;&lt;year&gt;2024&lt;/year&gt;&lt;/dates&gt;&lt;publisher&gt;Department of Home Affairs&lt;/publisher&gt;&lt;urls&gt;&lt;/urls&gt;&lt;/record&gt;&lt;/Cite&gt;&lt;/EndNote&gt;</w:instrText>
      </w:r>
      <w:r>
        <w:fldChar w:fldCharType="separate"/>
      </w:r>
      <w:r>
        <w:rPr>
          <w:noProof/>
        </w:rPr>
        <w:t xml:space="preserve">DHA, </w:t>
      </w:r>
      <w:r w:rsidRPr="00653C60">
        <w:rPr>
          <w:i/>
          <w:noProof/>
        </w:rPr>
        <w:t>Student visa and temporary graduate visa program report</w:t>
      </w:r>
      <w:r>
        <w:rPr>
          <w:noProof/>
        </w:rPr>
        <w:t xml:space="preserve"> (Department of Home Affairs, 2024)</w:t>
      </w:r>
      <w:r>
        <w:fldChar w:fldCharType="end"/>
      </w:r>
      <w:r>
        <w:t xml:space="preserve">. </w:t>
      </w:r>
    </w:p>
  </w:footnote>
  <w:footnote w:id="9">
    <w:p w14:paraId="223AD09E" w14:textId="6CCD8088" w:rsidR="00C93A06" w:rsidRDefault="00C93A06">
      <w:pPr>
        <w:pStyle w:val="FootnoteText"/>
      </w:pPr>
      <w:r>
        <w:rPr>
          <w:rStyle w:val="FootnoteReference"/>
        </w:rPr>
        <w:footnoteRef/>
      </w:r>
      <w:r>
        <w:t xml:space="preserve"> As an example of the Department of Education data problems discussed above, the latest university applications data is for 2021. In that year low SES applicants were 23% of all health applicants, 24.5% of all teaching applicants, and 18.5% of applicants for other courses. Calculated from </w:t>
      </w:r>
      <w:r>
        <w:fldChar w:fldCharType="begin"/>
      </w:r>
      <w:r>
        <w:instrText xml:space="preserve"> ADDIN EN.CITE &lt;EndNote&gt;&lt;Cite&gt;&lt;Author&gt;DofE&lt;/Author&gt;&lt;Year&gt;2021&lt;/Year&gt;&lt;RecNum&gt;2484&lt;/RecNum&gt;&lt;DisplayText&gt;DofE, &lt;style face="italic"&gt;Undergraduate applications, offers and acceptances 2021&lt;/style&gt; (Department of Education, 2021)&lt;/DisplayText&gt;&lt;record&gt;&lt;rec-number&gt;2484&lt;/rec-number&gt;&lt;foreign-keys&gt;&lt;key app="EN" db-id="vvzd2dx21wzx23e9p9wxpde9was55s9aevsr" timestamp="1657520819" guid="b8b23b24-70a5-463f-8c6b-ff6e864e867f"&gt;2484&lt;/key&gt;&lt;/foreign-keys&gt;&lt;ref-type name="Report"&gt;27&lt;/ref-type&gt;&lt;contributors&gt;&lt;authors&gt;&lt;author&gt;DofE&lt;/author&gt;&lt;/authors&gt;&lt;/contributors&gt;&lt;titles&gt;&lt;title&gt;Undergraduate applications, offers and acceptances 2021&lt;/title&gt;&lt;/titles&gt;&lt;dates&gt;&lt;year&gt;2021&lt;/year&gt;&lt;/dates&gt;&lt;publisher&gt;Department of Education&lt;/publisher&gt;&lt;urls&gt;&lt;/urls&gt;&lt;/record&gt;&lt;/Cite&gt;&lt;/EndNote&gt;</w:instrText>
      </w:r>
      <w:r>
        <w:fldChar w:fldCharType="separate"/>
      </w:r>
      <w:r>
        <w:rPr>
          <w:noProof/>
        </w:rPr>
        <w:t xml:space="preserve">DofE, </w:t>
      </w:r>
      <w:r w:rsidRPr="00C93A06">
        <w:rPr>
          <w:i/>
          <w:noProof/>
        </w:rPr>
        <w:t>Undergraduate applications, offers and acceptances 2021</w:t>
      </w:r>
      <w:r>
        <w:rPr>
          <w:noProof/>
        </w:rPr>
        <w:t xml:space="preserve"> (Department of Education, 2021)</w:t>
      </w:r>
      <w:r>
        <w:fldChar w:fldCharType="end"/>
      </w:r>
      <w:r>
        <w:t xml:space="preserve">. </w:t>
      </w:r>
    </w:p>
  </w:footnote>
  <w:footnote w:id="10">
    <w:p w14:paraId="76FE7953" w14:textId="4BE125DA" w:rsidR="006055F1" w:rsidRDefault="006055F1" w:rsidP="006055F1">
      <w:pPr>
        <w:pStyle w:val="FootnoteText"/>
      </w:pPr>
      <w:r>
        <w:rPr>
          <w:rStyle w:val="FootnoteReference"/>
        </w:rPr>
        <w:footnoteRef/>
      </w:r>
      <w:r>
        <w:t xml:space="preserve"> Based on analysis comparing international nursing completions (</w:t>
      </w:r>
      <w:r>
        <w:fldChar w:fldCharType="begin"/>
      </w:r>
      <w:r>
        <w:instrText xml:space="preserve"> ADDIN EN.CITE &lt;EndNote&gt;&lt;Cite&gt;&lt;Author&gt;DofE&lt;/Author&gt;&lt;Year&gt;2024&lt;/Year&gt;&lt;RecNum&gt;2243&lt;/RecNum&gt;&lt;DisplayText&gt;DofE, &lt;style face="italic"&gt;uCube - Higher education statistics&lt;/style&gt; (Department of Education, 2024)&lt;/DisplayText&gt;&lt;record&gt;&lt;rec-number&gt;2243&lt;/rec-number&gt;&lt;foreign-keys&gt;&lt;key app="EN" db-id="vvzd2dx21wzx23e9p9wxpde9was55s9aevsr" timestamp="1657520815" guid="669be997-dcae-45e0-9ca8-8d441dbbc697"&gt;2243&lt;/key&gt;&lt;/foreign-keys&gt;&lt;ref-type name="Report"&gt;27&lt;/ref-type&gt;&lt;contributors&gt;&lt;authors&gt;&lt;author&gt;DofE,&lt;/author&gt;&lt;/authors&gt;&lt;/contributors&gt;&lt;titles&gt;&lt;title&gt;uCube - Higher education statistics&lt;/title&gt;&lt;/titles&gt;&lt;dates&gt;&lt;year&gt;2024&lt;/year&gt;&lt;/dates&gt;&lt;publisher&gt;Department of Education&lt;/publisher&gt;&lt;urls&gt;&lt;related-urls&gt;&lt;url&gt;&lt;style face="underline" font="default" size="100%"&gt;http://highereducationstatistics.education.gov.au/&lt;/style&gt;&lt;/url&gt;&lt;/related-urls&gt;&lt;/urls&gt;&lt;/record&gt;&lt;/Cite&gt;&lt;/EndNote&gt;</w:instrText>
      </w:r>
      <w:r>
        <w:fldChar w:fldCharType="separate"/>
      </w:r>
      <w:r>
        <w:rPr>
          <w:noProof/>
        </w:rPr>
        <w:t xml:space="preserve">DofE, </w:t>
      </w:r>
      <w:r w:rsidRPr="00690C4E">
        <w:rPr>
          <w:i/>
          <w:noProof/>
        </w:rPr>
        <w:t>uCube - Higher education statistics</w:t>
      </w:r>
      <w:r>
        <w:rPr>
          <w:noProof/>
        </w:rPr>
        <w:t xml:space="preserve"> (Department of Education, 2024)</w:t>
      </w:r>
      <w:r>
        <w:fldChar w:fldCharType="end"/>
      </w:r>
      <w:r>
        <w:t xml:space="preserve">; </w:t>
      </w:r>
      <w:r>
        <w:fldChar w:fldCharType="begin"/>
      </w:r>
      <w:r>
        <w:instrText xml:space="preserve"> ADDIN EN.CITE &lt;EndNote&gt;&lt;Cite&gt;&lt;Author&gt;DofE&lt;/Author&gt;&lt;Year&gt;2024&lt;/Year&gt;&lt;RecNum&gt;2680&lt;/RecNum&gt;&lt;DisplayText&gt;DofE, &lt;style face="italic"&gt;Award course completions pivot table 2022&lt;/style&gt; (Department of Education, 2024)&lt;/DisplayText&gt;&lt;record&gt;&lt;rec-number&gt;2680&lt;/rec-number&gt;&lt;foreign-keys&gt;&lt;key app="EN" db-id="vvzd2dx21wzx23e9p9wxpde9was55s9aevsr" timestamp="1670898693"&gt;2680&lt;/key&gt;&lt;/foreign-keys&gt;&lt;ref-type name="Report"&gt;27&lt;/ref-type&gt;&lt;contributors&gt;&lt;authors&gt;&lt;author&gt;DofE&lt;/author&gt;&lt;/authors&gt;&lt;/contributors&gt;&lt;titles&gt;&lt;title&gt;Award course completions pivot table 2022&lt;/title&gt;&lt;/titles&gt;&lt;dates&gt;&lt;year&gt;2024&lt;/year&gt;&lt;/dates&gt;&lt;publisher&gt;Department of Education&lt;/publisher&gt;&lt;urls&gt;&lt;/urls&gt;&lt;/record&gt;&lt;/Cite&gt;&lt;/EndNote&gt;</w:instrText>
      </w:r>
      <w:r>
        <w:fldChar w:fldCharType="separate"/>
      </w:r>
      <w:r>
        <w:rPr>
          <w:noProof/>
        </w:rPr>
        <w:t xml:space="preserve">DofE, </w:t>
      </w:r>
      <w:r w:rsidRPr="00690C4E">
        <w:rPr>
          <w:i/>
          <w:noProof/>
        </w:rPr>
        <w:t>Award course completions pivot table 2022</w:t>
      </w:r>
      <w:r>
        <w:rPr>
          <w:noProof/>
        </w:rPr>
        <w:t xml:space="preserve"> (Department of Education, 2024)</w:t>
      </w:r>
      <w:r>
        <w:fldChar w:fldCharType="end"/>
      </w:r>
      <w:r>
        <w:t xml:space="preserve"> with Census linked data on former international students (</w:t>
      </w:r>
      <w:r>
        <w:fldChar w:fldCharType="begin"/>
      </w:r>
      <w:r>
        <w:instrText xml:space="preserve"> ADDIN EN.CITE &lt;EndNote&gt;&lt;Cite&gt;&lt;Author&gt;ABS&lt;/Author&gt;&lt;Year&gt;2023&lt;/Year&gt;&lt;RecNum&gt;2854&lt;/RecNum&gt;&lt;DisplayText&gt;ABS, &lt;style face="italic"&gt;Australian Census and Migrants, 2021 TableBuilder&lt;/style&gt; (Australian Bureau of Statistics, 2023)&lt;/DisplayText&gt;&lt;record&gt;&lt;rec-number&gt;2854&lt;/rec-number&gt;&lt;foreign-keys&gt;&lt;key app="EN" db-id="vvzd2dx21wzx23e9p9wxpde9was55s9aevsr" timestamp="1719794313"&gt;2854&lt;/key&gt;&lt;/foreign-keys&gt;&lt;ref-type name="Report"&gt;27&lt;/ref-type&gt;&lt;contributors&gt;&lt;authors&gt;&lt;author&gt;ABS&lt;/author&gt;&lt;/authors&gt;&lt;/contributors&gt;&lt;titles&gt;&lt;title&gt;Australian Census and Migrants, 2021 TableBuilder&lt;/title&gt;&lt;/titles&gt;&lt;dates&gt;&lt;year&gt;2023&lt;/year&gt;&lt;/dates&gt;&lt;publisher&gt;Australian Bureau of Statistics&lt;/publisher&gt;&lt;urls&gt;&lt;/urls&gt;&lt;/record&gt;&lt;/Cite&gt;&lt;/EndNote&gt;</w:instrText>
      </w:r>
      <w:r>
        <w:fldChar w:fldCharType="separate"/>
      </w:r>
      <w:r>
        <w:rPr>
          <w:noProof/>
        </w:rPr>
        <w:t xml:space="preserve">ABS, </w:t>
      </w:r>
      <w:r w:rsidRPr="00690C4E">
        <w:rPr>
          <w:i/>
          <w:noProof/>
        </w:rPr>
        <w:t>Australian Census and Migrants, 2021 TableBuilder</w:t>
      </w:r>
      <w:r>
        <w:rPr>
          <w:noProof/>
        </w:rPr>
        <w:t xml:space="preserve"> (Australian Bureau of Statistics, 2023)</w:t>
      </w:r>
      <w:r>
        <w:fldChar w:fldCharType="end"/>
      </w:r>
      <w:r>
        <w:t xml:space="preserve">; </w:t>
      </w:r>
      <w:r>
        <w:fldChar w:fldCharType="begin"/>
      </w:r>
      <w:r w:rsidR="00977CD7">
        <w:instrText xml:space="preserve"> ADDIN EN.CITE &lt;EndNote&gt;&lt;Cite&gt;&lt;Author&gt;ABS&lt;/Author&gt;&lt;Year&gt;2023&lt;/Year&gt;&lt;RecNum&gt;2855&lt;/RecNum&gt;&lt;DisplayText&gt;ABS, &lt;style face="italic"&gt;Australian Census and Temporary Entrants 2021 TableBuilder&lt;/style&gt; (Australian Bureau of Statistics, 2023)&lt;/DisplayText&gt;&lt;record&gt;&lt;rec-number&gt;2855&lt;/rec-number&gt;&lt;foreign-keys&gt;&lt;key app="EN" db-id="vvzd2dx21wzx23e9p9wxpde9was55s9aevsr" timestamp="1719794368"&gt;2855&lt;/key&gt;&lt;/foreign-keys&gt;&lt;ref-type name="Report"&gt;27&lt;/ref-type&gt;&lt;contributors&gt;&lt;authors&gt;&lt;author&gt;ABS&lt;/author&gt;&lt;/authors&gt;&lt;/contributors&gt;&lt;titles&gt;&lt;title&gt;Australian Census and Temporary Entrants 2021 TableBuilder&lt;/title&gt;&lt;/titles&gt;&lt;dates&gt;&lt;year&gt;2023&lt;/year&gt;&lt;/dates&gt;&lt;publisher&gt;Australian Bureau of Statistics&lt;/publisher&gt;&lt;urls&gt;&lt;/urls&gt;&lt;/record&gt;&lt;/Cite&gt;&lt;/EndNote&gt;</w:instrText>
      </w:r>
      <w:r>
        <w:fldChar w:fldCharType="separate"/>
      </w:r>
      <w:r w:rsidR="00977CD7">
        <w:rPr>
          <w:noProof/>
        </w:rPr>
        <w:t xml:space="preserve">ABS, </w:t>
      </w:r>
      <w:r w:rsidR="00977CD7" w:rsidRPr="00977CD7">
        <w:rPr>
          <w:i/>
          <w:noProof/>
        </w:rPr>
        <w:t>Australian Census and Temporary Entrants 2021 TableBuilder</w:t>
      </w:r>
      <w:r w:rsidR="00977CD7">
        <w:rPr>
          <w:noProof/>
        </w:rPr>
        <w:t xml:space="preserve"> (Australian Bureau of Statistics, 2023)</w:t>
      </w:r>
      <w:r>
        <w:fldChar w:fldCharType="end"/>
      </w:r>
      <w:r>
        <w:t xml:space="preserve">. </w:t>
      </w:r>
    </w:p>
  </w:footnote>
  <w:footnote w:id="11">
    <w:p w14:paraId="62BD9CA2" w14:textId="6FB813E4" w:rsidR="007B77D9" w:rsidRDefault="007B77D9">
      <w:pPr>
        <w:pStyle w:val="FootnoteText"/>
      </w:pPr>
      <w:r>
        <w:rPr>
          <w:rStyle w:val="FootnoteReference"/>
        </w:rPr>
        <w:footnoteRef/>
      </w:r>
      <w:r>
        <w:t xml:space="preserve"> </w:t>
      </w:r>
      <w:r>
        <w:fldChar w:fldCharType="begin"/>
      </w:r>
      <w:r w:rsidR="006055F1">
        <w:instrText xml:space="preserve"> ADDIN EN.CITE &lt;EndNote&gt;&lt;Cite&gt;&lt;Author&gt;Australian Government&lt;/Author&gt;&lt;Year&gt;2024&lt;/Year&gt;&lt;RecNum&gt;2844&lt;/RecNum&gt;&lt;DisplayText&gt;Australian Government, &lt;style face="italic"&gt;Australia&amp;apos;s international education and skills strategic framework (Draft for consultation)&lt;/style&gt;&lt;/DisplayText&gt;&lt;record&gt;&lt;rec-number&gt;2844&lt;/rec-number&gt;&lt;foreign-keys&gt;&lt;key app="EN" db-id="vvzd2dx21wzx23e9p9wxpde9was55s9aevsr" timestamp="1719554259"&gt;2844&lt;/key&gt;&lt;/foreign-keys&gt;&lt;ref-type name="Report"&gt;27&lt;/ref-type&gt;&lt;contributors&gt;&lt;authors&gt;&lt;author&gt;Australian Government,&lt;/author&gt;&lt;/authors&gt;&lt;/contributors&gt;&lt;titles&gt;&lt;title&gt;Australia&amp;apos;s international education and skills strategic framework (Draft for consultation)&lt;/title&gt;&lt;/titles&gt;&lt;dates&gt;&lt;year&gt;2024&lt;/year&gt;&lt;/dates&gt;&lt;publisher&gt;Department of Education&lt;/publisher&gt;&lt;urls&gt;&lt;/urls&gt;&lt;/record&gt;&lt;/Cite&gt;&lt;/EndNote&gt;</w:instrText>
      </w:r>
      <w:r>
        <w:fldChar w:fldCharType="separate"/>
      </w:r>
      <w:r w:rsidR="006055F1">
        <w:rPr>
          <w:noProof/>
        </w:rPr>
        <w:t xml:space="preserve">Australian Government, </w:t>
      </w:r>
      <w:r w:rsidR="006055F1" w:rsidRPr="006055F1">
        <w:rPr>
          <w:i/>
          <w:noProof/>
        </w:rPr>
        <w:t>Australia's international education and skills strategic framework (Draft for consultation)</w:t>
      </w:r>
      <w:r>
        <w:fldChar w:fldCharType="end"/>
      </w:r>
      <w:r>
        <w:t xml:space="preserve">, pp. 16, 21. </w:t>
      </w:r>
    </w:p>
  </w:footnote>
  <w:footnote w:id="12">
    <w:p w14:paraId="6F09D997" w14:textId="02339E78" w:rsidR="00995921" w:rsidRDefault="00995921">
      <w:pPr>
        <w:pStyle w:val="FootnoteText"/>
      </w:pPr>
      <w:r>
        <w:rPr>
          <w:rStyle w:val="FootnoteReference"/>
        </w:rPr>
        <w:footnoteRef/>
      </w:r>
      <w:r>
        <w:t xml:space="preserve"> For example in NSW a </w:t>
      </w:r>
      <w:r w:rsidR="00CE69E6">
        <w:t xml:space="preserve">city university non-Group of Eight </w:t>
      </w:r>
      <w:r>
        <w:t xml:space="preserve">business degree at Macquarie University costs $43,200 a year and at UTS it costs $44,920. At </w:t>
      </w:r>
      <w:r w:rsidR="00CE69E6">
        <w:t xml:space="preserve">the University of Newcastle the fee is $35,655 and at Wollongong it costs $32,488. At the University of New England it costs $30,200. </w:t>
      </w:r>
      <w:r w:rsidR="00D87145">
        <w:t xml:space="preserve">For an old but more detailed analysis of these patterns see </w:t>
      </w:r>
      <w:r w:rsidR="00875DA6">
        <w:fldChar w:fldCharType="begin"/>
      </w:r>
      <w:r w:rsidR="00875DA6">
        <w:instrText xml:space="preserve"> ADDIN EN.CITE &lt;EndNote&gt;&lt;Cite&gt;&lt;Author&gt;Norton&lt;/Author&gt;&lt;Year&gt;2015&lt;/Year&gt;&lt;RecNum&gt;1141&lt;/RecNum&gt;&lt;DisplayText&gt;A. Norton and I. Cherastidtham, &lt;style face="italic"&gt;University fees: what students pay in deregulated markets&lt;/style&gt; (Grattan Institute, 2015)&lt;/DisplayText&gt;&lt;record&gt;&lt;rec-number&gt;1141&lt;/rec-number&gt;&lt;foreign-keys&gt;&lt;key app="EN" db-id="vvzd2dx21wzx23e9p9wxpde9was55s9aevsr" timestamp="1657520796" guid="a3d3e912-decf-4855-aff0-4d084ede0de6"&gt;1141&lt;/key&gt;&lt;/foreign-keys&gt;&lt;ref-type name="Report"&gt;27&lt;/ref-type&gt;&lt;contributors&gt;&lt;authors&gt;&lt;author&gt;Norton, A.&lt;/author&gt;&lt;author&gt;Cherastidtham, I.&lt;/author&gt;&lt;/authors&gt;&lt;/contributors&gt;&lt;titles&gt;&lt;title&gt;University fees: what students pay in deregulated markets&lt;/title&gt;&lt;/titles&gt;&lt;dates&gt;&lt;year&gt;2015&lt;/year&gt;&lt;/dates&gt;&lt;publisher&gt;Grattan Institute&lt;/publisher&gt;&lt;urls&gt;&lt;/urls&gt;&lt;/record&gt;&lt;/Cite&gt;&lt;/EndNote&gt;</w:instrText>
      </w:r>
      <w:r w:rsidR="00875DA6">
        <w:fldChar w:fldCharType="separate"/>
      </w:r>
      <w:r w:rsidR="00875DA6">
        <w:rPr>
          <w:noProof/>
        </w:rPr>
        <w:t xml:space="preserve">A. Norton and I. Cherastidtham, </w:t>
      </w:r>
      <w:r w:rsidR="00875DA6" w:rsidRPr="00875DA6">
        <w:rPr>
          <w:i/>
          <w:noProof/>
        </w:rPr>
        <w:t>University fees: what students pay in deregulated markets</w:t>
      </w:r>
      <w:r w:rsidR="00875DA6">
        <w:rPr>
          <w:noProof/>
        </w:rPr>
        <w:t xml:space="preserve"> (Grattan Institute, 2015)</w:t>
      </w:r>
      <w:r w:rsidR="00875DA6">
        <w:fldChar w:fldCharType="end"/>
      </w:r>
      <w:r w:rsidR="00875DA6">
        <w:t>.</w:t>
      </w:r>
    </w:p>
  </w:footnote>
  <w:footnote w:id="13">
    <w:p w14:paraId="671BB72C" w14:textId="23BC3CD2" w:rsidR="00C27AFA" w:rsidRDefault="00C27AFA">
      <w:pPr>
        <w:pStyle w:val="FootnoteText"/>
      </w:pPr>
      <w:r>
        <w:rPr>
          <w:rStyle w:val="FootnoteReference"/>
        </w:rPr>
        <w:footnoteRef/>
      </w:r>
      <w:r w:rsidR="00875DA6">
        <w:t xml:space="preserve"> </w:t>
      </w:r>
      <w:r w:rsidR="00875DA6">
        <w:fldChar w:fldCharType="begin"/>
      </w:r>
      <w:r w:rsidR="00977CD7">
        <w:instrText xml:space="preserve"> ADDIN EN.CITE &lt;EndNote&gt;&lt;Cite&gt;&lt;Author&gt;SRC&lt;/Author&gt;&lt;Year&gt;2023&lt;/Year&gt;&lt;RecNum&gt;2795&lt;/RecNum&gt;&lt;DisplayText&gt;SRC, &lt;style face="italic"&gt;2022 Student Experience Survey: the international student experience&lt;/style&gt;&lt;/DisplayText&gt;&lt;record&gt;&lt;rec-number&gt;2795&lt;/rec-number&gt;&lt;foreign-keys&gt;&lt;key app="EN" db-id="vvzd2dx21wzx23e9p9wxpde9was55s9aevsr" timestamp="1688624749"&gt;2795&lt;/key&gt;&lt;/foreign-keys&gt;&lt;ref-type name="Report"&gt;27&lt;/ref-type&gt;&lt;contributors&gt;&lt;authors&gt;&lt;author&gt;SRC&lt;/author&gt;&lt;/authors&gt;&lt;/contributors&gt;&lt;titles&gt;&lt;title&gt;2022 Student Experience Survey: the international student experience&lt;/title&gt;&lt;/titles&gt;&lt;dates&gt;&lt;year&gt;2023&lt;/year&gt;&lt;/dates&gt;&lt;publisher&gt;Social Research Centre/Department of Education&lt;/publisher&gt;&lt;urls&gt;&lt;/urls&gt;&lt;/record&gt;&lt;/Cite&gt;&lt;/EndNote&gt;</w:instrText>
      </w:r>
      <w:r w:rsidR="00875DA6">
        <w:fldChar w:fldCharType="separate"/>
      </w:r>
      <w:r w:rsidR="00977CD7">
        <w:rPr>
          <w:noProof/>
        </w:rPr>
        <w:t xml:space="preserve">SRC, </w:t>
      </w:r>
      <w:r w:rsidR="00977CD7" w:rsidRPr="00977CD7">
        <w:rPr>
          <w:i/>
          <w:noProof/>
        </w:rPr>
        <w:t>2022 Student Experience Survey: the international student experience</w:t>
      </w:r>
      <w:r w:rsidR="00875DA6">
        <w:fldChar w:fldCharType="end"/>
      </w:r>
      <w:r>
        <w:t>, p. 32.</w:t>
      </w:r>
    </w:p>
  </w:footnote>
  <w:footnote w:id="14">
    <w:p w14:paraId="0FAAF963" w14:textId="6E4191FF" w:rsidR="00C27AFA" w:rsidRDefault="00C27AFA">
      <w:pPr>
        <w:pStyle w:val="FootnoteText"/>
      </w:pPr>
      <w:r>
        <w:rPr>
          <w:rStyle w:val="FootnoteReference"/>
        </w:rPr>
        <w:footnoteRef/>
      </w:r>
      <w:r w:rsidR="00875DA6">
        <w:t xml:space="preserve"> </w:t>
      </w:r>
      <w:r w:rsidR="00875DA6">
        <w:fldChar w:fldCharType="begin"/>
      </w:r>
      <w:r w:rsidR="00875DA6">
        <w:instrText xml:space="preserve"> ADDIN EN.CITE &lt;EndNote&gt;&lt;Cite&gt;&lt;Author&gt;Coates&lt;/Author&gt;&lt;Year&gt;2024&lt;/Year&gt;&lt;RecNum&gt;2846&lt;/RecNum&gt;&lt;DisplayText&gt;B. Coates, T. Wiltshire and N. Bradshaw, &lt;style face="italic"&gt;It all adds up: reforming points-tested visas &lt;/style&gt;(Grattan Institute, 2024)&lt;/DisplayText&gt;&lt;record&gt;&lt;rec-number&gt;2846&lt;/rec-number&gt;&lt;foreign-keys&gt;&lt;key app="EN" db-id="vvzd2dx21wzx23e9p9wxpde9was55s9aevsr" timestamp="1719790451"&gt;2846&lt;/key&gt;&lt;/foreign-keys&gt;&lt;ref-type name="Report"&gt;27&lt;/ref-type&gt;&lt;contributors&gt;&lt;authors&gt;&lt;author&gt;Coates, B.&lt;/author&gt;&lt;author&gt;Wiltshire, T.&lt;/author&gt;&lt;author&gt;Bradshaw, N.&lt;/author&gt;&lt;/authors&gt;&lt;/contributors&gt;&lt;titles&gt;&lt;title&gt;It all adds up: reforming points-tested visas &lt;/title&gt;&lt;/titles&gt;&lt;dates&gt;&lt;year&gt;2024&lt;/year&gt;&lt;/dates&gt;&lt;publisher&gt;Grattan Institute&lt;/publisher&gt;&lt;urls&gt;&lt;/urls&gt;&lt;/record&gt;&lt;/Cite&gt;&lt;/EndNote&gt;</w:instrText>
      </w:r>
      <w:r w:rsidR="00875DA6">
        <w:fldChar w:fldCharType="separate"/>
      </w:r>
      <w:r w:rsidR="00875DA6">
        <w:rPr>
          <w:noProof/>
        </w:rPr>
        <w:t xml:space="preserve">B. Coates, T. Wiltshire and N. Bradshaw, </w:t>
      </w:r>
      <w:r w:rsidR="00875DA6" w:rsidRPr="00875DA6">
        <w:rPr>
          <w:i/>
          <w:noProof/>
        </w:rPr>
        <w:t xml:space="preserve">It all adds up: reforming points-tested visas </w:t>
      </w:r>
      <w:r w:rsidR="00875DA6">
        <w:rPr>
          <w:noProof/>
        </w:rPr>
        <w:t>(Grattan Institute, 2024)</w:t>
      </w:r>
      <w:r w:rsidR="00875DA6">
        <w:fldChar w:fldCharType="end"/>
      </w:r>
      <w:r>
        <w:t>, p. 17</w:t>
      </w:r>
      <w:r w:rsidR="00875DA6">
        <w:t>.</w:t>
      </w:r>
    </w:p>
  </w:footnote>
  <w:footnote w:id="15">
    <w:p w14:paraId="7BA45E7A" w14:textId="231270A5" w:rsidR="007D621B" w:rsidRDefault="007D621B">
      <w:pPr>
        <w:pStyle w:val="FootnoteText"/>
      </w:pPr>
      <w:r>
        <w:rPr>
          <w:rStyle w:val="FootnoteReference"/>
        </w:rPr>
        <w:footnoteRef/>
      </w:r>
      <w:r>
        <w:t xml:space="preserve"> See the Department of Home Affairs website, Designated regional areas page: </w:t>
      </w:r>
      <w:r w:rsidRPr="007D621B">
        <w:t>https://immi.homeaffairs.gov.au/visas/working-in-australia/regional-migration/eligible-regional-areas</w:t>
      </w:r>
    </w:p>
  </w:footnote>
  <w:footnote w:id="16">
    <w:p w14:paraId="526512F5" w14:textId="12CC218E" w:rsidR="004A13F7" w:rsidRDefault="004A13F7">
      <w:pPr>
        <w:pStyle w:val="FootnoteText"/>
      </w:pPr>
      <w:r>
        <w:rPr>
          <w:rStyle w:val="FootnoteReference"/>
        </w:rPr>
        <w:footnoteRef/>
      </w:r>
      <w:r>
        <w:t xml:space="preserve"> As of the 2021 Census international student employment rates were </w:t>
      </w:r>
      <w:r w:rsidR="009C0FE4">
        <w:t>higher in regional areas (69%) than major cities (60%). However the absolute numbers of employed students were 17,000 in the regions and 202,000 in major cities. The differences may also reflect country of origin differences, with Chinese students that favour major city universities being mu</w:t>
      </w:r>
      <w:r w:rsidR="00AA31C9">
        <w:t>ch</w:t>
      </w:r>
      <w:r w:rsidR="009C0FE4">
        <w:t xml:space="preserve"> less likely to work than students from India or Nepal. </w:t>
      </w:r>
      <w:r w:rsidR="00AA31C9">
        <w:t xml:space="preserve">In the May 2023 ABS Education and Work survey, 81% of students from Southern and Central Asian countries reported working, compared to 24% of students from North-East Asia. </w:t>
      </w:r>
      <w:proofErr w:type="spellStart"/>
      <w:r w:rsidR="007D621B">
        <w:t>Caclulated</w:t>
      </w:r>
      <w:proofErr w:type="spellEnd"/>
      <w:r w:rsidR="007D621B">
        <w:t xml:space="preserve"> from </w:t>
      </w:r>
      <w:r w:rsidR="007D621B">
        <w:fldChar w:fldCharType="begin"/>
      </w:r>
      <w:r w:rsidR="007D621B">
        <w:instrText xml:space="preserve"> ADDIN EN.CITE &lt;EndNote&gt;&lt;Cite&gt;&lt;Author&gt;ABS&lt;/Author&gt;&lt;Year&gt;2024&lt;/Year&gt;&lt;RecNum&gt;2847&lt;/RecNum&gt;&lt;DisplayText&gt;ABS, &lt;style face="italic"&gt;Education and Work, TableBuilder&lt;/style&gt; (Australian Bureau of Statistics, 2024)&lt;/DisplayText&gt;&lt;record&gt;&lt;rec-number&gt;2847&lt;/rec-number&gt;&lt;foreign-keys&gt;&lt;key app="EN" db-id="vvzd2dx21wzx23e9p9wxpde9was55s9aevsr" timestamp="1719790720"&gt;2847&lt;/key&gt;&lt;/foreign-keys&gt;&lt;ref-type name="Report"&gt;27&lt;/ref-type&gt;&lt;contributors&gt;&lt;authors&gt;&lt;author&gt;ABS&lt;/author&gt;&lt;/authors&gt;&lt;/contributors&gt;&lt;titles&gt;&lt;title&gt;Education and Work, TableBuilder&lt;/title&gt;&lt;/titles&gt;&lt;dates&gt;&lt;year&gt;2024&lt;/year&gt;&lt;/dates&gt;&lt;publisher&gt;Australian Bureau of Statistics&lt;/publisher&gt;&lt;urls&gt;&lt;/urls&gt;&lt;/record&gt;&lt;/Cite&gt;&lt;/EndNote&gt;</w:instrText>
      </w:r>
      <w:r w:rsidR="007D621B">
        <w:fldChar w:fldCharType="separate"/>
      </w:r>
      <w:r w:rsidR="007D621B">
        <w:rPr>
          <w:noProof/>
        </w:rPr>
        <w:t xml:space="preserve">ABS, </w:t>
      </w:r>
      <w:r w:rsidR="007D621B" w:rsidRPr="007D621B">
        <w:rPr>
          <w:i/>
          <w:noProof/>
        </w:rPr>
        <w:t>Education and Work, TableBuilder</w:t>
      </w:r>
      <w:r w:rsidR="007D621B">
        <w:rPr>
          <w:noProof/>
        </w:rPr>
        <w:t xml:space="preserve"> (Australian Bureau of Statistics, 2024)</w:t>
      </w:r>
      <w:r w:rsidR="007D621B">
        <w:fldChar w:fldCharType="end"/>
      </w:r>
      <w:r w:rsidR="007D621B">
        <w:t xml:space="preserve">. </w:t>
      </w:r>
    </w:p>
  </w:footnote>
  <w:footnote w:id="17">
    <w:p w14:paraId="6B0D7D02" w14:textId="071E53BE" w:rsidR="00BF2C57" w:rsidRDefault="00BF2C57">
      <w:pPr>
        <w:pStyle w:val="FootnoteText"/>
      </w:pPr>
      <w:r>
        <w:rPr>
          <w:rStyle w:val="FootnoteReference"/>
        </w:rPr>
        <w:footnoteRef/>
      </w:r>
      <w:r>
        <w:t xml:space="preserve"> </w:t>
      </w:r>
      <w:r>
        <w:fldChar w:fldCharType="begin"/>
      </w:r>
      <w:r>
        <w:instrText xml:space="preserve"> ADDIN EN.CITE &lt;EndNote&gt;&lt;Cite&gt;&lt;Author&gt;Hare&lt;/Author&gt;&lt;Year&gt;2024&lt;/Year&gt;&lt;RecNum&gt;2848&lt;/RecNum&gt;&lt;DisplayText&gt;J. Hare, ‘Mass lay-offs at regional uni as international enrolments slump 90pc’, &lt;style face="italic"&gt;Australian Financial Review&lt;/style&gt;, 26 April 2024.&lt;/DisplayText&gt;&lt;record&gt;&lt;rec-number&gt;2848&lt;/rec-number&gt;&lt;foreign-keys&gt;&lt;key app="EN" db-id="vvzd2dx21wzx23e9p9wxpde9was55s9aevsr" timestamp="1719791136"&gt;2848&lt;/key&gt;&lt;/foreign-keys&gt;&lt;ref-type name="Newspaper Article"&gt;23&lt;/ref-type&gt;&lt;contributors&gt;&lt;authors&gt;&lt;author&gt;Hare, J.&lt;/author&gt;&lt;/authors&gt;&lt;/contributors&gt;&lt;titles&gt;&lt;title&gt;Mass lay-offs at regional uni as international enrolments slump 90pc&lt;/title&gt;&lt;secondary-title&gt;Australian Financial Review&lt;/secondary-title&gt;&lt;/titles&gt;&lt;dates&gt;&lt;year&gt;2024&lt;/year&gt;&lt;pub-dates&gt;&lt;date&gt;26 April&lt;/date&gt;&lt;/pub-dates&gt;&lt;/dates&gt;&lt;urls&gt;&lt;/urls&gt;&lt;/record&gt;&lt;/Cite&gt;&lt;/EndNote&gt;</w:instrText>
      </w:r>
      <w:r>
        <w:fldChar w:fldCharType="separate"/>
      </w:r>
      <w:r>
        <w:rPr>
          <w:noProof/>
        </w:rPr>
        <w:t xml:space="preserve">J. Hare, ‘Mass lay-offs at regional uni as international enrolments slump 90pc’, </w:t>
      </w:r>
      <w:r w:rsidRPr="00BF2C57">
        <w:rPr>
          <w:i/>
          <w:noProof/>
        </w:rPr>
        <w:t>Australian Financial Review</w:t>
      </w:r>
      <w:r>
        <w:rPr>
          <w:noProof/>
        </w:rPr>
        <w:t>, 26 April 2024.</w:t>
      </w:r>
      <w:r>
        <w:fldChar w:fldCharType="end"/>
      </w:r>
    </w:p>
  </w:footnote>
  <w:footnote w:id="18">
    <w:p w14:paraId="6D64F8F3" w14:textId="2A566FBF" w:rsidR="004A13F7" w:rsidRDefault="004A13F7" w:rsidP="004A13F7">
      <w:pPr>
        <w:pStyle w:val="FootnoteText"/>
      </w:pPr>
      <w:r>
        <w:rPr>
          <w:rStyle w:val="FootnoteReference"/>
        </w:rPr>
        <w:footnoteRef/>
      </w:r>
      <w:r>
        <w:t xml:space="preserve"> </w:t>
      </w:r>
      <w:r w:rsidR="00674E44">
        <w:t xml:space="preserve"> </w:t>
      </w:r>
      <w:r w:rsidR="00674E44">
        <w:fldChar w:fldCharType="begin"/>
      </w:r>
      <w:r w:rsidR="00674E44">
        <w:instrText xml:space="preserve"> ADDIN EN.CITE &lt;EndNote&gt;&lt;Cite&gt;&lt;Author&gt;Australian Government&lt;/Author&gt;&lt;Year&gt;2023&lt;/Year&gt;&lt;RecNum&gt;2845&lt;/RecNum&gt;&lt;DisplayText&gt;Australian Government, &lt;style face="italic"&gt;Migration strategy: Getting migation working for the nation&lt;/style&gt; (Department of Home Affairs 2023)&lt;/DisplayText&gt;&lt;record&gt;&lt;rec-number&gt;2845&lt;/rec-number&gt;&lt;foreign-keys&gt;&lt;key app="EN" db-id="vvzd2dx21wzx23e9p9wxpde9was55s9aevsr" timestamp="1719560703"&gt;2845&lt;/key&gt;&lt;/foreign-keys&gt;&lt;ref-type name="Report"&gt;27&lt;/ref-type&gt;&lt;contributors&gt;&lt;authors&gt;&lt;author&gt;Australian Government,&lt;/author&gt;&lt;/authors&gt;&lt;/contributors&gt;&lt;titles&gt;&lt;title&gt;Migration strategy: Getting migation working for the nation&lt;/title&gt;&lt;/titles&gt;&lt;dates&gt;&lt;year&gt;2023&lt;/year&gt;&lt;/dates&gt;&lt;publisher&gt;Department of Home Affairs &lt;/publisher&gt;&lt;urls&gt;&lt;/urls&gt;&lt;/record&gt;&lt;/Cite&gt;&lt;/EndNote&gt;</w:instrText>
      </w:r>
      <w:r w:rsidR="00674E44">
        <w:fldChar w:fldCharType="separate"/>
      </w:r>
      <w:r w:rsidR="00674E44">
        <w:rPr>
          <w:noProof/>
        </w:rPr>
        <w:t xml:space="preserve">Australian Government, </w:t>
      </w:r>
      <w:r w:rsidR="00674E44" w:rsidRPr="00674E44">
        <w:rPr>
          <w:i/>
          <w:noProof/>
        </w:rPr>
        <w:t>Migration strategy: Getting migation working for the nation</w:t>
      </w:r>
      <w:r w:rsidR="00674E44">
        <w:rPr>
          <w:noProof/>
        </w:rPr>
        <w:t xml:space="preserve"> (Department of Home Affairs 2023)</w:t>
      </w:r>
      <w:r w:rsidR="00674E44">
        <w:fldChar w:fldCharType="end"/>
      </w:r>
      <w:r w:rsidR="00674E44">
        <w:t>,</w:t>
      </w:r>
      <w:r>
        <w:t xml:space="preserve"> p. 56</w:t>
      </w:r>
      <w:r w:rsidR="00674E44">
        <w:t>;</w:t>
      </w:r>
      <w:r>
        <w:t xml:space="preserve"> </w:t>
      </w:r>
      <w:r w:rsidR="00674E44">
        <w:fldChar w:fldCharType="begin"/>
      </w:r>
      <w:r w:rsidR="00674E44">
        <w:instrText xml:space="preserve"> ADDIN EN.CITE &lt;EndNote&gt;&lt;Cite&gt;&lt;Author&gt;Australian Government&lt;/Author&gt;&lt;Year&gt;2024&lt;/Year&gt;&lt;RecNum&gt;2850&lt;/RecNum&gt;&lt;DisplayText&gt;Australian Government, &lt;style face="italic"&gt;Review of the point test - discussion paper April 2024&lt;/style&gt; (Department of Home Affairs, 2024)&lt;/DisplayText&gt;&lt;record&gt;&lt;rec-number&gt;2850&lt;/rec-number&gt;&lt;foreign-keys&gt;&lt;key app="EN" db-id="vvzd2dx21wzx23e9p9wxpde9was55s9aevsr" timestamp="1719792071"&gt;2850&lt;/key&gt;&lt;/foreign-keys&gt;&lt;ref-type name="Report"&gt;27&lt;/ref-type&gt;&lt;contributors&gt;&lt;authors&gt;&lt;author&gt;Australian Government, &lt;/author&gt;&lt;/authors&gt;&lt;/contributors&gt;&lt;titles&gt;&lt;title&gt;Review of the point test - discussion paper April 2024&lt;/title&gt;&lt;/titles&gt;&lt;dates&gt;&lt;year&gt;2024&lt;/year&gt;&lt;/dates&gt;&lt;publisher&gt;Department of Home Affairs&lt;/publisher&gt;&lt;urls&gt;&lt;/urls&gt;&lt;/record&gt;&lt;/Cite&gt;&lt;/EndNote&gt;</w:instrText>
      </w:r>
      <w:r w:rsidR="00674E44">
        <w:fldChar w:fldCharType="separate"/>
      </w:r>
      <w:r w:rsidR="00674E44">
        <w:rPr>
          <w:noProof/>
        </w:rPr>
        <w:t xml:space="preserve">Australian Government, </w:t>
      </w:r>
      <w:r w:rsidR="00674E44" w:rsidRPr="00674E44">
        <w:rPr>
          <w:i/>
          <w:noProof/>
        </w:rPr>
        <w:t>Review of the point test - discussion paper April 2024</w:t>
      </w:r>
      <w:r w:rsidR="00674E44">
        <w:rPr>
          <w:noProof/>
        </w:rPr>
        <w:t xml:space="preserve"> (Department of Home Affairs, 2024)</w:t>
      </w:r>
      <w:r w:rsidR="00674E44">
        <w:fldChar w:fldCharType="end"/>
      </w:r>
      <w:r w:rsidR="00674E44">
        <w:t xml:space="preserve">, </w:t>
      </w:r>
      <w:r>
        <w:t>pp. 7-8.</w:t>
      </w:r>
    </w:p>
  </w:footnote>
  <w:footnote w:id="19">
    <w:p w14:paraId="0EE7202A" w14:textId="77777777" w:rsidR="00833E20" w:rsidRDefault="00833E20" w:rsidP="00833E20">
      <w:pPr>
        <w:pStyle w:val="FootnoteText"/>
      </w:pPr>
      <w:r>
        <w:rPr>
          <w:rStyle w:val="FootnoteReference"/>
        </w:rPr>
        <w:footnoteRef/>
      </w:r>
      <w:r>
        <w:t xml:space="preserve"> </w:t>
      </w:r>
      <w:r>
        <w:fldChar w:fldCharType="begin"/>
      </w:r>
      <w:r>
        <w:instrText xml:space="preserve"> ADDIN EN.CITE &lt;EndNote&gt;&lt;Cite&gt;&lt;Author&gt;Norton&lt;/Author&gt;&lt;Year&gt;2023&lt;/Year&gt;&lt;RecNum&gt;2733&lt;/RecNum&gt;&lt;DisplayText&gt;A. Norton, ‘The 20,000 equity places that nearly weren’t allocated and that will probably never be delivered’, &lt;style face="italic"&gt;Andrew Norton: Higher education commentary from Carlton (blog)&lt;/style&gt;, 6 February 2023.&lt;/DisplayText&gt;&lt;record&gt;&lt;rec-number&gt;2733&lt;/rec-number&gt;&lt;foreign-keys&gt;&lt;key app="EN" db-id="vvzd2dx21wzx23e9p9wxpde9was55s9aevsr" timestamp="1677626332"&gt;2733&lt;/key&gt;&lt;/foreign-keys&gt;&lt;ref-type name="Newspaper Article"&gt;23&lt;/ref-type&gt;&lt;contributors&gt;&lt;authors&gt;&lt;author&gt;Norton, A.&lt;/author&gt;&lt;/authors&gt;&lt;/contributors&gt;&lt;titles&gt;&lt;title&gt;The 20,000 equity places that nearly weren’t allocated and that will probably never be delivered&lt;/title&gt;&lt;secondary-title&gt;Andrew Norton: Higher education commentary from Carlton (blog)&lt;/secondary-title&gt;&lt;/titles&gt;&lt;dates&gt;&lt;year&gt;2023&lt;/year&gt;&lt;pub-dates&gt;&lt;date&gt;6 February&lt;/date&gt;&lt;/pub-dates&gt;&lt;/dates&gt;&lt;urls&gt;&lt;/urls&gt;&lt;/record&gt;&lt;/Cite&gt;&lt;/EndNote&gt;</w:instrText>
      </w:r>
      <w:r>
        <w:fldChar w:fldCharType="separate"/>
      </w:r>
      <w:r>
        <w:rPr>
          <w:noProof/>
        </w:rPr>
        <w:t xml:space="preserve">A. Norton, ‘The 20,000 equity places that nearly weren’t allocated and that will probably never be delivered’, </w:t>
      </w:r>
      <w:r w:rsidRPr="00960291">
        <w:rPr>
          <w:i/>
          <w:noProof/>
        </w:rPr>
        <w:t>Andrew Norton: Higher education commentary from Carlton (blog)</w:t>
      </w:r>
      <w:r>
        <w:rPr>
          <w:noProof/>
        </w:rPr>
        <w:t>, 6 February 2023.</w:t>
      </w:r>
      <w:r>
        <w:fldChar w:fldCharType="end"/>
      </w:r>
    </w:p>
  </w:footnote>
  <w:footnote w:id="20">
    <w:p w14:paraId="53C9AC38" w14:textId="77777777" w:rsidR="00833E20" w:rsidRDefault="00833E20" w:rsidP="00833E20">
      <w:pPr>
        <w:pStyle w:val="FootnoteText"/>
      </w:pPr>
      <w:r>
        <w:rPr>
          <w:rStyle w:val="FootnoteReference"/>
        </w:rPr>
        <w:footnoteRef/>
      </w:r>
      <w:r>
        <w:t xml:space="preserve"> </w:t>
      </w:r>
      <w:r>
        <w:fldChar w:fldCharType="begin"/>
      </w:r>
      <w:r>
        <w:instrText xml:space="preserve"> ADDIN EN.CITE &lt;EndNote&gt;&lt;Cite&gt;&lt;Author&gt;Australian Government&lt;/Author&gt;&lt;Year&gt;2024&lt;/Year&gt;&lt;RecNum&gt;2843&lt;/RecNum&gt;&lt;DisplayText&gt;Australian Government, &lt;style face="italic"&gt;Australian Universities Accord final report&lt;/style&gt; (Department of Education, 2024)&lt;/DisplayText&gt;&lt;record&gt;&lt;rec-number&gt;2843&lt;/rec-number&gt;&lt;foreign-keys&gt;&lt;key app="EN" db-id="vvzd2dx21wzx23e9p9wxpde9was55s9aevsr" timestamp="1719552957"&gt;2843&lt;/key&gt;&lt;/foreign-keys&gt;&lt;ref-type name="Report"&gt;27&lt;/ref-type&gt;&lt;contributors&gt;&lt;authors&gt;&lt;author&gt;Australian Government,&lt;/author&gt;&lt;/authors&gt;&lt;/contributors&gt;&lt;titles&gt;&lt;title&gt;Australian Universities Accord final report&lt;/title&gt;&lt;/titles&gt;&lt;dates&gt;&lt;year&gt;2024&lt;/year&gt;&lt;/dates&gt;&lt;publisher&gt;Department of Education&lt;/publisher&gt;&lt;urls&gt;&lt;/urls&gt;&lt;/record&gt;&lt;/Cite&gt;&lt;/EndNote&gt;</w:instrText>
      </w:r>
      <w:r>
        <w:fldChar w:fldCharType="separate"/>
      </w:r>
      <w:r>
        <w:rPr>
          <w:noProof/>
        </w:rPr>
        <w:t xml:space="preserve">Australian Government, </w:t>
      </w:r>
      <w:r w:rsidRPr="007509CA">
        <w:rPr>
          <w:i/>
          <w:noProof/>
        </w:rPr>
        <w:t>Australian Universities Accord final report</w:t>
      </w:r>
      <w:r>
        <w:rPr>
          <w:noProof/>
        </w:rPr>
        <w:t xml:space="preserve"> (Department of Education, 2024)</w:t>
      </w:r>
      <w:r>
        <w:fldChar w:fldCharType="end"/>
      </w:r>
      <w:r>
        <w:t>, p. 291.</w:t>
      </w:r>
    </w:p>
  </w:footnote>
  <w:footnote w:id="21">
    <w:p w14:paraId="1F99DF03" w14:textId="1F083AB1" w:rsidR="00215862" w:rsidRDefault="00215862">
      <w:pPr>
        <w:pStyle w:val="FootnoteText"/>
      </w:pPr>
      <w:r>
        <w:rPr>
          <w:rStyle w:val="FootnoteReference"/>
        </w:rPr>
        <w:footnoteRef/>
      </w:r>
      <w:r>
        <w:t xml:space="preserve"> </w:t>
      </w:r>
      <w:r>
        <w:fldChar w:fldCharType="begin"/>
      </w:r>
      <w:r>
        <w:instrText xml:space="preserve"> ADDIN EN.CITE &lt;EndNote&gt;&lt;Cite&gt;&lt;Author&gt;Norton&lt;/Author&gt;&lt;Year&gt;2024&lt;/Year&gt;&lt;RecNum&gt;2856&lt;/RecNum&gt;&lt;DisplayText&gt;A. Norton, ‘A cap-and-trade system for international student places ’, &lt;style face="italic"&gt;Andrew Norton: Higher education commentary from Carlton (blog)&lt;/style&gt;, 27 May 2024.&lt;/DisplayText&gt;&lt;record&gt;&lt;rec-number&gt;2856&lt;/rec-number&gt;&lt;foreign-keys&gt;&lt;key app="EN" db-id="vvzd2dx21wzx23e9p9wxpde9was55s9aevsr" timestamp="1719798441"&gt;2856&lt;/key&gt;&lt;/foreign-keys&gt;&lt;ref-type name="Newspaper Article"&gt;23&lt;/ref-type&gt;&lt;contributors&gt;&lt;authors&gt;&lt;author&gt;Norton, A.&lt;/author&gt;&lt;/authors&gt;&lt;/contributors&gt;&lt;titles&gt;&lt;title&gt;A cap-and-trade system for international student places &lt;/title&gt;&lt;secondary-title&gt;Andrew Norton: Higher education commentary from Carlton (blog)&lt;/secondary-title&gt;&lt;/titles&gt;&lt;dates&gt;&lt;year&gt;2024&lt;/year&gt;&lt;pub-dates&gt;&lt;date&gt;27 May&lt;/date&gt;&lt;/pub-dates&gt;&lt;/dates&gt;&lt;urls&gt;&lt;/urls&gt;&lt;/record&gt;&lt;/Cite&gt;&lt;/EndNote&gt;</w:instrText>
      </w:r>
      <w:r>
        <w:fldChar w:fldCharType="separate"/>
      </w:r>
      <w:r>
        <w:rPr>
          <w:noProof/>
        </w:rPr>
        <w:t xml:space="preserve">A. Norton, ‘A cap-and-trade system for international student places ’, </w:t>
      </w:r>
      <w:r w:rsidRPr="00215862">
        <w:rPr>
          <w:i/>
          <w:noProof/>
        </w:rPr>
        <w:t>Andrew Norton: Higher education commentary from Carlton (blog)</w:t>
      </w:r>
      <w:r>
        <w:rPr>
          <w:noProof/>
        </w:rPr>
        <w:t>, 27 May 2024.</w:t>
      </w:r>
      <w:r>
        <w:fldChar w:fldCharType="end"/>
      </w:r>
    </w:p>
  </w:footnote>
  <w:footnote w:id="22">
    <w:p w14:paraId="4C90B7A5" w14:textId="2845FABE" w:rsidR="00215862" w:rsidRDefault="00215862">
      <w:pPr>
        <w:pStyle w:val="FootnoteText"/>
      </w:pPr>
      <w:r>
        <w:rPr>
          <w:rStyle w:val="FootnoteReference"/>
        </w:rPr>
        <w:footnoteRef/>
      </w:r>
      <w:r>
        <w:t xml:space="preserve"> </w:t>
      </w:r>
      <w:r>
        <w:fldChar w:fldCharType="begin"/>
      </w:r>
      <w:r>
        <w:instrText xml:space="preserve"> ADDIN EN.CITE &lt;EndNote&gt;&lt;Cite&gt;&lt;Author&gt;Norton&lt;/Author&gt;&lt;Year&gt;2024&lt;/Year&gt;&lt;RecNum&gt;2857&lt;/RecNum&gt;&lt;DisplayText&gt;A. Norton, ‘Accord implementation proposals, part #3: The distribution of student places to universities and the folly of hard caps’, &lt;style face="italic"&gt;Andrew Norton: Higher education commentary from Carlton (blog)&lt;/style&gt;, 25 June 2024.&lt;/DisplayText&gt;&lt;record&gt;&lt;rec-number&gt;2857&lt;/rec-number&gt;&lt;foreign-keys&gt;&lt;key app="EN" db-id="vvzd2dx21wzx23e9p9wxpde9was55s9aevsr" timestamp="1719798782"&gt;2857&lt;/key&gt;&lt;/foreign-keys&gt;&lt;ref-type name="Newspaper Article"&gt;23&lt;/ref-type&gt;&lt;contributors&gt;&lt;authors&gt;&lt;author&gt;Norton, A.&lt;/author&gt;&lt;/authors&gt;&lt;/contributors&gt;&lt;titles&gt;&lt;title&gt;Accord implementation proposals, part #3: The distribution of student places to universities and the folly of hard caps&lt;/title&gt;&lt;secondary-title&gt;Andrew Norton: Higher education commentary from Carlton (blog)&lt;/secondary-title&gt;&lt;/titles&gt;&lt;dates&gt;&lt;year&gt;2024&lt;/year&gt;&lt;pub-dates&gt;&lt;date&gt;25 June&lt;/date&gt;&lt;/pub-dates&gt;&lt;/dates&gt;&lt;urls&gt;&lt;/urls&gt;&lt;/record&gt;&lt;/Cite&gt;&lt;/EndNote&gt;</w:instrText>
      </w:r>
      <w:r>
        <w:fldChar w:fldCharType="separate"/>
      </w:r>
      <w:r>
        <w:rPr>
          <w:noProof/>
        </w:rPr>
        <w:t xml:space="preserve">A. Norton, ‘Accord implementation proposals, part #3: The distribution of student places to universities and the folly of hard caps’, </w:t>
      </w:r>
      <w:r w:rsidRPr="00215862">
        <w:rPr>
          <w:i/>
          <w:noProof/>
        </w:rPr>
        <w:t>Andrew Norton: Higher education commentary from Carlton (blog)</w:t>
      </w:r>
      <w:r>
        <w:rPr>
          <w:noProof/>
        </w:rPr>
        <w:t>, 25 June 2024.</w:t>
      </w:r>
      <w:r>
        <w:fldChar w:fldCharType="end"/>
      </w:r>
    </w:p>
  </w:footnote>
  <w:footnote w:id="23">
    <w:p w14:paraId="09E4E9C1" w14:textId="6AF2B258" w:rsidR="00CF5244" w:rsidRDefault="00CF5244">
      <w:pPr>
        <w:pStyle w:val="FootnoteText"/>
      </w:pPr>
      <w:r>
        <w:rPr>
          <w:rStyle w:val="FootnoteReference"/>
        </w:rPr>
        <w:footnoteRef/>
      </w:r>
      <w:r>
        <w:t xml:space="preserve"> </w:t>
      </w:r>
      <w:r>
        <w:fldChar w:fldCharType="begin"/>
      </w:r>
      <w:r>
        <w:instrText xml:space="preserve"> ADDIN EN.CITE &lt;EndNote&gt;&lt;Cite&gt;&lt;Author&gt;Norton&lt;/Author&gt;&lt;Year&gt;2024&lt;/Year&gt;&lt;RecNum&gt;2858&lt;/RecNum&gt;&lt;DisplayText&gt;A. Norton, ‘What&amp;apos;s new in the university funding agreements, part 3: new rules on early offers’, &lt;style face="italic"&gt;Andrew Norton: Higher education commentary from Carlton (blog)&lt;/style&gt; 2024, 13 June; A. Norton, ‘University-Commonwealth funding agreements and the rule of law in higher education’, &lt;style face="italic"&gt;Andrew Norton: Higher education commentary from Carlton (blog)&lt;/style&gt;, 17 March 2021.&lt;/DisplayText&gt;&lt;record&gt;&lt;rec-number&gt;2858&lt;/rec-number&gt;&lt;foreign-keys&gt;&lt;key app="EN" db-id="vvzd2dx21wzx23e9p9wxpde9was55s9aevsr" timestamp="1719802430"&gt;2858&lt;/key&gt;&lt;/foreign-keys&gt;&lt;ref-type name="Newspaper Article"&gt;23&lt;/ref-type&gt;&lt;contributors&gt;&lt;authors&gt;&lt;author&gt;Norton, A.&lt;/author&gt;&lt;/authors&gt;&lt;/contributors&gt;&lt;titles&gt;&lt;title&gt;What&amp;apos;s new in the university funding agreements, part 3: new rules on early offers&lt;/title&gt;&lt;secondary-title&gt;Andrew Norton: Higher education commentary from Carlton (blog)&lt;/secondary-title&gt;&lt;/titles&gt;&lt;edition&gt;13 June&lt;/edition&gt;&lt;dates&gt;&lt;year&gt;2024&lt;/year&gt;&lt;/dates&gt;&lt;urls&gt;&lt;/urls&gt;&lt;/record&gt;&lt;/Cite&gt;&lt;Cite&gt;&lt;Author&gt;Norton&lt;/Author&gt;&lt;Year&gt;2021&lt;/Year&gt;&lt;RecNum&gt;2415&lt;/RecNum&gt;&lt;record&gt;&lt;rec-number&gt;2415&lt;/rec-number&gt;&lt;foreign-keys&gt;&lt;key app="EN" db-id="vvzd2dx21wzx23e9p9wxpde9was55s9aevsr" timestamp="1657520818" guid="57a696c2-43a8-4ea8-a2fc-0cfe0f963047"&gt;2415&lt;/key&gt;&lt;/foreign-keys&gt;&lt;ref-type name="Newspaper Article"&gt;23&lt;/ref-type&gt;&lt;contributors&gt;&lt;authors&gt;&lt;author&gt;Norton, A.&lt;/author&gt;&lt;/authors&gt;&lt;/contributors&gt;&lt;titles&gt;&lt;title&gt;University-Commonwealth funding agreements and the rule of law in higher education&lt;/title&gt;&lt;secondary-title&gt;Andrew Norton: Higher education commentary from Carlton (blog)&lt;/secondary-title&gt;&lt;/titles&gt;&lt;dates&gt;&lt;year&gt;2021&lt;/year&gt;&lt;pub-dates&gt;&lt;date&gt;17 March&lt;/date&gt;&lt;/pub-dates&gt;&lt;/dates&gt;&lt;urls&gt;&lt;/urls&gt;&lt;/record&gt;&lt;/Cite&gt;&lt;/EndNote&gt;</w:instrText>
      </w:r>
      <w:r>
        <w:fldChar w:fldCharType="separate"/>
      </w:r>
      <w:r>
        <w:rPr>
          <w:noProof/>
        </w:rPr>
        <w:t xml:space="preserve">A. Norton, ‘What's new in the university funding agreements, part 3: new rules on early offers’, </w:t>
      </w:r>
      <w:r w:rsidRPr="00CF5244">
        <w:rPr>
          <w:i/>
          <w:noProof/>
        </w:rPr>
        <w:t>Andrew Norton: Higher education commentary from Carlton (blog)</w:t>
      </w:r>
      <w:r>
        <w:rPr>
          <w:noProof/>
        </w:rPr>
        <w:t xml:space="preserve"> 2024, 13 June; A. Norton, ‘University-Commonwealth funding agreements and the rule of law in higher education’, </w:t>
      </w:r>
      <w:r w:rsidRPr="00CF5244">
        <w:rPr>
          <w:i/>
          <w:noProof/>
        </w:rPr>
        <w:t>Andrew Norton: Higher education commentary from Carlton (blog)</w:t>
      </w:r>
      <w:r>
        <w:rPr>
          <w:noProof/>
        </w:rPr>
        <w:t>, 17 March 2021.</w:t>
      </w:r>
      <w:r>
        <w:fldChar w:fldCharType="end"/>
      </w:r>
    </w:p>
  </w:footnote>
  <w:footnote w:id="24">
    <w:p w14:paraId="40180758" w14:textId="4DAB7F99" w:rsidR="004815F2" w:rsidRDefault="004815F2">
      <w:pPr>
        <w:pStyle w:val="FootnoteText"/>
      </w:pPr>
      <w:r>
        <w:rPr>
          <w:rStyle w:val="FootnoteReference"/>
        </w:rPr>
        <w:footnoteRef/>
      </w:r>
      <w:r>
        <w:t xml:space="preserve"> </w:t>
      </w:r>
      <w:r>
        <w:fldChar w:fldCharType="begin"/>
      </w:r>
      <w:r>
        <w:instrText xml:space="preserve"> ADDIN EN.CITE &lt;EndNote&gt;&lt;Cite&gt;&lt;Author&gt;Mulder&lt;/Author&gt;&lt;Year&gt;2024&lt;/Year&gt;&lt;RecNum&gt;2859&lt;/RecNum&gt;&lt;DisplayText&gt;D. Mulder, ‘More evidence of eCOE’s being withdrawn and confusion within the sector’, &lt;style face="italic"&gt;The Koala: International education news&lt;/style&gt;, 9 February 2024.&lt;/DisplayText&gt;&lt;record&gt;&lt;rec-number&gt;2859&lt;/rec-number&gt;&lt;foreign-keys&gt;&lt;key app="EN" db-id="vvzd2dx21wzx23e9p9wxpde9was55s9aevsr" timestamp="1719805561"&gt;2859&lt;/key&gt;&lt;/foreign-keys&gt;&lt;ref-type name="Newspaper Article"&gt;23&lt;/ref-type&gt;&lt;contributors&gt;&lt;authors&gt;&lt;author&gt;Mulder, D.&lt;/author&gt;&lt;/authors&gt;&lt;/contributors&gt;&lt;titles&gt;&lt;title&gt;More evidence of eCOE’s being withdrawn and confusion within the sector&lt;/title&gt;&lt;secondary-title&gt;The Koala: International education news&lt;/secondary-title&gt;&lt;/titles&gt;&lt;dates&gt;&lt;year&gt;2024&lt;/year&gt;&lt;pub-dates&gt;&lt;date&gt;9 February&lt;/date&gt;&lt;/pub-dates&gt;&lt;/dates&gt;&lt;urls&gt;&lt;/urls&gt;&lt;/record&gt;&lt;/Cite&gt;&lt;/EndNote&gt;</w:instrText>
      </w:r>
      <w:r>
        <w:fldChar w:fldCharType="separate"/>
      </w:r>
      <w:r>
        <w:rPr>
          <w:noProof/>
        </w:rPr>
        <w:t xml:space="preserve">D. Mulder, ‘More evidence of eCOE’s being withdrawn and confusion within the sector’, </w:t>
      </w:r>
      <w:r w:rsidRPr="004815F2">
        <w:rPr>
          <w:i/>
          <w:noProof/>
        </w:rPr>
        <w:t>The Koala: International education news</w:t>
      </w:r>
      <w:r>
        <w:rPr>
          <w:noProof/>
        </w:rPr>
        <w:t>, 9 February 2024.</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765132" w14:textId="4781BEC1" w:rsidR="009B5476" w:rsidRDefault="009B5476">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FF6147"/>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7D33908"/>
    <w:multiLevelType w:val="hybridMultilevel"/>
    <w:tmpl w:val="AB00AFE4"/>
    <w:lvl w:ilvl="0" w:tplc="FFFFFFFF">
      <w:start w:val="1"/>
      <w:numFmt w:val="decimal"/>
      <w:lvlText w:val="%1."/>
      <w:lvlJc w:val="left"/>
      <w:pPr>
        <w:ind w:left="-154" w:hanging="360"/>
      </w:pPr>
    </w:lvl>
    <w:lvl w:ilvl="1" w:tplc="FFFFFFFF" w:tentative="1">
      <w:start w:val="1"/>
      <w:numFmt w:val="lowerLetter"/>
      <w:lvlText w:val="%2."/>
      <w:lvlJc w:val="left"/>
      <w:pPr>
        <w:ind w:left="566" w:hanging="360"/>
      </w:pPr>
    </w:lvl>
    <w:lvl w:ilvl="2" w:tplc="FFFFFFFF" w:tentative="1">
      <w:start w:val="1"/>
      <w:numFmt w:val="lowerRoman"/>
      <w:lvlText w:val="%3."/>
      <w:lvlJc w:val="right"/>
      <w:pPr>
        <w:ind w:left="1286" w:hanging="180"/>
      </w:pPr>
    </w:lvl>
    <w:lvl w:ilvl="3" w:tplc="FFFFFFFF" w:tentative="1">
      <w:start w:val="1"/>
      <w:numFmt w:val="decimal"/>
      <w:lvlText w:val="%4."/>
      <w:lvlJc w:val="left"/>
      <w:pPr>
        <w:ind w:left="2006" w:hanging="360"/>
      </w:pPr>
    </w:lvl>
    <w:lvl w:ilvl="4" w:tplc="FFFFFFFF" w:tentative="1">
      <w:start w:val="1"/>
      <w:numFmt w:val="lowerLetter"/>
      <w:lvlText w:val="%5."/>
      <w:lvlJc w:val="left"/>
      <w:pPr>
        <w:ind w:left="2726" w:hanging="360"/>
      </w:pPr>
    </w:lvl>
    <w:lvl w:ilvl="5" w:tplc="FFFFFFFF" w:tentative="1">
      <w:start w:val="1"/>
      <w:numFmt w:val="lowerRoman"/>
      <w:lvlText w:val="%6."/>
      <w:lvlJc w:val="right"/>
      <w:pPr>
        <w:ind w:left="3446" w:hanging="180"/>
      </w:pPr>
    </w:lvl>
    <w:lvl w:ilvl="6" w:tplc="FFFFFFFF" w:tentative="1">
      <w:start w:val="1"/>
      <w:numFmt w:val="decimal"/>
      <w:lvlText w:val="%7."/>
      <w:lvlJc w:val="left"/>
      <w:pPr>
        <w:ind w:left="4166" w:hanging="360"/>
      </w:pPr>
    </w:lvl>
    <w:lvl w:ilvl="7" w:tplc="FFFFFFFF" w:tentative="1">
      <w:start w:val="1"/>
      <w:numFmt w:val="lowerLetter"/>
      <w:lvlText w:val="%8."/>
      <w:lvlJc w:val="left"/>
      <w:pPr>
        <w:ind w:left="4886" w:hanging="360"/>
      </w:pPr>
    </w:lvl>
    <w:lvl w:ilvl="8" w:tplc="FFFFFFFF" w:tentative="1">
      <w:start w:val="1"/>
      <w:numFmt w:val="lowerRoman"/>
      <w:lvlText w:val="%9."/>
      <w:lvlJc w:val="right"/>
      <w:pPr>
        <w:ind w:left="5606" w:hanging="180"/>
      </w:pPr>
    </w:lvl>
  </w:abstractNum>
  <w:abstractNum w:abstractNumId="2" w15:restartNumberingAfterBreak="0">
    <w:nsid w:val="202619FC"/>
    <w:multiLevelType w:val="multilevel"/>
    <w:tmpl w:val="1B1C7A08"/>
    <w:lvl w:ilvl="0">
      <w:start w:val="3"/>
      <w:numFmt w:val="decimal"/>
      <w:lvlText w:val="%1"/>
      <w:lvlJc w:val="left"/>
      <w:pPr>
        <w:ind w:left="636" w:hanging="517"/>
      </w:pPr>
      <w:rPr>
        <w:rFonts w:hint="default"/>
        <w:lang w:val="en-AU" w:eastAsia="en-US" w:bidi="ar-SA"/>
      </w:rPr>
    </w:lvl>
    <w:lvl w:ilvl="1">
      <w:start w:val="1"/>
      <w:numFmt w:val="decimal"/>
      <w:lvlText w:val="%1.%2"/>
      <w:lvlJc w:val="left"/>
      <w:pPr>
        <w:ind w:left="636" w:hanging="517"/>
      </w:pPr>
      <w:rPr>
        <w:rFonts w:ascii="Verdana" w:eastAsia="Verdana" w:hAnsi="Verdana" w:cs="Verdana" w:hint="default"/>
        <w:color w:val="2E5395"/>
        <w:spacing w:val="-1"/>
        <w:w w:val="99"/>
        <w:sz w:val="26"/>
        <w:szCs w:val="26"/>
        <w:lang w:val="en-AU" w:eastAsia="en-US" w:bidi="ar-SA"/>
      </w:rPr>
    </w:lvl>
    <w:lvl w:ilvl="2">
      <w:numFmt w:val="bullet"/>
      <w:lvlText w:val="•"/>
      <w:lvlJc w:val="left"/>
      <w:pPr>
        <w:ind w:left="2428" w:hanging="517"/>
      </w:pPr>
      <w:rPr>
        <w:rFonts w:hint="default"/>
        <w:lang w:val="en-AU" w:eastAsia="en-US" w:bidi="ar-SA"/>
      </w:rPr>
    </w:lvl>
    <w:lvl w:ilvl="3">
      <w:numFmt w:val="bullet"/>
      <w:lvlText w:val="•"/>
      <w:lvlJc w:val="left"/>
      <w:pPr>
        <w:ind w:left="3322" w:hanging="517"/>
      </w:pPr>
      <w:rPr>
        <w:rFonts w:hint="default"/>
        <w:lang w:val="en-AU" w:eastAsia="en-US" w:bidi="ar-SA"/>
      </w:rPr>
    </w:lvl>
    <w:lvl w:ilvl="4">
      <w:numFmt w:val="bullet"/>
      <w:lvlText w:val="•"/>
      <w:lvlJc w:val="left"/>
      <w:pPr>
        <w:ind w:left="4216" w:hanging="517"/>
      </w:pPr>
      <w:rPr>
        <w:rFonts w:hint="default"/>
        <w:lang w:val="en-AU" w:eastAsia="en-US" w:bidi="ar-SA"/>
      </w:rPr>
    </w:lvl>
    <w:lvl w:ilvl="5">
      <w:numFmt w:val="bullet"/>
      <w:lvlText w:val="•"/>
      <w:lvlJc w:val="left"/>
      <w:pPr>
        <w:ind w:left="5110" w:hanging="517"/>
      </w:pPr>
      <w:rPr>
        <w:rFonts w:hint="default"/>
        <w:lang w:val="en-AU" w:eastAsia="en-US" w:bidi="ar-SA"/>
      </w:rPr>
    </w:lvl>
    <w:lvl w:ilvl="6">
      <w:numFmt w:val="bullet"/>
      <w:lvlText w:val="•"/>
      <w:lvlJc w:val="left"/>
      <w:pPr>
        <w:ind w:left="6004" w:hanging="517"/>
      </w:pPr>
      <w:rPr>
        <w:rFonts w:hint="default"/>
        <w:lang w:val="en-AU" w:eastAsia="en-US" w:bidi="ar-SA"/>
      </w:rPr>
    </w:lvl>
    <w:lvl w:ilvl="7">
      <w:numFmt w:val="bullet"/>
      <w:lvlText w:val="•"/>
      <w:lvlJc w:val="left"/>
      <w:pPr>
        <w:ind w:left="6898" w:hanging="517"/>
      </w:pPr>
      <w:rPr>
        <w:rFonts w:hint="default"/>
        <w:lang w:val="en-AU" w:eastAsia="en-US" w:bidi="ar-SA"/>
      </w:rPr>
    </w:lvl>
    <w:lvl w:ilvl="8">
      <w:numFmt w:val="bullet"/>
      <w:lvlText w:val="•"/>
      <w:lvlJc w:val="left"/>
      <w:pPr>
        <w:ind w:left="7792" w:hanging="517"/>
      </w:pPr>
      <w:rPr>
        <w:rFonts w:hint="default"/>
        <w:lang w:val="en-AU" w:eastAsia="en-US" w:bidi="ar-SA"/>
      </w:rPr>
    </w:lvl>
  </w:abstractNum>
  <w:abstractNum w:abstractNumId="3" w15:restartNumberingAfterBreak="0">
    <w:nsid w:val="22E20387"/>
    <w:multiLevelType w:val="hybridMultilevel"/>
    <w:tmpl w:val="93A006DA"/>
    <w:lvl w:ilvl="0" w:tplc="57DAA3FC">
      <w:numFmt w:val="bullet"/>
      <w:lvlText w:val=""/>
      <w:lvlJc w:val="left"/>
      <w:pPr>
        <w:ind w:left="479" w:hanging="360"/>
      </w:pPr>
      <w:rPr>
        <w:rFonts w:ascii="Symbol" w:eastAsia="Verdana" w:hAnsi="Symbol" w:cstheme="minorHAnsi" w:hint="default"/>
      </w:rPr>
    </w:lvl>
    <w:lvl w:ilvl="1" w:tplc="0C090003" w:tentative="1">
      <w:start w:val="1"/>
      <w:numFmt w:val="bullet"/>
      <w:lvlText w:val="o"/>
      <w:lvlJc w:val="left"/>
      <w:pPr>
        <w:ind w:left="1199" w:hanging="360"/>
      </w:pPr>
      <w:rPr>
        <w:rFonts w:ascii="Courier New" w:hAnsi="Courier New" w:cs="Courier New" w:hint="default"/>
      </w:rPr>
    </w:lvl>
    <w:lvl w:ilvl="2" w:tplc="0C090005" w:tentative="1">
      <w:start w:val="1"/>
      <w:numFmt w:val="bullet"/>
      <w:lvlText w:val=""/>
      <w:lvlJc w:val="left"/>
      <w:pPr>
        <w:ind w:left="1919" w:hanging="360"/>
      </w:pPr>
      <w:rPr>
        <w:rFonts w:ascii="Wingdings" w:hAnsi="Wingdings" w:hint="default"/>
      </w:rPr>
    </w:lvl>
    <w:lvl w:ilvl="3" w:tplc="0C090001" w:tentative="1">
      <w:start w:val="1"/>
      <w:numFmt w:val="bullet"/>
      <w:lvlText w:val=""/>
      <w:lvlJc w:val="left"/>
      <w:pPr>
        <w:ind w:left="2639" w:hanging="360"/>
      </w:pPr>
      <w:rPr>
        <w:rFonts w:ascii="Symbol" w:hAnsi="Symbol" w:hint="default"/>
      </w:rPr>
    </w:lvl>
    <w:lvl w:ilvl="4" w:tplc="0C090003" w:tentative="1">
      <w:start w:val="1"/>
      <w:numFmt w:val="bullet"/>
      <w:lvlText w:val="o"/>
      <w:lvlJc w:val="left"/>
      <w:pPr>
        <w:ind w:left="3359" w:hanging="360"/>
      </w:pPr>
      <w:rPr>
        <w:rFonts w:ascii="Courier New" w:hAnsi="Courier New" w:cs="Courier New" w:hint="default"/>
      </w:rPr>
    </w:lvl>
    <w:lvl w:ilvl="5" w:tplc="0C090005" w:tentative="1">
      <w:start w:val="1"/>
      <w:numFmt w:val="bullet"/>
      <w:lvlText w:val=""/>
      <w:lvlJc w:val="left"/>
      <w:pPr>
        <w:ind w:left="4079" w:hanging="360"/>
      </w:pPr>
      <w:rPr>
        <w:rFonts w:ascii="Wingdings" w:hAnsi="Wingdings" w:hint="default"/>
      </w:rPr>
    </w:lvl>
    <w:lvl w:ilvl="6" w:tplc="0C090001" w:tentative="1">
      <w:start w:val="1"/>
      <w:numFmt w:val="bullet"/>
      <w:lvlText w:val=""/>
      <w:lvlJc w:val="left"/>
      <w:pPr>
        <w:ind w:left="4799" w:hanging="360"/>
      </w:pPr>
      <w:rPr>
        <w:rFonts w:ascii="Symbol" w:hAnsi="Symbol" w:hint="default"/>
      </w:rPr>
    </w:lvl>
    <w:lvl w:ilvl="7" w:tplc="0C090003" w:tentative="1">
      <w:start w:val="1"/>
      <w:numFmt w:val="bullet"/>
      <w:lvlText w:val="o"/>
      <w:lvlJc w:val="left"/>
      <w:pPr>
        <w:ind w:left="5519" w:hanging="360"/>
      </w:pPr>
      <w:rPr>
        <w:rFonts w:ascii="Courier New" w:hAnsi="Courier New" w:cs="Courier New" w:hint="default"/>
      </w:rPr>
    </w:lvl>
    <w:lvl w:ilvl="8" w:tplc="0C090005" w:tentative="1">
      <w:start w:val="1"/>
      <w:numFmt w:val="bullet"/>
      <w:lvlText w:val=""/>
      <w:lvlJc w:val="left"/>
      <w:pPr>
        <w:ind w:left="6239" w:hanging="360"/>
      </w:pPr>
      <w:rPr>
        <w:rFonts w:ascii="Wingdings" w:hAnsi="Wingdings" w:hint="default"/>
      </w:rPr>
    </w:lvl>
  </w:abstractNum>
  <w:abstractNum w:abstractNumId="4" w15:restartNumberingAfterBreak="0">
    <w:nsid w:val="2C9B6BE0"/>
    <w:multiLevelType w:val="hybridMultilevel"/>
    <w:tmpl w:val="C3124416"/>
    <w:lvl w:ilvl="0" w:tplc="FFFFFFFF">
      <w:start w:val="1"/>
      <w:numFmt w:val="decimal"/>
      <w:lvlText w:val="%1."/>
      <w:lvlJc w:val="left"/>
      <w:pPr>
        <w:ind w:left="839" w:hanging="360"/>
      </w:pPr>
    </w:lvl>
    <w:lvl w:ilvl="1" w:tplc="FFFFFFFF" w:tentative="1">
      <w:start w:val="1"/>
      <w:numFmt w:val="lowerLetter"/>
      <w:lvlText w:val="%2."/>
      <w:lvlJc w:val="left"/>
      <w:pPr>
        <w:ind w:left="1559" w:hanging="360"/>
      </w:pPr>
    </w:lvl>
    <w:lvl w:ilvl="2" w:tplc="FFFFFFFF" w:tentative="1">
      <w:start w:val="1"/>
      <w:numFmt w:val="lowerRoman"/>
      <w:lvlText w:val="%3."/>
      <w:lvlJc w:val="right"/>
      <w:pPr>
        <w:ind w:left="2279" w:hanging="180"/>
      </w:pPr>
    </w:lvl>
    <w:lvl w:ilvl="3" w:tplc="FFFFFFFF" w:tentative="1">
      <w:start w:val="1"/>
      <w:numFmt w:val="decimal"/>
      <w:lvlText w:val="%4."/>
      <w:lvlJc w:val="left"/>
      <w:pPr>
        <w:ind w:left="2999" w:hanging="360"/>
      </w:pPr>
    </w:lvl>
    <w:lvl w:ilvl="4" w:tplc="FFFFFFFF" w:tentative="1">
      <w:start w:val="1"/>
      <w:numFmt w:val="lowerLetter"/>
      <w:lvlText w:val="%5."/>
      <w:lvlJc w:val="left"/>
      <w:pPr>
        <w:ind w:left="3719" w:hanging="360"/>
      </w:pPr>
    </w:lvl>
    <w:lvl w:ilvl="5" w:tplc="FFFFFFFF" w:tentative="1">
      <w:start w:val="1"/>
      <w:numFmt w:val="lowerRoman"/>
      <w:lvlText w:val="%6."/>
      <w:lvlJc w:val="right"/>
      <w:pPr>
        <w:ind w:left="4439" w:hanging="180"/>
      </w:pPr>
    </w:lvl>
    <w:lvl w:ilvl="6" w:tplc="FFFFFFFF" w:tentative="1">
      <w:start w:val="1"/>
      <w:numFmt w:val="decimal"/>
      <w:lvlText w:val="%7."/>
      <w:lvlJc w:val="left"/>
      <w:pPr>
        <w:ind w:left="5159" w:hanging="360"/>
      </w:pPr>
    </w:lvl>
    <w:lvl w:ilvl="7" w:tplc="FFFFFFFF" w:tentative="1">
      <w:start w:val="1"/>
      <w:numFmt w:val="lowerLetter"/>
      <w:lvlText w:val="%8."/>
      <w:lvlJc w:val="left"/>
      <w:pPr>
        <w:ind w:left="5879" w:hanging="360"/>
      </w:pPr>
    </w:lvl>
    <w:lvl w:ilvl="8" w:tplc="FFFFFFFF" w:tentative="1">
      <w:start w:val="1"/>
      <w:numFmt w:val="lowerRoman"/>
      <w:lvlText w:val="%9."/>
      <w:lvlJc w:val="right"/>
      <w:pPr>
        <w:ind w:left="6599" w:hanging="180"/>
      </w:pPr>
    </w:lvl>
  </w:abstractNum>
  <w:abstractNum w:abstractNumId="5" w15:restartNumberingAfterBreak="0">
    <w:nsid w:val="3A244891"/>
    <w:multiLevelType w:val="hybridMultilevel"/>
    <w:tmpl w:val="188062CE"/>
    <w:lvl w:ilvl="0" w:tplc="4E0C79A4">
      <w:numFmt w:val="bullet"/>
      <w:lvlText w:val=""/>
      <w:lvlJc w:val="left"/>
      <w:pPr>
        <w:ind w:left="479" w:hanging="360"/>
      </w:pPr>
      <w:rPr>
        <w:rFonts w:ascii="Symbol" w:eastAsia="Verdana" w:hAnsi="Symbol" w:cstheme="minorHAnsi" w:hint="default"/>
      </w:rPr>
    </w:lvl>
    <w:lvl w:ilvl="1" w:tplc="0C090003" w:tentative="1">
      <w:start w:val="1"/>
      <w:numFmt w:val="bullet"/>
      <w:lvlText w:val="o"/>
      <w:lvlJc w:val="left"/>
      <w:pPr>
        <w:ind w:left="1199" w:hanging="360"/>
      </w:pPr>
      <w:rPr>
        <w:rFonts w:ascii="Courier New" w:hAnsi="Courier New" w:cs="Courier New" w:hint="default"/>
      </w:rPr>
    </w:lvl>
    <w:lvl w:ilvl="2" w:tplc="0C090005" w:tentative="1">
      <w:start w:val="1"/>
      <w:numFmt w:val="bullet"/>
      <w:lvlText w:val=""/>
      <w:lvlJc w:val="left"/>
      <w:pPr>
        <w:ind w:left="1919" w:hanging="360"/>
      </w:pPr>
      <w:rPr>
        <w:rFonts w:ascii="Wingdings" w:hAnsi="Wingdings" w:hint="default"/>
      </w:rPr>
    </w:lvl>
    <w:lvl w:ilvl="3" w:tplc="0C090001" w:tentative="1">
      <w:start w:val="1"/>
      <w:numFmt w:val="bullet"/>
      <w:lvlText w:val=""/>
      <w:lvlJc w:val="left"/>
      <w:pPr>
        <w:ind w:left="2639" w:hanging="360"/>
      </w:pPr>
      <w:rPr>
        <w:rFonts w:ascii="Symbol" w:hAnsi="Symbol" w:hint="default"/>
      </w:rPr>
    </w:lvl>
    <w:lvl w:ilvl="4" w:tplc="0C090003" w:tentative="1">
      <w:start w:val="1"/>
      <w:numFmt w:val="bullet"/>
      <w:lvlText w:val="o"/>
      <w:lvlJc w:val="left"/>
      <w:pPr>
        <w:ind w:left="3359" w:hanging="360"/>
      </w:pPr>
      <w:rPr>
        <w:rFonts w:ascii="Courier New" w:hAnsi="Courier New" w:cs="Courier New" w:hint="default"/>
      </w:rPr>
    </w:lvl>
    <w:lvl w:ilvl="5" w:tplc="0C090005" w:tentative="1">
      <w:start w:val="1"/>
      <w:numFmt w:val="bullet"/>
      <w:lvlText w:val=""/>
      <w:lvlJc w:val="left"/>
      <w:pPr>
        <w:ind w:left="4079" w:hanging="360"/>
      </w:pPr>
      <w:rPr>
        <w:rFonts w:ascii="Wingdings" w:hAnsi="Wingdings" w:hint="default"/>
      </w:rPr>
    </w:lvl>
    <w:lvl w:ilvl="6" w:tplc="0C090001" w:tentative="1">
      <w:start w:val="1"/>
      <w:numFmt w:val="bullet"/>
      <w:lvlText w:val=""/>
      <w:lvlJc w:val="left"/>
      <w:pPr>
        <w:ind w:left="4799" w:hanging="360"/>
      </w:pPr>
      <w:rPr>
        <w:rFonts w:ascii="Symbol" w:hAnsi="Symbol" w:hint="default"/>
      </w:rPr>
    </w:lvl>
    <w:lvl w:ilvl="7" w:tplc="0C090003" w:tentative="1">
      <w:start w:val="1"/>
      <w:numFmt w:val="bullet"/>
      <w:lvlText w:val="o"/>
      <w:lvlJc w:val="left"/>
      <w:pPr>
        <w:ind w:left="5519" w:hanging="360"/>
      </w:pPr>
      <w:rPr>
        <w:rFonts w:ascii="Courier New" w:hAnsi="Courier New" w:cs="Courier New" w:hint="default"/>
      </w:rPr>
    </w:lvl>
    <w:lvl w:ilvl="8" w:tplc="0C090005" w:tentative="1">
      <w:start w:val="1"/>
      <w:numFmt w:val="bullet"/>
      <w:lvlText w:val=""/>
      <w:lvlJc w:val="left"/>
      <w:pPr>
        <w:ind w:left="6239" w:hanging="360"/>
      </w:pPr>
      <w:rPr>
        <w:rFonts w:ascii="Wingdings" w:hAnsi="Wingdings" w:hint="default"/>
      </w:rPr>
    </w:lvl>
  </w:abstractNum>
  <w:abstractNum w:abstractNumId="6" w15:restartNumberingAfterBreak="0">
    <w:nsid w:val="3AA75098"/>
    <w:multiLevelType w:val="hybridMultilevel"/>
    <w:tmpl w:val="C976708A"/>
    <w:lvl w:ilvl="0" w:tplc="FA6A7DE4">
      <w:start w:val="1"/>
      <w:numFmt w:val="decimal"/>
      <w:lvlText w:val="%1."/>
      <w:lvlJc w:val="left"/>
      <w:pPr>
        <w:ind w:left="480" w:hanging="361"/>
      </w:pPr>
      <w:rPr>
        <w:rFonts w:ascii="Verdana" w:eastAsia="Verdana" w:hAnsi="Verdana" w:cs="Verdana" w:hint="default"/>
        <w:color w:val="2E5395"/>
        <w:spacing w:val="0"/>
        <w:w w:val="99"/>
        <w:sz w:val="32"/>
        <w:szCs w:val="32"/>
        <w:lang w:val="en-AU" w:eastAsia="en-US" w:bidi="ar-SA"/>
      </w:rPr>
    </w:lvl>
    <w:lvl w:ilvl="1" w:tplc="172C78A4">
      <w:numFmt w:val="bullet"/>
      <w:lvlText w:val=""/>
      <w:lvlJc w:val="left"/>
      <w:pPr>
        <w:ind w:left="840" w:hanging="361"/>
      </w:pPr>
      <w:rPr>
        <w:rFonts w:ascii="Symbol" w:eastAsia="Symbol" w:hAnsi="Symbol" w:cs="Symbol" w:hint="default"/>
        <w:w w:val="100"/>
        <w:sz w:val="22"/>
        <w:szCs w:val="22"/>
        <w:lang w:val="en-AU" w:eastAsia="en-US" w:bidi="ar-SA"/>
      </w:rPr>
    </w:lvl>
    <w:lvl w:ilvl="2" w:tplc="CDA60262">
      <w:numFmt w:val="bullet"/>
      <w:lvlText w:val="o"/>
      <w:lvlJc w:val="left"/>
      <w:pPr>
        <w:ind w:left="1560" w:hanging="361"/>
      </w:pPr>
      <w:rPr>
        <w:rFonts w:ascii="Courier New" w:eastAsia="Courier New" w:hAnsi="Courier New" w:cs="Courier New" w:hint="default"/>
        <w:w w:val="100"/>
        <w:sz w:val="22"/>
        <w:szCs w:val="22"/>
        <w:lang w:val="en-AU" w:eastAsia="en-US" w:bidi="ar-SA"/>
      </w:rPr>
    </w:lvl>
    <w:lvl w:ilvl="3" w:tplc="A15247F2">
      <w:numFmt w:val="bullet"/>
      <w:lvlText w:val="•"/>
      <w:lvlJc w:val="left"/>
      <w:pPr>
        <w:ind w:left="2562" w:hanging="361"/>
      </w:pPr>
      <w:rPr>
        <w:rFonts w:hint="default"/>
        <w:lang w:val="en-AU" w:eastAsia="en-US" w:bidi="ar-SA"/>
      </w:rPr>
    </w:lvl>
    <w:lvl w:ilvl="4" w:tplc="7660A008">
      <w:numFmt w:val="bullet"/>
      <w:lvlText w:val="•"/>
      <w:lvlJc w:val="left"/>
      <w:pPr>
        <w:ind w:left="3565" w:hanging="361"/>
      </w:pPr>
      <w:rPr>
        <w:rFonts w:hint="default"/>
        <w:lang w:val="en-AU" w:eastAsia="en-US" w:bidi="ar-SA"/>
      </w:rPr>
    </w:lvl>
    <w:lvl w:ilvl="5" w:tplc="FA38EFAC">
      <w:numFmt w:val="bullet"/>
      <w:lvlText w:val="•"/>
      <w:lvlJc w:val="left"/>
      <w:pPr>
        <w:ind w:left="4567" w:hanging="361"/>
      </w:pPr>
      <w:rPr>
        <w:rFonts w:hint="default"/>
        <w:lang w:val="en-AU" w:eastAsia="en-US" w:bidi="ar-SA"/>
      </w:rPr>
    </w:lvl>
    <w:lvl w:ilvl="6" w:tplc="4D38CC7C">
      <w:numFmt w:val="bullet"/>
      <w:lvlText w:val="•"/>
      <w:lvlJc w:val="left"/>
      <w:pPr>
        <w:ind w:left="5570" w:hanging="361"/>
      </w:pPr>
      <w:rPr>
        <w:rFonts w:hint="default"/>
        <w:lang w:val="en-AU" w:eastAsia="en-US" w:bidi="ar-SA"/>
      </w:rPr>
    </w:lvl>
    <w:lvl w:ilvl="7" w:tplc="61D6C6E6">
      <w:numFmt w:val="bullet"/>
      <w:lvlText w:val="•"/>
      <w:lvlJc w:val="left"/>
      <w:pPr>
        <w:ind w:left="6572" w:hanging="361"/>
      </w:pPr>
      <w:rPr>
        <w:rFonts w:hint="default"/>
        <w:lang w:val="en-AU" w:eastAsia="en-US" w:bidi="ar-SA"/>
      </w:rPr>
    </w:lvl>
    <w:lvl w:ilvl="8" w:tplc="F95A9828">
      <w:numFmt w:val="bullet"/>
      <w:lvlText w:val="•"/>
      <w:lvlJc w:val="left"/>
      <w:pPr>
        <w:ind w:left="7575" w:hanging="361"/>
      </w:pPr>
      <w:rPr>
        <w:rFonts w:hint="default"/>
        <w:lang w:val="en-AU" w:eastAsia="en-US" w:bidi="ar-SA"/>
      </w:rPr>
    </w:lvl>
  </w:abstractNum>
  <w:abstractNum w:abstractNumId="7" w15:restartNumberingAfterBreak="0">
    <w:nsid w:val="3C8D2F61"/>
    <w:multiLevelType w:val="hybridMultilevel"/>
    <w:tmpl w:val="C976708A"/>
    <w:lvl w:ilvl="0" w:tplc="FA6A7DE4">
      <w:start w:val="1"/>
      <w:numFmt w:val="decimal"/>
      <w:lvlText w:val="%1."/>
      <w:lvlJc w:val="left"/>
      <w:pPr>
        <w:ind w:left="480" w:hanging="361"/>
      </w:pPr>
      <w:rPr>
        <w:rFonts w:ascii="Verdana" w:eastAsia="Verdana" w:hAnsi="Verdana" w:cs="Verdana" w:hint="default"/>
        <w:color w:val="2E5395"/>
        <w:spacing w:val="0"/>
        <w:w w:val="99"/>
        <w:sz w:val="32"/>
        <w:szCs w:val="32"/>
        <w:lang w:val="en-AU" w:eastAsia="en-US" w:bidi="ar-SA"/>
      </w:rPr>
    </w:lvl>
    <w:lvl w:ilvl="1" w:tplc="172C78A4">
      <w:numFmt w:val="bullet"/>
      <w:lvlText w:val=""/>
      <w:lvlJc w:val="left"/>
      <w:pPr>
        <w:ind w:left="840" w:hanging="361"/>
      </w:pPr>
      <w:rPr>
        <w:rFonts w:ascii="Symbol" w:eastAsia="Symbol" w:hAnsi="Symbol" w:cs="Symbol" w:hint="default"/>
        <w:w w:val="100"/>
        <w:sz w:val="22"/>
        <w:szCs w:val="22"/>
        <w:lang w:val="en-AU" w:eastAsia="en-US" w:bidi="ar-SA"/>
      </w:rPr>
    </w:lvl>
    <w:lvl w:ilvl="2" w:tplc="CDA60262">
      <w:numFmt w:val="bullet"/>
      <w:lvlText w:val="o"/>
      <w:lvlJc w:val="left"/>
      <w:pPr>
        <w:ind w:left="1560" w:hanging="361"/>
      </w:pPr>
      <w:rPr>
        <w:rFonts w:ascii="Courier New" w:eastAsia="Courier New" w:hAnsi="Courier New" w:cs="Courier New" w:hint="default"/>
        <w:w w:val="100"/>
        <w:sz w:val="22"/>
        <w:szCs w:val="22"/>
        <w:lang w:val="en-AU" w:eastAsia="en-US" w:bidi="ar-SA"/>
      </w:rPr>
    </w:lvl>
    <w:lvl w:ilvl="3" w:tplc="A15247F2">
      <w:numFmt w:val="bullet"/>
      <w:lvlText w:val="•"/>
      <w:lvlJc w:val="left"/>
      <w:pPr>
        <w:ind w:left="2562" w:hanging="361"/>
      </w:pPr>
      <w:rPr>
        <w:rFonts w:hint="default"/>
        <w:lang w:val="en-AU" w:eastAsia="en-US" w:bidi="ar-SA"/>
      </w:rPr>
    </w:lvl>
    <w:lvl w:ilvl="4" w:tplc="7660A008">
      <w:numFmt w:val="bullet"/>
      <w:lvlText w:val="•"/>
      <w:lvlJc w:val="left"/>
      <w:pPr>
        <w:ind w:left="3565" w:hanging="361"/>
      </w:pPr>
      <w:rPr>
        <w:rFonts w:hint="default"/>
        <w:lang w:val="en-AU" w:eastAsia="en-US" w:bidi="ar-SA"/>
      </w:rPr>
    </w:lvl>
    <w:lvl w:ilvl="5" w:tplc="FA38EFAC">
      <w:numFmt w:val="bullet"/>
      <w:lvlText w:val="•"/>
      <w:lvlJc w:val="left"/>
      <w:pPr>
        <w:ind w:left="4567" w:hanging="361"/>
      </w:pPr>
      <w:rPr>
        <w:rFonts w:hint="default"/>
        <w:lang w:val="en-AU" w:eastAsia="en-US" w:bidi="ar-SA"/>
      </w:rPr>
    </w:lvl>
    <w:lvl w:ilvl="6" w:tplc="4D38CC7C">
      <w:numFmt w:val="bullet"/>
      <w:lvlText w:val="•"/>
      <w:lvlJc w:val="left"/>
      <w:pPr>
        <w:ind w:left="5570" w:hanging="361"/>
      </w:pPr>
      <w:rPr>
        <w:rFonts w:hint="default"/>
        <w:lang w:val="en-AU" w:eastAsia="en-US" w:bidi="ar-SA"/>
      </w:rPr>
    </w:lvl>
    <w:lvl w:ilvl="7" w:tplc="61D6C6E6">
      <w:numFmt w:val="bullet"/>
      <w:lvlText w:val="•"/>
      <w:lvlJc w:val="left"/>
      <w:pPr>
        <w:ind w:left="6572" w:hanging="361"/>
      </w:pPr>
      <w:rPr>
        <w:rFonts w:hint="default"/>
        <w:lang w:val="en-AU" w:eastAsia="en-US" w:bidi="ar-SA"/>
      </w:rPr>
    </w:lvl>
    <w:lvl w:ilvl="8" w:tplc="F95A9828">
      <w:numFmt w:val="bullet"/>
      <w:lvlText w:val="•"/>
      <w:lvlJc w:val="left"/>
      <w:pPr>
        <w:ind w:left="7575" w:hanging="361"/>
      </w:pPr>
      <w:rPr>
        <w:rFonts w:hint="default"/>
        <w:lang w:val="en-AU" w:eastAsia="en-US" w:bidi="ar-SA"/>
      </w:rPr>
    </w:lvl>
  </w:abstractNum>
  <w:abstractNum w:abstractNumId="8" w15:restartNumberingAfterBreak="0">
    <w:nsid w:val="53077256"/>
    <w:multiLevelType w:val="hybridMultilevel"/>
    <w:tmpl w:val="C976708A"/>
    <w:lvl w:ilvl="0" w:tplc="FA6A7DE4">
      <w:start w:val="1"/>
      <w:numFmt w:val="decimal"/>
      <w:lvlText w:val="%1."/>
      <w:lvlJc w:val="left"/>
      <w:pPr>
        <w:ind w:left="480" w:hanging="361"/>
      </w:pPr>
      <w:rPr>
        <w:rFonts w:ascii="Verdana" w:eastAsia="Verdana" w:hAnsi="Verdana" w:cs="Verdana" w:hint="default"/>
        <w:color w:val="2E5395"/>
        <w:spacing w:val="0"/>
        <w:w w:val="99"/>
        <w:sz w:val="32"/>
        <w:szCs w:val="32"/>
        <w:lang w:val="en-AU" w:eastAsia="en-US" w:bidi="ar-SA"/>
      </w:rPr>
    </w:lvl>
    <w:lvl w:ilvl="1" w:tplc="172C78A4">
      <w:numFmt w:val="bullet"/>
      <w:lvlText w:val=""/>
      <w:lvlJc w:val="left"/>
      <w:pPr>
        <w:ind w:left="840" w:hanging="361"/>
      </w:pPr>
      <w:rPr>
        <w:rFonts w:ascii="Symbol" w:eastAsia="Symbol" w:hAnsi="Symbol" w:cs="Symbol" w:hint="default"/>
        <w:w w:val="100"/>
        <w:sz w:val="22"/>
        <w:szCs w:val="22"/>
        <w:lang w:val="en-AU" w:eastAsia="en-US" w:bidi="ar-SA"/>
      </w:rPr>
    </w:lvl>
    <w:lvl w:ilvl="2" w:tplc="CDA60262">
      <w:numFmt w:val="bullet"/>
      <w:lvlText w:val="o"/>
      <w:lvlJc w:val="left"/>
      <w:pPr>
        <w:ind w:left="1560" w:hanging="361"/>
      </w:pPr>
      <w:rPr>
        <w:rFonts w:ascii="Courier New" w:eastAsia="Courier New" w:hAnsi="Courier New" w:cs="Courier New" w:hint="default"/>
        <w:w w:val="100"/>
        <w:sz w:val="22"/>
        <w:szCs w:val="22"/>
        <w:lang w:val="en-AU" w:eastAsia="en-US" w:bidi="ar-SA"/>
      </w:rPr>
    </w:lvl>
    <w:lvl w:ilvl="3" w:tplc="A15247F2">
      <w:numFmt w:val="bullet"/>
      <w:lvlText w:val="•"/>
      <w:lvlJc w:val="left"/>
      <w:pPr>
        <w:ind w:left="2562" w:hanging="361"/>
      </w:pPr>
      <w:rPr>
        <w:rFonts w:hint="default"/>
        <w:lang w:val="en-AU" w:eastAsia="en-US" w:bidi="ar-SA"/>
      </w:rPr>
    </w:lvl>
    <w:lvl w:ilvl="4" w:tplc="7660A008">
      <w:numFmt w:val="bullet"/>
      <w:lvlText w:val="•"/>
      <w:lvlJc w:val="left"/>
      <w:pPr>
        <w:ind w:left="3565" w:hanging="361"/>
      </w:pPr>
      <w:rPr>
        <w:rFonts w:hint="default"/>
        <w:lang w:val="en-AU" w:eastAsia="en-US" w:bidi="ar-SA"/>
      </w:rPr>
    </w:lvl>
    <w:lvl w:ilvl="5" w:tplc="FA38EFAC">
      <w:numFmt w:val="bullet"/>
      <w:lvlText w:val="•"/>
      <w:lvlJc w:val="left"/>
      <w:pPr>
        <w:ind w:left="4567" w:hanging="361"/>
      </w:pPr>
      <w:rPr>
        <w:rFonts w:hint="default"/>
        <w:lang w:val="en-AU" w:eastAsia="en-US" w:bidi="ar-SA"/>
      </w:rPr>
    </w:lvl>
    <w:lvl w:ilvl="6" w:tplc="4D38CC7C">
      <w:numFmt w:val="bullet"/>
      <w:lvlText w:val="•"/>
      <w:lvlJc w:val="left"/>
      <w:pPr>
        <w:ind w:left="5570" w:hanging="361"/>
      </w:pPr>
      <w:rPr>
        <w:rFonts w:hint="default"/>
        <w:lang w:val="en-AU" w:eastAsia="en-US" w:bidi="ar-SA"/>
      </w:rPr>
    </w:lvl>
    <w:lvl w:ilvl="7" w:tplc="61D6C6E6">
      <w:numFmt w:val="bullet"/>
      <w:lvlText w:val="•"/>
      <w:lvlJc w:val="left"/>
      <w:pPr>
        <w:ind w:left="6572" w:hanging="361"/>
      </w:pPr>
      <w:rPr>
        <w:rFonts w:hint="default"/>
        <w:lang w:val="en-AU" w:eastAsia="en-US" w:bidi="ar-SA"/>
      </w:rPr>
    </w:lvl>
    <w:lvl w:ilvl="8" w:tplc="F95A9828">
      <w:numFmt w:val="bullet"/>
      <w:lvlText w:val="•"/>
      <w:lvlJc w:val="left"/>
      <w:pPr>
        <w:ind w:left="7575" w:hanging="361"/>
      </w:pPr>
      <w:rPr>
        <w:rFonts w:hint="default"/>
        <w:lang w:val="en-AU" w:eastAsia="en-US" w:bidi="ar-SA"/>
      </w:rPr>
    </w:lvl>
  </w:abstractNum>
  <w:abstractNum w:abstractNumId="9" w15:restartNumberingAfterBreak="0">
    <w:nsid w:val="60EF0561"/>
    <w:multiLevelType w:val="hybridMultilevel"/>
    <w:tmpl w:val="F4CE360A"/>
    <w:lvl w:ilvl="0" w:tplc="64AA634A">
      <w:numFmt w:val="bullet"/>
      <w:lvlText w:val="•"/>
      <w:lvlJc w:val="left"/>
      <w:pPr>
        <w:ind w:left="495" w:hanging="213"/>
      </w:pPr>
      <w:rPr>
        <w:rFonts w:ascii="Arial" w:eastAsia="Arial" w:hAnsi="Arial" w:cs="Arial" w:hint="default"/>
        <w:w w:val="101"/>
        <w:sz w:val="12"/>
        <w:szCs w:val="12"/>
        <w:lang w:val="en-AU" w:eastAsia="en-US" w:bidi="ar-SA"/>
      </w:rPr>
    </w:lvl>
    <w:lvl w:ilvl="1" w:tplc="7C4E60C2">
      <w:numFmt w:val="bullet"/>
      <w:lvlText w:val="•"/>
      <w:lvlJc w:val="left"/>
      <w:pPr>
        <w:ind w:left="1408" w:hanging="213"/>
      </w:pPr>
      <w:rPr>
        <w:rFonts w:hint="default"/>
        <w:lang w:val="en-AU" w:eastAsia="en-US" w:bidi="ar-SA"/>
      </w:rPr>
    </w:lvl>
    <w:lvl w:ilvl="2" w:tplc="5CD0F68A">
      <w:numFmt w:val="bullet"/>
      <w:lvlText w:val="•"/>
      <w:lvlJc w:val="left"/>
      <w:pPr>
        <w:ind w:left="2316" w:hanging="213"/>
      </w:pPr>
      <w:rPr>
        <w:rFonts w:hint="default"/>
        <w:lang w:val="en-AU" w:eastAsia="en-US" w:bidi="ar-SA"/>
      </w:rPr>
    </w:lvl>
    <w:lvl w:ilvl="3" w:tplc="C3C6FF52">
      <w:numFmt w:val="bullet"/>
      <w:lvlText w:val="•"/>
      <w:lvlJc w:val="left"/>
      <w:pPr>
        <w:ind w:left="3224" w:hanging="213"/>
      </w:pPr>
      <w:rPr>
        <w:rFonts w:hint="default"/>
        <w:lang w:val="en-AU" w:eastAsia="en-US" w:bidi="ar-SA"/>
      </w:rPr>
    </w:lvl>
    <w:lvl w:ilvl="4" w:tplc="73B6A440">
      <w:numFmt w:val="bullet"/>
      <w:lvlText w:val="•"/>
      <w:lvlJc w:val="left"/>
      <w:pPr>
        <w:ind w:left="4132" w:hanging="213"/>
      </w:pPr>
      <w:rPr>
        <w:rFonts w:hint="default"/>
        <w:lang w:val="en-AU" w:eastAsia="en-US" w:bidi="ar-SA"/>
      </w:rPr>
    </w:lvl>
    <w:lvl w:ilvl="5" w:tplc="A52050CE">
      <w:numFmt w:val="bullet"/>
      <w:lvlText w:val="•"/>
      <w:lvlJc w:val="left"/>
      <w:pPr>
        <w:ind w:left="5040" w:hanging="213"/>
      </w:pPr>
      <w:rPr>
        <w:rFonts w:hint="default"/>
        <w:lang w:val="en-AU" w:eastAsia="en-US" w:bidi="ar-SA"/>
      </w:rPr>
    </w:lvl>
    <w:lvl w:ilvl="6" w:tplc="7A406CAE">
      <w:numFmt w:val="bullet"/>
      <w:lvlText w:val="•"/>
      <w:lvlJc w:val="left"/>
      <w:pPr>
        <w:ind w:left="5948" w:hanging="213"/>
      </w:pPr>
      <w:rPr>
        <w:rFonts w:hint="default"/>
        <w:lang w:val="en-AU" w:eastAsia="en-US" w:bidi="ar-SA"/>
      </w:rPr>
    </w:lvl>
    <w:lvl w:ilvl="7" w:tplc="EF20612E">
      <w:numFmt w:val="bullet"/>
      <w:lvlText w:val="•"/>
      <w:lvlJc w:val="left"/>
      <w:pPr>
        <w:ind w:left="6856" w:hanging="213"/>
      </w:pPr>
      <w:rPr>
        <w:rFonts w:hint="default"/>
        <w:lang w:val="en-AU" w:eastAsia="en-US" w:bidi="ar-SA"/>
      </w:rPr>
    </w:lvl>
    <w:lvl w:ilvl="8" w:tplc="8D568936">
      <w:numFmt w:val="bullet"/>
      <w:lvlText w:val="•"/>
      <w:lvlJc w:val="left"/>
      <w:pPr>
        <w:ind w:left="7764" w:hanging="213"/>
      </w:pPr>
      <w:rPr>
        <w:rFonts w:hint="default"/>
        <w:lang w:val="en-AU" w:eastAsia="en-US" w:bidi="ar-SA"/>
      </w:rPr>
    </w:lvl>
  </w:abstractNum>
  <w:abstractNum w:abstractNumId="10" w15:restartNumberingAfterBreak="0">
    <w:nsid w:val="65081EC5"/>
    <w:multiLevelType w:val="hybridMultilevel"/>
    <w:tmpl w:val="140A4ACE"/>
    <w:lvl w:ilvl="0" w:tplc="0AD4A5AC">
      <w:numFmt w:val="bullet"/>
      <w:lvlText w:val=""/>
      <w:lvlJc w:val="left"/>
      <w:pPr>
        <w:ind w:left="720" w:hanging="360"/>
      </w:pPr>
      <w:rPr>
        <w:rFonts w:ascii="Symbol" w:eastAsia="Verdana" w:hAnsi="Symbol" w:cs="Verdana"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A6A38C9"/>
    <w:multiLevelType w:val="hybridMultilevel"/>
    <w:tmpl w:val="1534CFDE"/>
    <w:lvl w:ilvl="0" w:tplc="E1A660CE">
      <w:start w:val="4"/>
      <w:numFmt w:val="bullet"/>
      <w:lvlText w:val=""/>
      <w:lvlJc w:val="left"/>
      <w:pPr>
        <w:ind w:left="480" w:hanging="360"/>
      </w:pPr>
      <w:rPr>
        <w:rFonts w:ascii="Symbol" w:eastAsia="Verdana" w:hAnsi="Symbol" w:cs="Verdana" w:hint="default"/>
      </w:rPr>
    </w:lvl>
    <w:lvl w:ilvl="1" w:tplc="0C090003">
      <w:start w:val="1"/>
      <w:numFmt w:val="bullet"/>
      <w:lvlText w:val="o"/>
      <w:lvlJc w:val="left"/>
      <w:pPr>
        <w:ind w:left="1200" w:hanging="360"/>
      </w:pPr>
      <w:rPr>
        <w:rFonts w:ascii="Courier New" w:hAnsi="Courier New" w:cs="Courier New" w:hint="default"/>
      </w:rPr>
    </w:lvl>
    <w:lvl w:ilvl="2" w:tplc="0C090005" w:tentative="1">
      <w:start w:val="1"/>
      <w:numFmt w:val="bullet"/>
      <w:lvlText w:val=""/>
      <w:lvlJc w:val="left"/>
      <w:pPr>
        <w:ind w:left="1920" w:hanging="360"/>
      </w:pPr>
      <w:rPr>
        <w:rFonts w:ascii="Wingdings" w:hAnsi="Wingdings" w:hint="default"/>
      </w:rPr>
    </w:lvl>
    <w:lvl w:ilvl="3" w:tplc="0C090001" w:tentative="1">
      <w:start w:val="1"/>
      <w:numFmt w:val="bullet"/>
      <w:lvlText w:val=""/>
      <w:lvlJc w:val="left"/>
      <w:pPr>
        <w:ind w:left="2640" w:hanging="360"/>
      </w:pPr>
      <w:rPr>
        <w:rFonts w:ascii="Symbol" w:hAnsi="Symbol" w:hint="default"/>
      </w:rPr>
    </w:lvl>
    <w:lvl w:ilvl="4" w:tplc="0C090003" w:tentative="1">
      <w:start w:val="1"/>
      <w:numFmt w:val="bullet"/>
      <w:lvlText w:val="o"/>
      <w:lvlJc w:val="left"/>
      <w:pPr>
        <w:ind w:left="3360" w:hanging="360"/>
      </w:pPr>
      <w:rPr>
        <w:rFonts w:ascii="Courier New" w:hAnsi="Courier New" w:cs="Courier New" w:hint="default"/>
      </w:rPr>
    </w:lvl>
    <w:lvl w:ilvl="5" w:tplc="0C090005" w:tentative="1">
      <w:start w:val="1"/>
      <w:numFmt w:val="bullet"/>
      <w:lvlText w:val=""/>
      <w:lvlJc w:val="left"/>
      <w:pPr>
        <w:ind w:left="4080" w:hanging="360"/>
      </w:pPr>
      <w:rPr>
        <w:rFonts w:ascii="Wingdings" w:hAnsi="Wingdings" w:hint="default"/>
      </w:rPr>
    </w:lvl>
    <w:lvl w:ilvl="6" w:tplc="0C090001" w:tentative="1">
      <w:start w:val="1"/>
      <w:numFmt w:val="bullet"/>
      <w:lvlText w:val=""/>
      <w:lvlJc w:val="left"/>
      <w:pPr>
        <w:ind w:left="4800" w:hanging="360"/>
      </w:pPr>
      <w:rPr>
        <w:rFonts w:ascii="Symbol" w:hAnsi="Symbol" w:hint="default"/>
      </w:rPr>
    </w:lvl>
    <w:lvl w:ilvl="7" w:tplc="0C090003" w:tentative="1">
      <w:start w:val="1"/>
      <w:numFmt w:val="bullet"/>
      <w:lvlText w:val="o"/>
      <w:lvlJc w:val="left"/>
      <w:pPr>
        <w:ind w:left="5520" w:hanging="360"/>
      </w:pPr>
      <w:rPr>
        <w:rFonts w:ascii="Courier New" w:hAnsi="Courier New" w:cs="Courier New" w:hint="default"/>
      </w:rPr>
    </w:lvl>
    <w:lvl w:ilvl="8" w:tplc="0C090005" w:tentative="1">
      <w:start w:val="1"/>
      <w:numFmt w:val="bullet"/>
      <w:lvlText w:val=""/>
      <w:lvlJc w:val="left"/>
      <w:pPr>
        <w:ind w:left="6240" w:hanging="360"/>
      </w:pPr>
      <w:rPr>
        <w:rFonts w:ascii="Wingdings" w:hAnsi="Wingdings" w:hint="default"/>
      </w:rPr>
    </w:lvl>
  </w:abstractNum>
  <w:abstractNum w:abstractNumId="12" w15:restartNumberingAfterBreak="0">
    <w:nsid w:val="6AFC0C62"/>
    <w:multiLevelType w:val="hybridMultilevel"/>
    <w:tmpl w:val="5F5CDACC"/>
    <w:lvl w:ilvl="0" w:tplc="0AD4A5AC">
      <w:numFmt w:val="bullet"/>
      <w:lvlText w:val=""/>
      <w:lvlJc w:val="left"/>
      <w:pPr>
        <w:ind w:left="720" w:hanging="360"/>
      </w:pPr>
      <w:rPr>
        <w:rFonts w:ascii="Symbol" w:eastAsia="Verdana" w:hAnsi="Symbol" w:cs="Verdana"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58959CF"/>
    <w:multiLevelType w:val="hybridMultilevel"/>
    <w:tmpl w:val="DA6AB0E0"/>
    <w:lvl w:ilvl="0" w:tplc="FFFFFFFF">
      <w:start w:val="1"/>
      <w:numFmt w:val="decimal"/>
      <w:lvlText w:val="%1."/>
      <w:lvlJc w:val="left"/>
      <w:pPr>
        <w:ind w:left="839" w:hanging="360"/>
      </w:pPr>
    </w:lvl>
    <w:lvl w:ilvl="1" w:tplc="FFFFFFFF" w:tentative="1">
      <w:start w:val="1"/>
      <w:numFmt w:val="lowerLetter"/>
      <w:lvlText w:val="%2."/>
      <w:lvlJc w:val="left"/>
      <w:pPr>
        <w:ind w:left="1559" w:hanging="360"/>
      </w:pPr>
    </w:lvl>
    <w:lvl w:ilvl="2" w:tplc="FFFFFFFF" w:tentative="1">
      <w:start w:val="1"/>
      <w:numFmt w:val="lowerRoman"/>
      <w:lvlText w:val="%3."/>
      <w:lvlJc w:val="right"/>
      <w:pPr>
        <w:ind w:left="2279" w:hanging="180"/>
      </w:pPr>
    </w:lvl>
    <w:lvl w:ilvl="3" w:tplc="FFFFFFFF" w:tentative="1">
      <w:start w:val="1"/>
      <w:numFmt w:val="decimal"/>
      <w:lvlText w:val="%4."/>
      <w:lvlJc w:val="left"/>
      <w:pPr>
        <w:ind w:left="2999" w:hanging="360"/>
      </w:pPr>
    </w:lvl>
    <w:lvl w:ilvl="4" w:tplc="FFFFFFFF" w:tentative="1">
      <w:start w:val="1"/>
      <w:numFmt w:val="lowerLetter"/>
      <w:lvlText w:val="%5."/>
      <w:lvlJc w:val="left"/>
      <w:pPr>
        <w:ind w:left="3719" w:hanging="360"/>
      </w:pPr>
    </w:lvl>
    <w:lvl w:ilvl="5" w:tplc="FFFFFFFF" w:tentative="1">
      <w:start w:val="1"/>
      <w:numFmt w:val="lowerRoman"/>
      <w:lvlText w:val="%6."/>
      <w:lvlJc w:val="right"/>
      <w:pPr>
        <w:ind w:left="4439" w:hanging="180"/>
      </w:pPr>
    </w:lvl>
    <w:lvl w:ilvl="6" w:tplc="FFFFFFFF" w:tentative="1">
      <w:start w:val="1"/>
      <w:numFmt w:val="decimal"/>
      <w:lvlText w:val="%7."/>
      <w:lvlJc w:val="left"/>
      <w:pPr>
        <w:ind w:left="5159" w:hanging="360"/>
      </w:pPr>
    </w:lvl>
    <w:lvl w:ilvl="7" w:tplc="FFFFFFFF" w:tentative="1">
      <w:start w:val="1"/>
      <w:numFmt w:val="lowerLetter"/>
      <w:lvlText w:val="%8."/>
      <w:lvlJc w:val="left"/>
      <w:pPr>
        <w:ind w:left="5879" w:hanging="360"/>
      </w:pPr>
    </w:lvl>
    <w:lvl w:ilvl="8" w:tplc="FFFFFFFF" w:tentative="1">
      <w:start w:val="1"/>
      <w:numFmt w:val="lowerRoman"/>
      <w:lvlText w:val="%9."/>
      <w:lvlJc w:val="right"/>
      <w:pPr>
        <w:ind w:left="6599" w:hanging="180"/>
      </w:pPr>
    </w:lvl>
  </w:abstractNum>
  <w:abstractNum w:abstractNumId="14" w15:restartNumberingAfterBreak="0">
    <w:nsid w:val="7AC34FA9"/>
    <w:multiLevelType w:val="hybridMultilevel"/>
    <w:tmpl w:val="9D460ABC"/>
    <w:lvl w:ilvl="0" w:tplc="DE04F974">
      <w:numFmt w:val="bullet"/>
      <w:lvlText w:val=""/>
      <w:lvlJc w:val="left"/>
      <w:pPr>
        <w:ind w:left="479" w:hanging="360"/>
      </w:pPr>
      <w:rPr>
        <w:rFonts w:ascii="Symbol" w:eastAsia="Verdana" w:hAnsi="Symbol" w:cs="Verdana" w:hint="default"/>
      </w:rPr>
    </w:lvl>
    <w:lvl w:ilvl="1" w:tplc="0C090003" w:tentative="1">
      <w:start w:val="1"/>
      <w:numFmt w:val="bullet"/>
      <w:lvlText w:val="o"/>
      <w:lvlJc w:val="left"/>
      <w:pPr>
        <w:ind w:left="1199" w:hanging="360"/>
      </w:pPr>
      <w:rPr>
        <w:rFonts w:ascii="Courier New" w:hAnsi="Courier New" w:cs="Courier New" w:hint="default"/>
      </w:rPr>
    </w:lvl>
    <w:lvl w:ilvl="2" w:tplc="0C090005" w:tentative="1">
      <w:start w:val="1"/>
      <w:numFmt w:val="bullet"/>
      <w:lvlText w:val=""/>
      <w:lvlJc w:val="left"/>
      <w:pPr>
        <w:ind w:left="1919" w:hanging="360"/>
      </w:pPr>
      <w:rPr>
        <w:rFonts w:ascii="Wingdings" w:hAnsi="Wingdings" w:hint="default"/>
      </w:rPr>
    </w:lvl>
    <w:lvl w:ilvl="3" w:tplc="0C090001" w:tentative="1">
      <w:start w:val="1"/>
      <w:numFmt w:val="bullet"/>
      <w:lvlText w:val=""/>
      <w:lvlJc w:val="left"/>
      <w:pPr>
        <w:ind w:left="2639" w:hanging="360"/>
      </w:pPr>
      <w:rPr>
        <w:rFonts w:ascii="Symbol" w:hAnsi="Symbol" w:hint="default"/>
      </w:rPr>
    </w:lvl>
    <w:lvl w:ilvl="4" w:tplc="0C090003" w:tentative="1">
      <w:start w:val="1"/>
      <w:numFmt w:val="bullet"/>
      <w:lvlText w:val="o"/>
      <w:lvlJc w:val="left"/>
      <w:pPr>
        <w:ind w:left="3359" w:hanging="360"/>
      </w:pPr>
      <w:rPr>
        <w:rFonts w:ascii="Courier New" w:hAnsi="Courier New" w:cs="Courier New" w:hint="default"/>
      </w:rPr>
    </w:lvl>
    <w:lvl w:ilvl="5" w:tplc="0C090005" w:tentative="1">
      <w:start w:val="1"/>
      <w:numFmt w:val="bullet"/>
      <w:lvlText w:val=""/>
      <w:lvlJc w:val="left"/>
      <w:pPr>
        <w:ind w:left="4079" w:hanging="360"/>
      </w:pPr>
      <w:rPr>
        <w:rFonts w:ascii="Wingdings" w:hAnsi="Wingdings" w:hint="default"/>
      </w:rPr>
    </w:lvl>
    <w:lvl w:ilvl="6" w:tplc="0C090001" w:tentative="1">
      <w:start w:val="1"/>
      <w:numFmt w:val="bullet"/>
      <w:lvlText w:val=""/>
      <w:lvlJc w:val="left"/>
      <w:pPr>
        <w:ind w:left="4799" w:hanging="360"/>
      </w:pPr>
      <w:rPr>
        <w:rFonts w:ascii="Symbol" w:hAnsi="Symbol" w:hint="default"/>
      </w:rPr>
    </w:lvl>
    <w:lvl w:ilvl="7" w:tplc="0C090003" w:tentative="1">
      <w:start w:val="1"/>
      <w:numFmt w:val="bullet"/>
      <w:lvlText w:val="o"/>
      <w:lvlJc w:val="left"/>
      <w:pPr>
        <w:ind w:left="5519" w:hanging="360"/>
      </w:pPr>
      <w:rPr>
        <w:rFonts w:ascii="Courier New" w:hAnsi="Courier New" w:cs="Courier New" w:hint="default"/>
      </w:rPr>
    </w:lvl>
    <w:lvl w:ilvl="8" w:tplc="0C090005" w:tentative="1">
      <w:start w:val="1"/>
      <w:numFmt w:val="bullet"/>
      <w:lvlText w:val=""/>
      <w:lvlJc w:val="left"/>
      <w:pPr>
        <w:ind w:left="6239" w:hanging="360"/>
      </w:pPr>
      <w:rPr>
        <w:rFonts w:ascii="Wingdings" w:hAnsi="Wingdings" w:hint="default"/>
      </w:rPr>
    </w:lvl>
  </w:abstractNum>
  <w:abstractNum w:abstractNumId="15" w15:restartNumberingAfterBreak="0">
    <w:nsid w:val="7E196065"/>
    <w:multiLevelType w:val="multilevel"/>
    <w:tmpl w:val="F4DAFA8C"/>
    <w:lvl w:ilvl="0">
      <w:start w:val="1"/>
      <w:numFmt w:val="decimal"/>
      <w:lvlText w:val="%1."/>
      <w:lvlJc w:val="left"/>
      <w:pPr>
        <w:ind w:left="360" w:hanging="360"/>
      </w:pPr>
      <w:rPr>
        <w:rFonts w:hint="default"/>
        <w:b w:val="0"/>
        <w:bCs w:val="0"/>
        <w:color w:val="4F81BD" w:themeColor="accent1"/>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num w:numId="1" w16cid:durableId="1093092883">
    <w:abstractNumId w:val="2"/>
  </w:num>
  <w:num w:numId="2" w16cid:durableId="1688022434">
    <w:abstractNumId w:val="9"/>
  </w:num>
  <w:num w:numId="3" w16cid:durableId="880897111">
    <w:abstractNumId w:val="7"/>
  </w:num>
  <w:num w:numId="4" w16cid:durableId="237181394">
    <w:abstractNumId w:val="6"/>
  </w:num>
  <w:num w:numId="5" w16cid:durableId="1756592178">
    <w:abstractNumId w:val="8"/>
  </w:num>
  <w:num w:numId="6" w16cid:durableId="1807316826">
    <w:abstractNumId w:val="11"/>
  </w:num>
  <w:num w:numId="7" w16cid:durableId="2075925988">
    <w:abstractNumId w:val="15"/>
  </w:num>
  <w:num w:numId="8" w16cid:durableId="435641566">
    <w:abstractNumId w:val="1"/>
  </w:num>
  <w:num w:numId="9" w16cid:durableId="736899473">
    <w:abstractNumId w:val="13"/>
  </w:num>
  <w:num w:numId="10" w16cid:durableId="1235775648">
    <w:abstractNumId w:val="4"/>
  </w:num>
  <w:num w:numId="11" w16cid:durableId="341326221">
    <w:abstractNumId w:val="5"/>
  </w:num>
  <w:num w:numId="12" w16cid:durableId="467018918">
    <w:abstractNumId w:val="3"/>
  </w:num>
  <w:num w:numId="13" w16cid:durableId="1036349434">
    <w:abstractNumId w:val="0"/>
  </w:num>
  <w:num w:numId="14" w16cid:durableId="1449932012">
    <w:abstractNumId w:val="14"/>
  </w:num>
  <w:num w:numId="15" w16cid:durableId="1766076288">
    <w:abstractNumId w:val="10"/>
  </w:num>
  <w:num w:numId="16" w16cid:durableId="4793481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hicago 17th Footnote Copy&lt;/Style&gt;&lt;LeftDelim&gt;{&lt;/LeftDelim&gt;&lt;RightDelim&gt;}&lt;/RightDelim&gt;&lt;FontName&gt;Verdan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vzd2dx21wzx23e9p9wxpde9was55s9aevsr&quot;&gt;My EndNote Library&lt;record-ids&gt;&lt;item&gt;1141&lt;/item&gt;&lt;item&gt;2243&lt;/item&gt;&lt;item&gt;2415&lt;/item&gt;&lt;item&gt;2484&lt;/item&gt;&lt;item&gt;2680&lt;/item&gt;&lt;item&gt;2693&lt;/item&gt;&lt;item&gt;2733&lt;/item&gt;&lt;item&gt;2785&lt;/item&gt;&lt;item&gt;2795&lt;/item&gt;&lt;item&gt;2843&lt;/item&gt;&lt;item&gt;2844&lt;/item&gt;&lt;item&gt;2845&lt;/item&gt;&lt;item&gt;2846&lt;/item&gt;&lt;item&gt;2847&lt;/item&gt;&lt;item&gt;2848&lt;/item&gt;&lt;item&gt;2849&lt;/item&gt;&lt;item&gt;2850&lt;/item&gt;&lt;item&gt;2851&lt;/item&gt;&lt;item&gt;2852&lt;/item&gt;&lt;item&gt;2853&lt;/item&gt;&lt;item&gt;2854&lt;/item&gt;&lt;item&gt;2855&lt;/item&gt;&lt;item&gt;2856&lt;/item&gt;&lt;item&gt;2857&lt;/item&gt;&lt;item&gt;2858&lt;/item&gt;&lt;item&gt;2859&lt;/item&gt;&lt;/record-ids&gt;&lt;/item&gt;&lt;/Libraries&gt;"/>
  </w:docVars>
  <w:rsids>
    <w:rsidRoot w:val="00724833"/>
    <w:rsid w:val="000011AE"/>
    <w:rsid w:val="00002211"/>
    <w:rsid w:val="00005FB0"/>
    <w:rsid w:val="00011151"/>
    <w:rsid w:val="00012291"/>
    <w:rsid w:val="000131EF"/>
    <w:rsid w:val="0001467E"/>
    <w:rsid w:val="00016679"/>
    <w:rsid w:val="0001733F"/>
    <w:rsid w:val="00017707"/>
    <w:rsid w:val="000215BC"/>
    <w:rsid w:val="00025723"/>
    <w:rsid w:val="00026916"/>
    <w:rsid w:val="00026FCD"/>
    <w:rsid w:val="00034583"/>
    <w:rsid w:val="000352B1"/>
    <w:rsid w:val="00035B6B"/>
    <w:rsid w:val="0004084E"/>
    <w:rsid w:val="00042AAF"/>
    <w:rsid w:val="00043983"/>
    <w:rsid w:val="00044F0C"/>
    <w:rsid w:val="00046BCC"/>
    <w:rsid w:val="00051E8D"/>
    <w:rsid w:val="00053CFA"/>
    <w:rsid w:val="000557F1"/>
    <w:rsid w:val="00056B32"/>
    <w:rsid w:val="00056EAB"/>
    <w:rsid w:val="00060FAB"/>
    <w:rsid w:val="0006343E"/>
    <w:rsid w:val="0006459E"/>
    <w:rsid w:val="00065C15"/>
    <w:rsid w:val="000669DD"/>
    <w:rsid w:val="000734A2"/>
    <w:rsid w:val="00074FEE"/>
    <w:rsid w:val="00075612"/>
    <w:rsid w:val="00075EC3"/>
    <w:rsid w:val="00076357"/>
    <w:rsid w:val="00084C23"/>
    <w:rsid w:val="00085A85"/>
    <w:rsid w:val="00087A5C"/>
    <w:rsid w:val="000900B1"/>
    <w:rsid w:val="00090770"/>
    <w:rsid w:val="00095D38"/>
    <w:rsid w:val="000979C2"/>
    <w:rsid w:val="000A009F"/>
    <w:rsid w:val="000A09DC"/>
    <w:rsid w:val="000A0E8A"/>
    <w:rsid w:val="000A31B4"/>
    <w:rsid w:val="000A4950"/>
    <w:rsid w:val="000A7DAE"/>
    <w:rsid w:val="000B2D2C"/>
    <w:rsid w:val="000B3AB7"/>
    <w:rsid w:val="000B6ADD"/>
    <w:rsid w:val="000B78F5"/>
    <w:rsid w:val="000C1D37"/>
    <w:rsid w:val="000C33F8"/>
    <w:rsid w:val="000D0FF4"/>
    <w:rsid w:val="000D39C8"/>
    <w:rsid w:val="000E2B2A"/>
    <w:rsid w:val="000E32B7"/>
    <w:rsid w:val="000E503F"/>
    <w:rsid w:val="000E5271"/>
    <w:rsid w:val="000E792B"/>
    <w:rsid w:val="000F25D5"/>
    <w:rsid w:val="000F3706"/>
    <w:rsid w:val="000F4152"/>
    <w:rsid w:val="000F5F18"/>
    <w:rsid w:val="000F75FD"/>
    <w:rsid w:val="00105C13"/>
    <w:rsid w:val="001067CD"/>
    <w:rsid w:val="00107194"/>
    <w:rsid w:val="00113B25"/>
    <w:rsid w:val="001162A9"/>
    <w:rsid w:val="00116E90"/>
    <w:rsid w:val="00117DE5"/>
    <w:rsid w:val="00122371"/>
    <w:rsid w:val="00122B6B"/>
    <w:rsid w:val="00123D98"/>
    <w:rsid w:val="001331AA"/>
    <w:rsid w:val="001331E7"/>
    <w:rsid w:val="001334A2"/>
    <w:rsid w:val="00134C00"/>
    <w:rsid w:val="00134D12"/>
    <w:rsid w:val="00135D8F"/>
    <w:rsid w:val="00137A35"/>
    <w:rsid w:val="00142445"/>
    <w:rsid w:val="001424E0"/>
    <w:rsid w:val="00144BAC"/>
    <w:rsid w:val="001504B7"/>
    <w:rsid w:val="001577ED"/>
    <w:rsid w:val="001617F4"/>
    <w:rsid w:val="00161D50"/>
    <w:rsid w:val="001644ED"/>
    <w:rsid w:val="00166470"/>
    <w:rsid w:val="0016723A"/>
    <w:rsid w:val="00167AEC"/>
    <w:rsid w:val="00170102"/>
    <w:rsid w:val="00170F6F"/>
    <w:rsid w:val="00171578"/>
    <w:rsid w:val="001715E6"/>
    <w:rsid w:val="00174C6B"/>
    <w:rsid w:val="00177F2A"/>
    <w:rsid w:val="00182144"/>
    <w:rsid w:val="0018537F"/>
    <w:rsid w:val="00186120"/>
    <w:rsid w:val="001877E6"/>
    <w:rsid w:val="00191FF6"/>
    <w:rsid w:val="00193970"/>
    <w:rsid w:val="00194DBB"/>
    <w:rsid w:val="00196529"/>
    <w:rsid w:val="001A05F9"/>
    <w:rsid w:val="001A110B"/>
    <w:rsid w:val="001A24FB"/>
    <w:rsid w:val="001A2B45"/>
    <w:rsid w:val="001A2F35"/>
    <w:rsid w:val="001A374F"/>
    <w:rsid w:val="001A3BC5"/>
    <w:rsid w:val="001A5E2F"/>
    <w:rsid w:val="001A6121"/>
    <w:rsid w:val="001A6605"/>
    <w:rsid w:val="001B1F3C"/>
    <w:rsid w:val="001B2B0B"/>
    <w:rsid w:val="001B4057"/>
    <w:rsid w:val="001B4625"/>
    <w:rsid w:val="001B5A17"/>
    <w:rsid w:val="001B771F"/>
    <w:rsid w:val="001B7E20"/>
    <w:rsid w:val="001C2B79"/>
    <w:rsid w:val="001C3AFC"/>
    <w:rsid w:val="001C7978"/>
    <w:rsid w:val="001D3053"/>
    <w:rsid w:val="001D407A"/>
    <w:rsid w:val="001D5254"/>
    <w:rsid w:val="001D6B11"/>
    <w:rsid w:val="001D7651"/>
    <w:rsid w:val="001E098C"/>
    <w:rsid w:val="001E2A91"/>
    <w:rsid w:val="001E34B1"/>
    <w:rsid w:val="001E4259"/>
    <w:rsid w:val="001E4286"/>
    <w:rsid w:val="001E4CEE"/>
    <w:rsid w:val="001E65E8"/>
    <w:rsid w:val="001E73FF"/>
    <w:rsid w:val="001E7E8D"/>
    <w:rsid w:val="001F265B"/>
    <w:rsid w:val="001F2679"/>
    <w:rsid w:val="001F2950"/>
    <w:rsid w:val="001F3D9D"/>
    <w:rsid w:val="001F47D9"/>
    <w:rsid w:val="001F5D3C"/>
    <w:rsid w:val="00200C6B"/>
    <w:rsid w:val="00204A78"/>
    <w:rsid w:val="00207348"/>
    <w:rsid w:val="00210CB3"/>
    <w:rsid w:val="0021176C"/>
    <w:rsid w:val="0021191F"/>
    <w:rsid w:val="0021441E"/>
    <w:rsid w:val="00215862"/>
    <w:rsid w:val="00215886"/>
    <w:rsid w:val="00217A52"/>
    <w:rsid w:val="00222DE0"/>
    <w:rsid w:val="002305AB"/>
    <w:rsid w:val="002310D3"/>
    <w:rsid w:val="00231B25"/>
    <w:rsid w:val="0023280D"/>
    <w:rsid w:val="00232D4F"/>
    <w:rsid w:val="00233C90"/>
    <w:rsid w:val="00233F6B"/>
    <w:rsid w:val="00234090"/>
    <w:rsid w:val="00234309"/>
    <w:rsid w:val="002348FA"/>
    <w:rsid w:val="00235928"/>
    <w:rsid w:val="00236DC3"/>
    <w:rsid w:val="00237A78"/>
    <w:rsid w:val="00237CFC"/>
    <w:rsid w:val="0024243B"/>
    <w:rsid w:val="002440EF"/>
    <w:rsid w:val="00244751"/>
    <w:rsid w:val="00246F70"/>
    <w:rsid w:val="00251359"/>
    <w:rsid w:val="00252045"/>
    <w:rsid w:val="00252144"/>
    <w:rsid w:val="00253BC2"/>
    <w:rsid w:val="00254997"/>
    <w:rsid w:val="00256859"/>
    <w:rsid w:val="00257302"/>
    <w:rsid w:val="00261EAF"/>
    <w:rsid w:val="00263511"/>
    <w:rsid w:val="00264B88"/>
    <w:rsid w:val="00265120"/>
    <w:rsid w:val="002810BE"/>
    <w:rsid w:val="00281A23"/>
    <w:rsid w:val="002826D1"/>
    <w:rsid w:val="00283217"/>
    <w:rsid w:val="0028346B"/>
    <w:rsid w:val="00284BE1"/>
    <w:rsid w:val="00290F5B"/>
    <w:rsid w:val="00297B5C"/>
    <w:rsid w:val="00297F19"/>
    <w:rsid w:val="002A022F"/>
    <w:rsid w:val="002A02F3"/>
    <w:rsid w:val="002A15E3"/>
    <w:rsid w:val="002A2867"/>
    <w:rsid w:val="002A329E"/>
    <w:rsid w:val="002A3A0B"/>
    <w:rsid w:val="002A4488"/>
    <w:rsid w:val="002A7D9F"/>
    <w:rsid w:val="002B158E"/>
    <w:rsid w:val="002B3E39"/>
    <w:rsid w:val="002B507C"/>
    <w:rsid w:val="002B7254"/>
    <w:rsid w:val="002C7D80"/>
    <w:rsid w:val="002D24DD"/>
    <w:rsid w:val="002D407D"/>
    <w:rsid w:val="002D7766"/>
    <w:rsid w:val="002D7ABE"/>
    <w:rsid w:val="002E1CAE"/>
    <w:rsid w:val="002E2436"/>
    <w:rsid w:val="002E4B07"/>
    <w:rsid w:val="002E697C"/>
    <w:rsid w:val="002E6D63"/>
    <w:rsid w:val="002E7948"/>
    <w:rsid w:val="002F05CA"/>
    <w:rsid w:val="002F13B8"/>
    <w:rsid w:val="002F2320"/>
    <w:rsid w:val="002F4AAF"/>
    <w:rsid w:val="00305401"/>
    <w:rsid w:val="00307E0C"/>
    <w:rsid w:val="00310F6E"/>
    <w:rsid w:val="0031115B"/>
    <w:rsid w:val="00311193"/>
    <w:rsid w:val="0031529E"/>
    <w:rsid w:val="00315B5A"/>
    <w:rsid w:val="00316CA5"/>
    <w:rsid w:val="00324F4B"/>
    <w:rsid w:val="00325AE9"/>
    <w:rsid w:val="00326431"/>
    <w:rsid w:val="003300D6"/>
    <w:rsid w:val="00332067"/>
    <w:rsid w:val="003339D5"/>
    <w:rsid w:val="003372D5"/>
    <w:rsid w:val="00337784"/>
    <w:rsid w:val="00341C7E"/>
    <w:rsid w:val="00343B15"/>
    <w:rsid w:val="0034506E"/>
    <w:rsid w:val="00345763"/>
    <w:rsid w:val="003470AE"/>
    <w:rsid w:val="003474E0"/>
    <w:rsid w:val="00347E1E"/>
    <w:rsid w:val="00351740"/>
    <w:rsid w:val="00352AA7"/>
    <w:rsid w:val="003530D0"/>
    <w:rsid w:val="003537EC"/>
    <w:rsid w:val="00353CF0"/>
    <w:rsid w:val="00353F49"/>
    <w:rsid w:val="00355EB5"/>
    <w:rsid w:val="003574B5"/>
    <w:rsid w:val="00361C28"/>
    <w:rsid w:val="00364042"/>
    <w:rsid w:val="00364311"/>
    <w:rsid w:val="0036437C"/>
    <w:rsid w:val="00375278"/>
    <w:rsid w:val="00376104"/>
    <w:rsid w:val="00386454"/>
    <w:rsid w:val="00390464"/>
    <w:rsid w:val="00393234"/>
    <w:rsid w:val="003934EA"/>
    <w:rsid w:val="00394076"/>
    <w:rsid w:val="00395EAF"/>
    <w:rsid w:val="003A1343"/>
    <w:rsid w:val="003A35B8"/>
    <w:rsid w:val="003A62CC"/>
    <w:rsid w:val="003A71A2"/>
    <w:rsid w:val="003A76AE"/>
    <w:rsid w:val="003B2162"/>
    <w:rsid w:val="003B4C0B"/>
    <w:rsid w:val="003B4D6D"/>
    <w:rsid w:val="003B6E97"/>
    <w:rsid w:val="003C1204"/>
    <w:rsid w:val="003C3CE7"/>
    <w:rsid w:val="003C4731"/>
    <w:rsid w:val="003C484C"/>
    <w:rsid w:val="003C616A"/>
    <w:rsid w:val="003C7737"/>
    <w:rsid w:val="003D056F"/>
    <w:rsid w:val="003D1E0F"/>
    <w:rsid w:val="003D2C71"/>
    <w:rsid w:val="003D3B37"/>
    <w:rsid w:val="003D6A7B"/>
    <w:rsid w:val="003E0D00"/>
    <w:rsid w:val="003E0F78"/>
    <w:rsid w:val="003E1F2D"/>
    <w:rsid w:val="003E2B7C"/>
    <w:rsid w:val="003E5343"/>
    <w:rsid w:val="003E6CDA"/>
    <w:rsid w:val="003F3E08"/>
    <w:rsid w:val="00401AA6"/>
    <w:rsid w:val="004020AA"/>
    <w:rsid w:val="0040522D"/>
    <w:rsid w:val="0040552A"/>
    <w:rsid w:val="00410BD4"/>
    <w:rsid w:val="00410FD0"/>
    <w:rsid w:val="00414DFB"/>
    <w:rsid w:val="00415A06"/>
    <w:rsid w:val="00421A79"/>
    <w:rsid w:val="0042255A"/>
    <w:rsid w:val="00424A52"/>
    <w:rsid w:val="00425EF9"/>
    <w:rsid w:val="004310C0"/>
    <w:rsid w:val="004332F7"/>
    <w:rsid w:val="00433436"/>
    <w:rsid w:val="004338D9"/>
    <w:rsid w:val="00441955"/>
    <w:rsid w:val="00441FB7"/>
    <w:rsid w:val="00442D78"/>
    <w:rsid w:val="00443E9D"/>
    <w:rsid w:val="004441E3"/>
    <w:rsid w:val="0044465E"/>
    <w:rsid w:val="0044711D"/>
    <w:rsid w:val="0045018A"/>
    <w:rsid w:val="00450FCB"/>
    <w:rsid w:val="0045251A"/>
    <w:rsid w:val="00453CB4"/>
    <w:rsid w:val="00453CEC"/>
    <w:rsid w:val="004578A9"/>
    <w:rsid w:val="00461FAD"/>
    <w:rsid w:val="004732E4"/>
    <w:rsid w:val="0047434C"/>
    <w:rsid w:val="004774F4"/>
    <w:rsid w:val="004803A1"/>
    <w:rsid w:val="004809D8"/>
    <w:rsid w:val="00480ECB"/>
    <w:rsid w:val="004815F2"/>
    <w:rsid w:val="004816EE"/>
    <w:rsid w:val="00482C73"/>
    <w:rsid w:val="00485CE1"/>
    <w:rsid w:val="0049329E"/>
    <w:rsid w:val="00495C1B"/>
    <w:rsid w:val="004A13F7"/>
    <w:rsid w:val="004A2F2C"/>
    <w:rsid w:val="004A6789"/>
    <w:rsid w:val="004A77FA"/>
    <w:rsid w:val="004B1B23"/>
    <w:rsid w:val="004B257E"/>
    <w:rsid w:val="004B4560"/>
    <w:rsid w:val="004B5918"/>
    <w:rsid w:val="004B7DC5"/>
    <w:rsid w:val="004C003C"/>
    <w:rsid w:val="004C00C2"/>
    <w:rsid w:val="004C06B0"/>
    <w:rsid w:val="004C09B6"/>
    <w:rsid w:val="004C1E80"/>
    <w:rsid w:val="004C238C"/>
    <w:rsid w:val="004C37E0"/>
    <w:rsid w:val="004C6AF1"/>
    <w:rsid w:val="004C7973"/>
    <w:rsid w:val="004D0982"/>
    <w:rsid w:val="004D1316"/>
    <w:rsid w:val="004D22F9"/>
    <w:rsid w:val="004D2850"/>
    <w:rsid w:val="004D478F"/>
    <w:rsid w:val="004D5343"/>
    <w:rsid w:val="004D61FE"/>
    <w:rsid w:val="004D7776"/>
    <w:rsid w:val="004E51C3"/>
    <w:rsid w:val="004E528A"/>
    <w:rsid w:val="004E79CE"/>
    <w:rsid w:val="004F0F55"/>
    <w:rsid w:val="004F2B57"/>
    <w:rsid w:val="004F353F"/>
    <w:rsid w:val="004F3AAB"/>
    <w:rsid w:val="004F3E33"/>
    <w:rsid w:val="004F43CC"/>
    <w:rsid w:val="00500514"/>
    <w:rsid w:val="005032BE"/>
    <w:rsid w:val="00503794"/>
    <w:rsid w:val="00505114"/>
    <w:rsid w:val="0050556A"/>
    <w:rsid w:val="00510317"/>
    <w:rsid w:val="00511135"/>
    <w:rsid w:val="00511D68"/>
    <w:rsid w:val="00513CBB"/>
    <w:rsid w:val="00517CAF"/>
    <w:rsid w:val="0052017B"/>
    <w:rsid w:val="0052028D"/>
    <w:rsid w:val="00520D33"/>
    <w:rsid w:val="00522901"/>
    <w:rsid w:val="00524F07"/>
    <w:rsid w:val="00526095"/>
    <w:rsid w:val="00527621"/>
    <w:rsid w:val="00527D2F"/>
    <w:rsid w:val="00534D6D"/>
    <w:rsid w:val="00541372"/>
    <w:rsid w:val="00541E73"/>
    <w:rsid w:val="00542193"/>
    <w:rsid w:val="00543208"/>
    <w:rsid w:val="00544F0E"/>
    <w:rsid w:val="00545DA6"/>
    <w:rsid w:val="00545E88"/>
    <w:rsid w:val="0054604F"/>
    <w:rsid w:val="0054671E"/>
    <w:rsid w:val="00546829"/>
    <w:rsid w:val="0055163C"/>
    <w:rsid w:val="00552814"/>
    <w:rsid w:val="00553126"/>
    <w:rsid w:val="00555DC4"/>
    <w:rsid w:val="00557555"/>
    <w:rsid w:val="00567C10"/>
    <w:rsid w:val="0057034F"/>
    <w:rsid w:val="005708AB"/>
    <w:rsid w:val="00570F4B"/>
    <w:rsid w:val="0057485E"/>
    <w:rsid w:val="00576505"/>
    <w:rsid w:val="00576C54"/>
    <w:rsid w:val="00583670"/>
    <w:rsid w:val="00585B27"/>
    <w:rsid w:val="005860F5"/>
    <w:rsid w:val="00591382"/>
    <w:rsid w:val="005914FE"/>
    <w:rsid w:val="0059576F"/>
    <w:rsid w:val="00597D33"/>
    <w:rsid w:val="005A70B8"/>
    <w:rsid w:val="005A76AB"/>
    <w:rsid w:val="005B2B2B"/>
    <w:rsid w:val="005B36DA"/>
    <w:rsid w:val="005B3D37"/>
    <w:rsid w:val="005B4B5C"/>
    <w:rsid w:val="005B5CAE"/>
    <w:rsid w:val="005B7801"/>
    <w:rsid w:val="005B792D"/>
    <w:rsid w:val="005C0FF4"/>
    <w:rsid w:val="005C5293"/>
    <w:rsid w:val="005D19A1"/>
    <w:rsid w:val="005D6B01"/>
    <w:rsid w:val="005D6F5E"/>
    <w:rsid w:val="005E2F5D"/>
    <w:rsid w:val="005E3E99"/>
    <w:rsid w:val="005E64AD"/>
    <w:rsid w:val="005F3C6E"/>
    <w:rsid w:val="005F7725"/>
    <w:rsid w:val="0060405C"/>
    <w:rsid w:val="006055F1"/>
    <w:rsid w:val="0060711B"/>
    <w:rsid w:val="0061036D"/>
    <w:rsid w:val="0061195B"/>
    <w:rsid w:val="00615B73"/>
    <w:rsid w:val="00627660"/>
    <w:rsid w:val="006279DE"/>
    <w:rsid w:val="00627CBC"/>
    <w:rsid w:val="00630127"/>
    <w:rsid w:val="00630763"/>
    <w:rsid w:val="00630CD3"/>
    <w:rsid w:val="00632DAA"/>
    <w:rsid w:val="00635E50"/>
    <w:rsid w:val="00645C90"/>
    <w:rsid w:val="0064693C"/>
    <w:rsid w:val="006502B6"/>
    <w:rsid w:val="00650C62"/>
    <w:rsid w:val="00652E46"/>
    <w:rsid w:val="00653C60"/>
    <w:rsid w:val="00657459"/>
    <w:rsid w:val="00664455"/>
    <w:rsid w:val="0066449E"/>
    <w:rsid w:val="00665AC0"/>
    <w:rsid w:val="006678A5"/>
    <w:rsid w:val="00670868"/>
    <w:rsid w:val="00672904"/>
    <w:rsid w:val="00674E44"/>
    <w:rsid w:val="00674E4A"/>
    <w:rsid w:val="00676966"/>
    <w:rsid w:val="00677F20"/>
    <w:rsid w:val="006845A5"/>
    <w:rsid w:val="00684A6F"/>
    <w:rsid w:val="00684EF2"/>
    <w:rsid w:val="00685AC9"/>
    <w:rsid w:val="0069060C"/>
    <w:rsid w:val="00690C4E"/>
    <w:rsid w:val="00694584"/>
    <w:rsid w:val="00694CEC"/>
    <w:rsid w:val="00695E35"/>
    <w:rsid w:val="00696B96"/>
    <w:rsid w:val="00697D7C"/>
    <w:rsid w:val="006A1FAE"/>
    <w:rsid w:val="006A2112"/>
    <w:rsid w:val="006B119C"/>
    <w:rsid w:val="006B1BE3"/>
    <w:rsid w:val="006B1C10"/>
    <w:rsid w:val="006B2740"/>
    <w:rsid w:val="006B2F04"/>
    <w:rsid w:val="006B57B6"/>
    <w:rsid w:val="006B7192"/>
    <w:rsid w:val="006B7BC3"/>
    <w:rsid w:val="006C1E97"/>
    <w:rsid w:val="006C23B8"/>
    <w:rsid w:val="006C4719"/>
    <w:rsid w:val="006C52F1"/>
    <w:rsid w:val="006D0A58"/>
    <w:rsid w:val="006D1B10"/>
    <w:rsid w:val="006D443E"/>
    <w:rsid w:val="006D765B"/>
    <w:rsid w:val="006D795C"/>
    <w:rsid w:val="006E043B"/>
    <w:rsid w:val="006E19D0"/>
    <w:rsid w:val="006E70BD"/>
    <w:rsid w:val="006E79BE"/>
    <w:rsid w:val="006F2BFF"/>
    <w:rsid w:val="006F38C5"/>
    <w:rsid w:val="006F4B9B"/>
    <w:rsid w:val="006F4EAA"/>
    <w:rsid w:val="006F5B55"/>
    <w:rsid w:val="006F7BB4"/>
    <w:rsid w:val="007036E9"/>
    <w:rsid w:val="00706657"/>
    <w:rsid w:val="0070740A"/>
    <w:rsid w:val="007109FB"/>
    <w:rsid w:val="00711CCB"/>
    <w:rsid w:val="00715030"/>
    <w:rsid w:val="00720614"/>
    <w:rsid w:val="00724833"/>
    <w:rsid w:val="00725BEF"/>
    <w:rsid w:val="0072746B"/>
    <w:rsid w:val="00730396"/>
    <w:rsid w:val="007346BC"/>
    <w:rsid w:val="00744E9A"/>
    <w:rsid w:val="00745694"/>
    <w:rsid w:val="007457EA"/>
    <w:rsid w:val="00746061"/>
    <w:rsid w:val="00746485"/>
    <w:rsid w:val="007509CA"/>
    <w:rsid w:val="00751285"/>
    <w:rsid w:val="0075284A"/>
    <w:rsid w:val="00753745"/>
    <w:rsid w:val="00757890"/>
    <w:rsid w:val="007609F9"/>
    <w:rsid w:val="00765C04"/>
    <w:rsid w:val="007660D9"/>
    <w:rsid w:val="00767AAA"/>
    <w:rsid w:val="0077260C"/>
    <w:rsid w:val="00773412"/>
    <w:rsid w:val="00780F53"/>
    <w:rsid w:val="007830EE"/>
    <w:rsid w:val="0078344C"/>
    <w:rsid w:val="007840AF"/>
    <w:rsid w:val="007856E5"/>
    <w:rsid w:val="007919AB"/>
    <w:rsid w:val="00791D63"/>
    <w:rsid w:val="007932D9"/>
    <w:rsid w:val="00794118"/>
    <w:rsid w:val="007944F3"/>
    <w:rsid w:val="00794CA9"/>
    <w:rsid w:val="00797879"/>
    <w:rsid w:val="007A2346"/>
    <w:rsid w:val="007A3A1D"/>
    <w:rsid w:val="007A69DA"/>
    <w:rsid w:val="007B0A54"/>
    <w:rsid w:val="007B3E15"/>
    <w:rsid w:val="007B56C3"/>
    <w:rsid w:val="007B77D9"/>
    <w:rsid w:val="007C0ED8"/>
    <w:rsid w:val="007C27A8"/>
    <w:rsid w:val="007C2A81"/>
    <w:rsid w:val="007C301A"/>
    <w:rsid w:val="007C76DB"/>
    <w:rsid w:val="007C7C35"/>
    <w:rsid w:val="007D026A"/>
    <w:rsid w:val="007D5B39"/>
    <w:rsid w:val="007D5D07"/>
    <w:rsid w:val="007D621B"/>
    <w:rsid w:val="007E1F91"/>
    <w:rsid w:val="007E5B3C"/>
    <w:rsid w:val="007E6253"/>
    <w:rsid w:val="007E7A1B"/>
    <w:rsid w:val="007F045E"/>
    <w:rsid w:val="007F2651"/>
    <w:rsid w:val="007F38E1"/>
    <w:rsid w:val="007F5759"/>
    <w:rsid w:val="007F6157"/>
    <w:rsid w:val="007F7C16"/>
    <w:rsid w:val="0080115C"/>
    <w:rsid w:val="008020E6"/>
    <w:rsid w:val="00803A76"/>
    <w:rsid w:val="0080673D"/>
    <w:rsid w:val="00814212"/>
    <w:rsid w:val="00814590"/>
    <w:rsid w:val="00820126"/>
    <w:rsid w:val="00825F86"/>
    <w:rsid w:val="00827998"/>
    <w:rsid w:val="00831EA6"/>
    <w:rsid w:val="0083242A"/>
    <w:rsid w:val="00833E20"/>
    <w:rsid w:val="00840B0A"/>
    <w:rsid w:val="008420AD"/>
    <w:rsid w:val="00844B7C"/>
    <w:rsid w:val="00847309"/>
    <w:rsid w:val="00853F2F"/>
    <w:rsid w:val="008541FD"/>
    <w:rsid w:val="00855483"/>
    <w:rsid w:val="008556DB"/>
    <w:rsid w:val="008577E5"/>
    <w:rsid w:val="00861BF0"/>
    <w:rsid w:val="00863C7C"/>
    <w:rsid w:val="008646E0"/>
    <w:rsid w:val="008709C5"/>
    <w:rsid w:val="008716F7"/>
    <w:rsid w:val="00871CB7"/>
    <w:rsid w:val="00875DA6"/>
    <w:rsid w:val="008763E6"/>
    <w:rsid w:val="0088097E"/>
    <w:rsid w:val="00881CB1"/>
    <w:rsid w:val="008822F2"/>
    <w:rsid w:val="00882A7A"/>
    <w:rsid w:val="00882DC6"/>
    <w:rsid w:val="00884233"/>
    <w:rsid w:val="00885A5B"/>
    <w:rsid w:val="00887DCF"/>
    <w:rsid w:val="00891A5B"/>
    <w:rsid w:val="008935C8"/>
    <w:rsid w:val="008940C4"/>
    <w:rsid w:val="008955DD"/>
    <w:rsid w:val="008A53BA"/>
    <w:rsid w:val="008A55FA"/>
    <w:rsid w:val="008A6DA0"/>
    <w:rsid w:val="008B3A35"/>
    <w:rsid w:val="008C0D80"/>
    <w:rsid w:val="008C1649"/>
    <w:rsid w:val="008C30D6"/>
    <w:rsid w:val="008C4E7F"/>
    <w:rsid w:val="008C6F96"/>
    <w:rsid w:val="008D104B"/>
    <w:rsid w:val="008D1475"/>
    <w:rsid w:val="008D1986"/>
    <w:rsid w:val="008D20A0"/>
    <w:rsid w:val="008D7133"/>
    <w:rsid w:val="008D76FC"/>
    <w:rsid w:val="008E07DB"/>
    <w:rsid w:val="008E2659"/>
    <w:rsid w:val="008E3DD1"/>
    <w:rsid w:val="008E4FF6"/>
    <w:rsid w:val="008E5B79"/>
    <w:rsid w:val="008E69D9"/>
    <w:rsid w:val="008F4AAE"/>
    <w:rsid w:val="008F4F0B"/>
    <w:rsid w:val="008F658A"/>
    <w:rsid w:val="00900AC1"/>
    <w:rsid w:val="00903DA8"/>
    <w:rsid w:val="00904D5E"/>
    <w:rsid w:val="00906330"/>
    <w:rsid w:val="0090665B"/>
    <w:rsid w:val="00914B52"/>
    <w:rsid w:val="00920B21"/>
    <w:rsid w:val="00927923"/>
    <w:rsid w:val="009319AF"/>
    <w:rsid w:val="009339CC"/>
    <w:rsid w:val="009349FD"/>
    <w:rsid w:val="00934A20"/>
    <w:rsid w:val="009355F7"/>
    <w:rsid w:val="00937C15"/>
    <w:rsid w:val="0094319A"/>
    <w:rsid w:val="00943E22"/>
    <w:rsid w:val="00944B6E"/>
    <w:rsid w:val="00944E78"/>
    <w:rsid w:val="0095656D"/>
    <w:rsid w:val="00956DBF"/>
    <w:rsid w:val="00960291"/>
    <w:rsid w:val="00960850"/>
    <w:rsid w:val="00963126"/>
    <w:rsid w:val="00963A15"/>
    <w:rsid w:val="009647DC"/>
    <w:rsid w:val="00965ECF"/>
    <w:rsid w:val="00965F7F"/>
    <w:rsid w:val="00967444"/>
    <w:rsid w:val="00967A32"/>
    <w:rsid w:val="00972151"/>
    <w:rsid w:val="0097228E"/>
    <w:rsid w:val="00972C9C"/>
    <w:rsid w:val="00973BE7"/>
    <w:rsid w:val="0097721B"/>
    <w:rsid w:val="00977CD7"/>
    <w:rsid w:val="009807A0"/>
    <w:rsid w:val="0098109D"/>
    <w:rsid w:val="00981961"/>
    <w:rsid w:val="00981E8E"/>
    <w:rsid w:val="00983843"/>
    <w:rsid w:val="0098431F"/>
    <w:rsid w:val="009849AF"/>
    <w:rsid w:val="00985805"/>
    <w:rsid w:val="00985EEA"/>
    <w:rsid w:val="009875B7"/>
    <w:rsid w:val="009878C1"/>
    <w:rsid w:val="00991C1B"/>
    <w:rsid w:val="0099515C"/>
    <w:rsid w:val="00995921"/>
    <w:rsid w:val="00995B13"/>
    <w:rsid w:val="009978E8"/>
    <w:rsid w:val="009A07E3"/>
    <w:rsid w:val="009A352A"/>
    <w:rsid w:val="009B25BE"/>
    <w:rsid w:val="009B3B73"/>
    <w:rsid w:val="009B4BA0"/>
    <w:rsid w:val="009B5476"/>
    <w:rsid w:val="009B5943"/>
    <w:rsid w:val="009B612D"/>
    <w:rsid w:val="009B69B5"/>
    <w:rsid w:val="009C0FE4"/>
    <w:rsid w:val="009C4E4B"/>
    <w:rsid w:val="009D1357"/>
    <w:rsid w:val="009D1932"/>
    <w:rsid w:val="009D32EC"/>
    <w:rsid w:val="009D4599"/>
    <w:rsid w:val="009D5BD0"/>
    <w:rsid w:val="009E11C3"/>
    <w:rsid w:val="009E31B6"/>
    <w:rsid w:val="009E33F1"/>
    <w:rsid w:val="009E4B38"/>
    <w:rsid w:val="009E77F0"/>
    <w:rsid w:val="009E7BA5"/>
    <w:rsid w:val="009F02CA"/>
    <w:rsid w:val="009F0965"/>
    <w:rsid w:val="009F25C4"/>
    <w:rsid w:val="009F5BF1"/>
    <w:rsid w:val="00A01067"/>
    <w:rsid w:val="00A03BC2"/>
    <w:rsid w:val="00A05BFA"/>
    <w:rsid w:val="00A06026"/>
    <w:rsid w:val="00A06DCB"/>
    <w:rsid w:val="00A14F6C"/>
    <w:rsid w:val="00A1662A"/>
    <w:rsid w:val="00A21995"/>
    <w:rsid w:val="00A22DB2"/>
    <w:rsid w:val="00A23FA7"/>
    <w:rsid w:val="00A2657F"/>
    <w:rsid w:val="00A30F4C"/>
    <w:rsid w:val="00A36248"/>
    <w:rsid w:val="00A4189A"/>
    <w:rsid w:val="00A42E14"/>
    <w:rsid w:val="00A44056"/>
    <w:rsid w:val="00A51B2F"/>
    <w:rsid w:val="00A52433"/>
    <w:rsid w:val="00A52539"/>
    <w:rsid w:val="00A54EFC"/>
    <w:rsid w:val="00A5549C"/>
    <w:rsid w:val="00A63427"/>
    <w:rsid w:val="00A63D89"/>
    <w:rsid w:val="00A644D0"/>
    <w:rsid w:val="00A66368"/>
    <w:rsid w:val="00A66763"/>
    <w:rsid w:val="00A67CAD"/>
    <w:rsid w:val="00A70547"/>
    <w:rsid w:val="00A71828"/>
    <w:rsid w:val="00A72DE4"/>
    <w:rsid w:val="00A77437"/>
    <w:rsid w:val="00A80037"/>
    <w:rsid w:val="00A80294"/>
    <w:rsid w:val="00A830F1"/>
    <w:rsid w:val="00A8585A"/>
    <w:rsid w:val="00A86F5D"/>
    <w:rsid w:val="00A876CD"/>
    <w:rsid w:val="00A92FCE"/>
    <w:rsid w:val="00A97A90"/>
    <w:rsid w:val="00AA31C9"/>
    <w:rsid w:val="00AA3D9B"/>
    <w:rsid w:val="00AA3F76"/>
    <w:rsid w:val="00AA74E5"/>
    <w:rsid w:val="00AB1BD3"/>
    <w:rsid w:val="00AB3024"/>
    <w:rsid w:val="00AB4C21"/>
    <w:rsid w:val="00AB4DB8"/>
    <w:rsid w:val="00AB7EA6"/>
    <w:rsid w:val="00AC08D1"/>
    <w:rsid w:val="00AC2CA3"/>
    <w:rsid w:val="00AC4357"/>
    <w:rsid w:val="00AD4757"/>
    <w:rsid w:val="00AD56D0"/>
    <w:rsid w:val="00AD797F"/>
    <w:rsid w:val="00AD7A65"/>
    <w:rsid w:val="00AE0EBC"/>
    <w:rsid w:val="00AE454B"/>
    <w:rsid w:val="00AE7E4E"/>
    <w:rsid w:val="00AF2A14"/>
    <w:rsid w:val="00AF4020"/>
    <w:rsid w:val="00AF5DCA"/>
    <w:rsid w:val="00AF5E38"/>
    <w:rsid w:val="00B039ED"/>
    <w:rsid w:val="00B0515D"/>
    <w:rsid w:val="00B116D6"/>
    <w:rsid w:val="00B16F20"/>
    <w:rsid w:val="00B20CFF"/>
    <w:rsid w:val="00B21763"/>
    <w:rsid w:val="00B224A8"/>
    <w:rsid w:val="00B22C52"/>
    <w:rsid w:val="00B22D9E"/>
    <w:rsid w:val="00B23BC3"/>
    <w:rsid w:val="00B35190"/>
    <w:rsid w:val="00B40DB8"/>
    <w:rsid w:val="00B42767"/>
    <w:rsid w:val="00B43B8E"/>
    <w:rsid w:val="00B52C81"/>
    <w:rsid w:val="00B543DD"/>
    <w:rsid w:val="00B54D92"/>
    <w:rsid w:val="00B57FE0"/>
    <w:rsid w:val="00B60B53"/>
    <w:rsid w:val="00B64C65"/>
    <w:rsid w:val="00B67C0B"/>
    <w:rsid w:val="00B7244E"/>
    <w:rsid w:val="00B75F1E"/>
    <w:rsid w:val="00B77F68"/>
    <w:rsid w:val="00B85A21"/>
    <w:rsid w:val="00B8681B"/>
    <w:rsid w:val="00B90093"/>
    <w:rsid w:val="00B91EF7"/>
    <w:rsid w:val="00B923D2"/>
    <w:rsid w:val="00B92D76"/>
    <w:rsid w:val="00B93208"/>
    <w:rsid w:val="00B93639"/>
    <w:rsid w:val="00B93E66"/>
    <w:rsid w:val="00B93F9A"/>
    <w:rsid w:val="00B941D0"/>
    <w:rsid w:val="00B965EE"/>
    <w:rsid w:val="00BA0DEB"/>
    <w:rsid w:val="00BA298C"/>
    <w:rsid w:val="00BA5723"/>
    <w:rsid w:val="00BB098C"/>
    <w:rsid w:val="00BB467F"/>
    <w:rsid w:val="00BC2C9A"/>
    <w:rsid w:val="00BC618D"/>
    <w:rsid w:val="00BC7B2E"/>
    <w:rsid w:val="00BD0263"/>
    <w:rsid w:val="00BD1C17"/>
    <w:rsid w:val="00BD5FA4"/>
    <w:rsid w:val="00BD5FBE"/>
    <w:rsid w:val="00BE6E94"/>
    <w:rsid w:val="00BF0BFD"/>
    <w:rsid w:val="00BF2C57"/>
    <w:rsid w:val="00BF533A"/>
    <w:rsid w:val="00BF5E91"/>
    <w:rsid w:val="00BF745E"/>
    <w:rsid w:val="00C02F1B"/>
    <w:rsid w:val="00C05326"/>
    <w:rsid w:val="00C074AE"/>
    <w:rsid w:val="00C1281F"/>
    <w:rsid w:val="00C14BF6"/>
    <w:rsid w:val="00C14D6A"/>
    <w:rsid w:val="00C15F0C"/>
    <w:rsid w:val="00C16608"/>
    <w:rsid w:val="00C2260D"/>
    <w:rsid w:val="00C232BE"/>
    <w:rsid w:val="00C23B56"/>
    <w:rsid w:val="00C254CC"/>
    <w:rsid w:val="00C27AFA"/>
    <w:rsid w:val="00C30778"/>
    <w:rsid w:val="00C3145D"/>
    <w:rsid w:val="00C31AC1"/>
    <w:rsid w:val="00C34E71"/>
    <w:rsid w:val="00C42A78"/>
    <w:rsid w:val="00C44595"/>
    <w:rsid w:val="00C50548"/>
    <w:rsid w:val="00C52701"/>
    <w:rsid w:val="00C53F4A"/>
    <w:rsid w:val="00C56181"/>
    <w:rsid w:val="00C56371"/>
    <w:rsid w:val="00C60C25"/>
    <w:rsid w:val="00C64B42"/>
    <w:rsid w:val="00C65BF3"/>
    <w:rsid w:val="00C675BF"/>
    <w:rsid w:val="00C707B7"/>
    <w:rsid w:val="00C72C28"/>
    <w:rsid w:val="00C73BAA"/>
    <w:rsid w:val="00C73C47"/>
    <w:rsid w:val="00C7538D"/>
    <w:rsid w:val="00C76904"/>
    <w:rsid w:val="00C76D79"/>
    <w:rsid w:val="00C77D7B"/>
    <w:rsid w:val="00C80319"/>
    <w:rsid w:val="00C84673"/>
    <w:rsid w:val="00C8546B"/>
    <w:rsid w:val="00C8648C"/>
    <w:rsid w:val="00C91012"/>
    <w:rsid w:val="00C92599"/>
    <w:rsid w:val="00C93A06"/>
    <w:rsid w:val="00C95466"/>
    <w:rsid w:val="00CA1850"/>
    <w:rsid w:val="00CA46BC"/>
    <w:rsid w:val="00CA6675"/>
    <w:rsid w:val="00CA6ABC"/>
    <w:rsid w:val="00CA7A9B"/>
    <w:rsid w:val="00CA7B51"/>
    <w:rsid w:val="00CB02D4"/>
    <w:rsid w:val="00CB068F"/>
    <w:rsid w:val="00CB0B55"/>
    <w:rsid w:val="00CB5110"/>
    <w:rsid w:val="00CB6700"/>
    <w:rsid w:val="00CB777F"/>
    <w:rsid w:val="00CB7A18"/>
    <w:rsid w:val="00CB7D4B"/>
    <w:rsid w:val="00CC098B"/>
    <w:rsid w:val="00CC186B"/>
    <w:rsid w:val="00CC2367"/>
    <w:rsid w:val="00CC2715"/>
    <w:rsid w:val="00CC3795"/>
    <w:rsid w:val="00CD0491"/>
    <w:rsid w:val="00CD0572"/>
    <w:rsid w:val="00CD25E2"/>
    <w:rsid w:val="00CD4576"/>
    <w:rsid w:val="00CD55D0"/>
    <w:rsid w:val="00CD7EE5"/>
    <w:rsid w:val="00CE15C1"/>
    <w:rsid w:val="00CE3F69"/>
    <w:rsid w:val="00CE455E"/>
    <w:rsid w:val="00CE69E6"/>
    <w:rsid w:val="00CE750E"/>
    <w:rsid w:val="00CF0352"/>
    <w:rsid w:val="00CF2077"/>
    <w:rsid w:val="00CF3D72"/>
    <w:rsid w:val="00CF4B61"/>
    <w:rsid w:val="00CF5244"/>
    <w:rsid w:val="00D01C3A"/>
    <w:rsid w:val="00D06976"/>
    <w:rsid w:val="00D108A8"/>
    <w:rsid w:val="00D11D04"/>
    <w:rsid w:val="00D13BB3"/>
    <w:rsid w:val="00D14AEF"/>
    <w:rsid w:val="00D14F4B"/>
    <w:rsid w:val="00D15EDA"/>
    <w:rsid w:val="00D16EC8"/>
    <w:rsid w:val="00D2088D"/>
    <w:rsid w:val="00D21650"/>
    <w:rsid w:val="00D21711"/>
    <w:rsid w:val="00D21F62"/>
    <w:rsid w:val="00D231F3"/>
    <w:rsid w:val="00D24CC7"/>
    <w:rsid w:val="00D24D93"/>
    <w:rsid w:val="00D25243"/>
    <w:rsid w:val="00D3129C"/>
    <w:rsid w:val="00D325D9"/>
    <w:rsid w:val="00D32A1F"/>
    <w:rsid w:val="00D32AAA"/>
    <w:rsid w:val="00D3300E"/>
    <w:rsid w:val="00D334CD"/>
    <w:rsid w:val="00D40CEE"/>
    <w:rsid w:val="00D43492"/>
    <w:rsid w:val="00D43B60"/>
    <w:rsid w:val="00D51EE2"/>
    <w:rsid w:val="00D52496"/>
    <w:rsid w:val="00D52D57"/>
    <w:rsid w:val="00D53BB1"/>
    <w:rsid w:val="00D54A2B"/>
    <w:rsid w:val="00D55E01"/>
    <w:rsid w:val="00D61E8B"/>
    <w:rsid w:val="00D64F96"/>
    <w:rsid w:val="00D65992"/>
    <w:rsid w:val="00D66437"/>
    <w:rsid w:val="00D70B74"/>
    <w:rsid w:val="00D7340C"/>
    <w:rsid w:val="00D73D9B"/>
    <w:rsid w:val="00D77547"/>
    <w:rsid w:val="00D80313"/>
    <w:rsid w:val="00D807AF"/>
    <w:rsid w:val="00D825CD"/>
    <w:rsid w:val="00D82951"/>
    <w:rsid w:val="00D82F3C"/>
    <w:rsid w:val="00D84240"/>
    <w:rsid w:val="00D87145"/>
    <w:rsid w:val="00D904B8"/>
    <w:rsid w:val="00D94A34"/>
    <w:rsid w:val="00D96276"/>
    <w:rsid w:val="00D96453"/>
    <w:rsid w:val="00D9661F"/>
    <w:rsid w:val="00D976B2"/>
    <w:rsid w:val="00DA66EC"/>
    <w:rsid w:val="00DB7A95"/>
    <w:rsid w:val="00DC060A"/>
    <w:rsid w:val="00DC121D"/>
    <w:rsid w:val="00DC14A5"/>
    <w:rsid w:val="00DC49A0"/>
    <w:rsid w:val="00DC58CA"/>
    <w:rsid w:val="00DC5E1C"/>
    <w:rsid w:val="00DD2611"/>
    <w:rsid w:val="00DD2D1E"/>
    <w:rsid w:val="00DD4EA6"/>
    <w:rsid w:val="00DD539A"/>
    <w:rsid w:val="00DD693C"/>
    <w:rsid w:val="00DE02AC"/>
    <w:rsid w:val="00DE1964"/>
    <w:rsid w:val="00DF3401"/>
    <w:rsid w:val="00DF5776"/>
    <w:rsid w:val="00DF5816"/>
    <w:rsid w:val="00DF64D2"/>
    <w:rsid w:val="00DF7D02"/>
    <w:rsid w:val="00E002E1"/>
    <w:rsid w:val="00E02541"/>
    <w:rsid w:val="00E027A1"/>
    <w:rsid w:val="00E0395F"/>
    <w:rsid w:val="00E06786"/>
    <w:rsid w:val="00E10FE6"/>
    <w:rsid w:val="00E11D2F"/>
    <w:rsid w:val="00E12B4D"/>
    <w:rsid w:val="00E14718"/>
    <w:rsid w:val="00E16D8A"/>
    <w:rsid w:val="00E17669"/>
    <w:rsid w:val="00E17A00"/>
    <w:rsid w:val="00E17B1D"/>
    <w:rsid w:val="00E20B97"/>
    <w:rsid w:val="00E20D9E"/>
    <w:rsid w:val="00E20DA1"/>
    <w:rsid w:val="00E22ED8"/>
    <w:rsid w:val="00E24832"/>
    <w:rsid w:val="00E25773"/>
    <w:rsid w:val="00E34CB7"/>
    <w:rsid w:val="00E3568B"/>
    <w:rsid w:val="00E42F90"/>
    <w:rsid w:val="00E433CC"/>
    <w:rsid w:val="00E43D5D"/>
    <w:rsid w:val="00E504F6"/>
    <w:rsid w:val="00E52ADC"/>
    <w:rsid w:val="00E558DE"/>
    <w:rsid w:val="00E56552"/>
    <w:rsid w:val="00E61896"/>
    <w:rsid w:val="00E639EC"/>
    <w:rsid w:val="00E64E66"/>
    <w:rsid w:val="00E7126E"/>
    <w:rsid w:val="00E747B9"/>
    <w:rsid w:val="00E74C60"/>
    <w:rsid w:val="00E75D1C"/>
    <w:rsid w:val="00E85698"/>
    <w:rsid w:val="00E90998"/>
    <w:rsid w:val="00E92902"/>
    <w:rsid w:val="00E92A31"/>
    <w:rsid w:val="00E95C7D"/>
    <w:rsid w:val="00EA0B5F"/>
    <w:rsid w:val="00EA0C71"/>
    <w:rsid w:val="00EA1048"/>
    <w:rsid w:val="00EA1A95"/>
    <w:rsid w:val="00EA5DC5"/>
    <w:rsid w:val="00EB221C"/>
    <w:rsid w:val="00EB3147"/>
    <w:rsid w:val="00EB479E"/>
    <w:rsid w:val="00EB65B3"/>
    <w:rsid w:val="00EB7486"/>
    <w:rsid w:val="00EC0536"/>
    <w:rsid w:val="00EC7F80"/>
    <w:rsid w:val="00ED480F"/>
    <w:rsid w:val="00EE039F"/>
    <w:rsid w:val="00EE0F2E"/>
    <w:rsid w:val="00EE27F2"/>
    <w:rsid w:val="00EE3D73"/>
    <w:rsid w:val="00EE5ADE"/>
    <w:rsid w:val="00EE5B45"/>
    <w:rsid w:val="00EE6594"/>
    <w:rsid w:val="00EE6D88"/>
    <w:rsid w:val="00EF26AA"/>
    <w:rsid w:val="00EF5B93"/>
    <w:rsid w:val="00F05B1A"/>
    <w:rsid w:val="00F10F22"/>
    <w:rsid w:val="00F139DE"/>
    <w:rsid w:val="00F140AC"/>
    <w:rsid w:val="00F1491A"/>
    <w:rsid w:val="00F15691"/>
    <w:rsid w:val="00F15C1D"/>
    <w:rsid w:val="00F17D42"/>
    <w:rsid w:val="00F23061"/>
    <w:rsid w:val="00F2314C"/>
    <w:rsid w:val="00F23511"/>
    <w:rsid w:val="00F2386D"/>
    <w:rsid w:val="00F23BF8"/>
    <w:rsid w:val="00F24B80"/>
    <w:rsid w:val="00F260AF"/>
    <w:rsid w:val="00F306D7"/>
    <w:rsid w:val="00F338B8"/>
    <w:rsid w:val="00F34A03"/>
    <w:rsid w:val="00F37BE3"/>
    <w:rsid w:val="00F44123"/>
    <w:rsid w:val="00F50411"/>
    <w:rsid w:val="00F55419"/>
    <w:rsid w:val="00F65A5D"/>
    <w:rsid w:val="00F715BC"/>
    <w:rsid w:val="00F73B15"/>
    <w:rsid w:val="00F7565C"/>
    <w:rsid w:val="00F7719C"/>
    <w:rsid w:val="00F8092D"/>
    <w:rsid w:val="00F814FB"/>
    <w:rsid w:val="00F836A0"/>
    <w:rsid w:val="00F84AE0"/>
    <w:rsid w:val="00F87CD5"/>
    <w:rsid w:val="00F9089F"/>
    <w:rsid w:val="00F90C79"/>
    <w:rsid w:val="00F90C9F"/>
    <w:rsid w:val="00F92648"/>
    <w:rsid w:val="00F935BC"/>
    <w:rsid w:val="00F94CCA"/>
    <w:rsid w:val="00F96025"/>
    <w:rsid w:val="00FA2A34"/>
    <w:rsid w:val="00FA2B4A"/>
    <w:rsid w:val="00FA5A4D"/>
    <w:rsid w:val="00FA5CA5"/>
    <w:rsid w:val="00FA6690"/>
    <w:rsid w:val="00FA75D7"/>
    <w:rsid w:val="00FB1B3B"/>
    <w:rsid w:val="00FB24AA"/>
    <w:rsid w:val="00FB2B8F"/>
    <w:rsid w:val="00FC0519"/>
    <w:rsid w:val="00FC0A77"/>
    <w:rsid w:val="00FC65BC"/>
    <w:rsid w:val="00FC6E2E"/>
    <w:rsid w:val="00FD4EAB"/>
    <w:rsid w:val="00FD575B"/>
    <w:rsid w:val="00FE013D"/>
    <w:rsid w:val="00FE0C3D"/>
    <w:rsid w:val="00FE0DAB"/>
    <w:rsid w:val="00FE0E26"/>
    <w:rsid w:val="00FE21DD"/>
    <w:rsid w:val="00FE300A"/>
    <w:rsid w:val="00FE3430"/>
    <w:rsid w:val="00FE7F53"/>
    <w:rsid w:val="00FF027F"/>
    <w:rsid w:val="00FF1D93"/>
    <w:rsid w:val="00FF329B"/>
    <w:rsid w:val="00FF50AA"/>
    <w:rsid w:val="00FF64C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0CB479"/>
  <w15:docId w15:val="{573ACA0C-1B1E-481C-A821-327B1E41F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before="157" w:line="259" w:lineRule="auto"/>
        <w:ind w:left="119" w:right="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4EA6"/>
    <w:rPr>
      <w:rFonts w:eastAsia="Verdana" w:cs="Verdana"/>
      <w:sz w:val="24"/>
      <w:lang w:val="en-AU"/>
    </w:rPr>
  </w:style>
  <w:style w:type="paragraph" w:styleId="Heading1">
    <w:name w:val="heading 1"/>
    <w:basedOn w:val="Normal"/>
    <w:uiPriority w:val="9"/>
    <w:qFormat/>
    <w:pPr>
      <w:ind w:left="636" w:hanging="517"/>
      <w:outlineLvl w:val="0"/>
    </w:pPr>
    <w:rPr>
      <w:sz w:val="26"/>
      <w:szCs w:val="26"/>
    </w:rPr>
  </w:style>
  <w:style w:type="paragraph" w:styleId="Heading2">
    <w:name w:val="heading 2"/>
    <w:basedOn w:val="Normal"/>
    <w:next w:val="Normal"/>
    <w:link w:val="Heading2Char"/>
    <w:uiPriority w:val="9"/>
    <w:unhideWhenUsed/>
    <w:qFormat/>
    <w:rsid w:val="000A09D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D4757"/>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unhideWhenUsed/>
    <w:qFormat/>
    <w:rsid w:val="00650C62"/>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650C62"/>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85"/>
      <w:ind w:left="650" w:right="1081"/>
    </w:pPr>
    <w:rPr>
      <w:rFonts w:ascii="Arial" w:eastAsia="Arial" w:hAnsi="Arial" w:cs="Arial"/>
      <w:b/>
      <w:bCs/>
      <w:sz w:val="48"/>
      <w:szCs w:val="48"/>
    </w:rPr>
  </w:style>
  <w:style w:type="paragraph" w:styleId="ListParagraph">
    <w:name w:val="List Paragraph"/>
    <w:basedOn w:val="Normal"/>
    <w:uiPriority w:val="1"/>
    <w:qFormat/>
    <w:pPr>
      <w:ind w:left="480" w:hanging="361"/>
    </w:pPr>
  </w:style>
  <w:style w:type="paragraph" w:customStyle="1" w:styleId="TableParagraph">
    <w:name w:val="Table Paragraph"/>
    <w:basedOn w:val="Normal"/>
    <w:uiPriority w:val="1"/>
    <w:qFormat/>
    <w:pPr>
      <w:ind w:left="107"/>
    </w:pPr>
    <w:rPr>
      <w:rFonts w:ascii="Calibri" w:eastAsia="Calibri" w:hAnsi="Calibri" w:cs="Calibri"/>
    </w:rPr>
  </w:style>
  <w:style w:type="paragraph" w:styleId="Caption">
    <w:name w:val="caption"/>
    <w:basedOn w:val="Normal"/>
    <w:next w:val="Normal"/>
    <w:uiPriority w:val="35"/>
    <w:unhideWhenUsed/>
    <w:qFormat/>
    <w:rsid w:val="00235928"/>
    <w:pPr>
      <w:spacing w:after="200"/>
    </w:pPr>
    <w:rPr>
      <w:iCs/>
      <w:color w:val="1F497D" w:themeColor="text2"/>
      <w:szCs w:val="18"/>
    </w:rPr>
  </w:style>
  <w:style w:type="paragraph" w:styleId="FootnoteText">
    <w:name w:val="footnote text"/>
    <w:basedOn w:val="Normal"/>
    <w:link w:val="FootnoteTextChar"/>
    <w:uiPriority w:val="99"/>
    <w:unhideWhenUsed/>
    <w:rsid w:val="00AA74E5"/>
    <w:pPr>
      <w:spacing w:before="0" w:line="240" w:lineRule="auto"/>
    </w:pPr>
    <w:rPr>
      <w:sz w:val="20"/>
      <w:szCs w:val="20"/>
    </w:rPr>
  </w:style>
  <w:style w:type="character" w:customStyle="1" w:styleId="FootnoteTextChar">
    <w:name w:val="Footnote Text Char"/>
    <w:basedOn w:val="DefaultParagraphFont"/>
    <w:link w:val="FootnoteText"/>
    <w:uiPriority w:val="99"/>
    <w:rsid w:val="00AA74E5"/>
    <w:rPr>
      <w:rFonts w:ascii="Verdana" w:eastAsia="Verdana" w:hAnsi="Verdana" w:cs="Verdana"/>
      <w:sz w:val="20"/>
      <w:szCs w:val="20"/>
      <w:lang w:val="en-AU"/>
    </w:rPr>
  </w:style>
  <w:style w:type="character" w:styleId="FootnoteReference">
    <w:name w:val="footnote reference"/>
    <w:basedOn w:val="DefaultParagraphFont"/>
    <w:uiPriority w:val="99"/>
    <w:unhideWhenUsed/>
    <w:rsid w:val="00AA74E5"/>
    <w:rPr>
      <w:vertAlign w:val="superscript"/>
    </w:rPr>
  </w:style>
  <w:style w:type="paragraph" w:customStyle="1" w:styleId="EndNoteBibliographyTitle">
    <w:name w:val="EndNote Bibliography Title"/>
    <w:basedOn w:val="Normal"/>
    <w:link w:val="EndNoteBibliographyTitleChar"/>
    <w:rsid w:val="00AA74E5"/>
    <w:pPr>
      <w:jc w:val="center"/>
    </w:pPr>
    <w:rPr>
      <w:rFonts w:ascii="Verdana" w:hAnsi="Verdana"/>
      <w:noProof/>
      <w:sz w:val="22"/>
      <w:lang w:val="en-US"/>
    </w:rPr>
  </w:style>
  <w:style w:type="character" w:customStyle="1" w:styleId="EndNoteBibliographyTitleChar">
    <w:name w:val="EndNote Bibliography Title Char"/>
    <w:basedOn w:val="FootnoteTextChar"/>
    <w:link w:val="EndNoteBibliographyTitle"/>
    <w:rsid w:val="00AA74E5"/>
    <w:rPr>
      <w:rFonts w:ascii="Verdana" w:eastAsia="Verdana" w:hAnsi="Verdana" w:cs="Verdana"/>
      <w:noProof/>
      <w:sz w:val="20"/>
      <w:szCs w:val="20"/>
      <w:lang w:val="en-AU"/>
    </w:rPr>
  </w:style>
  <w:style w:type="paragraph" w:customStyle="1" w:styleId="EndNoteBibliography">
    <w:name w:val="EndNote Bibliography"/>
    <w:basedOn w:val="Normal"/>
    <w:link w:val="EndNoteBibliographyChar"/>
    <w:rsid w:val="00AA74E5"/>
    <w:pPr>
      <w:spacing w:line="240" w:lineRule="auto"/>
    </w:pPr>
    <w:rPr>
      <w:rFonts w:ascii="Verdana" w:hAnsi="Verdana"/>
      <w:noProof/>
      <w:sz w:val="22"/>
      <w:lang w:val="en-US"/>
    </w:rPr>
  </w:style>
  <w:style w:type="character" w:customStyle="1" w:styleId="EndNoteBibliographyChar">
    <w:name w:val="EndNote Bibliography Char"/>
    <w:basedOn w:val="FootnoteTextChar"/>
    <w:link w:val="EndNoteBibliography"/>
    <w:rsid w:val="00AA74E5"/>
    <w:rPr>
      <w:rFonts w:ascii="Verdana" w:eastAsia="Verdana" w:hAnsi="Verdana" w:cs="Verdana"/>
      <w:noProof/>
      <w:sz w:val="20"/>
      <w:szCs w:val="20"/>
      <w:lang w:val="en-AU"/>
    </w:rPr>
  </w:style>
  <w:style w:type="character" w:customStyle="1" w:styleId="BodyTextChar">
    <w:name w:val="Body Text Char"/>
    <w:basedOn w:val="DefaultParagraphFont"/>
    <w:link w:val="BodyText"/>
    <w:uiPriority w:val="1"/>
    <w:rsid w:val="00685AC9"/>
    <w:rPr>
      <w:rFonts w:ascii="Verdana" w:eastAsia="Verdana" w:hAnsi="Verdana" w:cs="Verdana"/>
      <w:lang w:val="en-AU"/>
    </w:rPr>
  </w:style>
  <w:style w:type="character" w:styleId="IntenseEmphasis">
    <w:name w:val="Intense Emphasis"/>
    <w:basedOn w:val="DefaultParagraphFont"/>
    <w:uiPriority w:val="21"/>
    <w:qFormat/>
    <w:rsid w:val="000A09DC"/>
    <w:rPr>
      <w:i/>
      <w:iCs/>
      <w:color w:val="4F81BD" w:themeColor="accent1"/>
    </w:rPr>
  </w:style>
  <w:style w:type="character" w:customStyle="1" w:styleId="Heading2Char">
    <w:name w:val="Heading 2 Char"/>
    <w:basedOn w:val="DefaultParagraphFont"/>
    <w:link w:val="Heading2"/>
    <w:uiPriority w:val="9"/>
    <w:rsid w:val="000A09DC"/>
    <w:rPr>
      <w:rFonts w:asciiTheme="majorHAnsi" w:eastAsiaTheme="majorEastAsia" w:hAnsiTheme="majorHAnsi" w:cstheme="majorBidi"/>
      <w:color w:val="365F91" w:themeColor="accent1" w:themeShade="BF"/>
      <w:sz w:val="26"/>
      <w:szCs w:val="26"/>
      <w:lang w:val="en-AU"/>
    </w:rPr>
  </w:style>
  <w:style w:type="paragraph" w:styleId="BalloonText">
    <w:name w:val="Balloon Text"/>
    <w:basedOn w:val="Normal"/>
    <w:link w:val="BalloonTextChar"/>
    <w:uiPriority w:val="99"/>
    <w:semiHidden/>
    <w:unhideWhenUsed/>
    <w:rsid w:val="00B64C65"/>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C65"/>
    <w:rPr>
      <w:rFonts w:ascii="Segoe UI" w:eastAsia="Verdana" w:hAnsi="Segoe UI" w:cs="Segoe UI"/>
      <w:sz w:val="18"/>
      <w:szCs w:val="18"/>
      <w:lang w:val="en-AU"/>
    </w:rPr>
  </w:style>
  <w:style w:type="paragraph" w:styleId="NormalWeb">
    <w:name w:val="Normal (Web)"/>
    <w:basedOn w:val="Normal"/>
    <w:uiPriority w:val="99"/>
    <w:semiHidden/>
    <w:unhideWhenUsed/>
    <w:rsid w:val="00433436"/>
    <w:pPr>
      <w:spacing w:before="100" w:beforeAutospacing="1" w:after="100" w:afterAutospacing="1" w:line="240" w:lineRule="auto"/>
      <w:ind w:left="0" w:right="0"/>
    </w:pPr>
    <w:rPr>
      <w:rFonts w:ascii="Times New Roman" w:eastAsia="Times New Roman" w:hAnsi="Times New Roman" w:cs="Times New Roman"/>
      <w:szCs w:val="24"/>
      <w:lang w:eastAsia="en-AU"/>
    </w:rPr>
  </w:style>
  <w:style w:type="paragraph" w:styleId="Header">
    <w:name w:val="header"/>
    <w:basedOn w:val="Normal"/>
    <w:link w:val="HeaderChar"/>
    <w:uiPriority w:val="99"/>
    <w:unhideWhenUsed/>
    <w:rsid w:val="00433436"/>
    <w:pPr>
      <w:tabs>
        <w:tab w:val="center" w:pos="4513"/>
        <w:tab w:val="right" w:pos="9026"/>
      </w:tabs>
      <w:spacing w:before="0" w:line="240" w:lineRule="auto"/>
    </w:pPr>
  </w:style>
  <w:style w:type="character" w:customStyle="1" w:styleId="HeaderChar">
    <w:name w:val="Header Char"/>
    <w:basedOn w:val="DefaultParagraphFont"/>
    <w:link w:val="Header"/>
    <w:uiPriority w:val="99"/>
    <w:rsid w:val="00433436"/>
    <w:rPr>
      <w:rFonts w:ascii="Verdana" w:eastAsia="Verdana" w:hAnsi="Verdana" w:cs="Verdana"/>
      <w:lang w:val="en-AU"/>
    </w:rPr>
  </w:style>
  <w:style w:type="paragraph" w:styleId="Footer">
    <w:name w:val="footer"/>
    <w:basedOn w:val="Normal"/>
    <w:link w:val="FooterChar"/>
    <w:uiPriority w:val="99"/>
    <w:unhideWhenUsed/>
    <w:rsid w:val="00433436"/>
    <w:pPr>
      <w:tabs>
        <w:tab w:val="center" w:pos="4513"/>
        <w:tab w:val="right" w:pos="9026"/>
      </w:tabs>
      <w:spacing w:before="0" w:line="240" w:lineRule="auto"/>
    </w:pPr>
  </w:style>
  <w:style w:type="character" w:customStyle="1" w:styleId="FooterChar">
    <w:name w:val="Footer Char"/>
    <w:basedOn w:val="DefaultParagraphFont"/>
    <w:link w:val="Footer"/>
    <w:uiPriority w:val="99"/>
    <w:rsid w:val="00433436"/>
    <w:rPr>
      <w:rFonts w:ascii="Verdana" w:eastAsia="Verdana" w:hAnsi="Verdana" w:cs="Verdana"/>
      <w:lang w:val="en-AU"/>
    </w:rPr>
  </w:style>
  <w:style w:type="character" w:styleId="Hyperlink">
    <w:name w:val="Hyperlink"/>
    <w:basedOn w:val="DefaultParagraphFont"/>
    <w:uiPriority w:val="99"/>
    <w:unhideWhenUsed/>
    <w:rsid w:val="00672904"/>
    <w:rPr>
      <w:color w:val="0000FF"/>
      <w:u w:val="single"/>
    </w:rPr>
  </w:style>
  <w:style w:type="character" w:styleId="FollowedHyperlink">
    <w:name w:val="FollowedHyperlink"/>
    <w:basedOn w:val="DefaultParagraphFont"/>
    <w:uiPriority w:val="99"/>
    <w:semiHidden/>
    <w:unhideWhenUsed/>
    <w:rsid w:val="00A54EFC"/>
    <w:rPr>
      <w:color w:val="800080" w:themeColor="followedHyperlink"/>
      <w:u w:val="single"/>
    </w:rPr>
  </w:style>
  <w:style w:type="table" w:styleId="TableGrid">
    <w:name w:val="Table Grid"/>
    <w:basedOn w:val="TableNormal"/>
    <w:uiPriority w:val="59"/>
    <w:rsid w:val="00A92FCE"/>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4506E"/>
    <w:rPr>
      <w:color w:val="605E5C"/>
      <w:shd w:val="clear" w:color="auto" w:fill="E1DFDD"/>
    </w:rPr>
  </w:style>
  <w:style w:type="character" w:customStyle="1" w:styleId="Heading3Char">
    <w:name w:val="Heading 3 Char"/>
    <w:basedOn w:val="DefaultParagraphFont"/>
    <w:link w:val="Heading3"/>
    <w:uiPriority w:val="9"/>
    <w:rsid w:val="00AD4757"/>
    <w:rPr>
      <w:rFonts w:asciiTheme="majorHAnsi" w:eastAsiaTheme="majorEastAsia" w:hAnsiTheme="majorHAnsi" w:cstheme="majorBidi"/>
      <w:color w:val="243F60" w:themeColor="accent1" w:themeShade="7F"/>
      <w:sz w:val="24"/>
      <w:szCs w:val="24"/>
      <w:lang w:val="en-AU"/>
    </w:rPr>
  </w:style>
  <w:style w:type="character" w:customStyle="1" w:styleId="Heading4Char">
    <w:name w:val="Heading 4 Char"/>
    <w:basedOn w:val="DefaultParagraphFont"/>
    <w:link w:val="Heading4"/>
    <w:uiPriority w:val="9"/>
    <w:rsid w:val="00650C62"/>
    <w:rPr>
      <w:rFonts w:asciiTheme="majorHAnsi" w:eastAsiaTheme="majorEastAsia" w:hAnsiTheme="majorHAnsi" w:cstheme="majorBidi"/>
      <w:i/>
      <w:iCs/>
      <w:color w:val="365F91" w:themeColor="accent1" w:themeShade="BF"/>
      <w:lang w:val="en-AU"/>
    </w:rPr>
  </w:style>
  <w:style w:type="character" w:customStyle="1" w:styleId="Heading5Char">
    <w:name w:val="Heading 5 Char"/>
    <w:basedOn w:val="DefaultParagraphFont"/>
    <w:link w:val="Heading5"/>
    <w:uiPriority w:val="9"/>
    <w:rsid w:val="00650C62"/>
    <w:rPr>
      <w:rFonts w:asciiTheme="majorHAnsi" w:eastAsiaTheme="majorEastAsia" w:hAnsiTheme="majorHAnsi" w:cstheme="majorBidi"/>
      <w:color w:val="365F91" w:themeColor="accent1" w:themeShade="BF"/>
      <w:lang w:val="en-AU"/>
    </w:rPr>
  </w:style>
  <w:style w:type="paragraph" w:styleId="TOCHeading">
    <w:name w:val="TOC Heading"/>
    <w:basedOn w:val="Heading1"/>
    <w:next w:val="Normal"/>
    <w:uiPriority w:val="39"/>
    <w:unhideWhenUsed/>
    <w:qFormat/>
    <w:rsid w:val="00D94A34"/>
    <w:pPr>
      <w:keepNext/>
      <w:keepLines/>
      <w:spacing w:before="480" w:line="276" w:lineRule="auto"/>
      <w:ind w:left="0" w:right="0" w:firstLine="0"/>
      <w:outlineLvl w:val="9"/>
    </w:pPr>
    <w:rPr>
      <w:rFonts w:asciiTheme="majorHAnsi" w:eastAsiaTheme="majorEastAsia" w:hAnsiTheme="majorHAnsi" w:cstheme="majorBidi"/>
      <w:b/>
      <w:bCs/>
      <w:color w:val="365F91" w:themeColor="accent1" w:themeShade="BF"/>
      <w:sz w:val="28"/>
      <w:szCs w:val="28"/>
      <w:lang w:val="en-US"/>
    </w:rPr>
  </w:style>
  <w:style w:type="paragraph" w:styleId="TOC1">
    <w:name w:val="toc 1"/>
    <w:basedOn w:val="Normal"/>
    <w:next w:val="Normal"/>
    <w:autoRedefine/>
    <w:uiPriority w:val="39"/>
    <w:unhideWhenUsed/>
    <w:rsid w:val="00D94A34"/>
    <w:pPr>
      <w:spacing w:before="120"/>
      <w:ind w:left="0"/>
    </w:pPr>
    <w:rPr>
      <w:rFonts w:cstheme="minorHAnsi"/>
      <w:b/>
      <w:bCs/>
      <w:i/>
      <w:iCs/>
      <w:szCs w:val="24"/>
    </w:rPr>
  </w:style>
  <w:style w:type="paragraph" w:styleId="TOC2">
    <w:name w:val="toc 2"/>
    <w:basedOn w:val="Normal"/>
    <w:next w:val="Normal"/>
    <w:autoRedefine/>
    <w:uiPriority w:val="39"/>
    <w:unhideWhenUsed/>
    <w:rsid w:val="00D94A34"/>
    <w:pPr>
      <w:spacing w:before="120"/>
      <w:ind w:left="240"/>
    </w:pPr>
    <w:rPr>
      <w:rFonts w:cstheme="minorHAnsi"/>
      <w:b/>
      <w:bCs/>
      <w:sz w:val="22"/>
    </w:rPr>
  </w:style>
  <w:style w:type="paragraph" w:styleId="TOC3">
    <w:name w:val="toc 3"/>
    <w:basedOn w:val="Normal"/>
    <w:next w:val="Normal"/>
    <w:autoRedefine/>
    <w:uiPriority w:val="39"/>
    <w:unhideWhenUsed/>
    <w:rsid w:val="00D94A34"/>
    <w:pPr>
      <w:spacing w:before="0"/>
      <w:ind w:left="480"/>
    </w:pPr>
    <w:rPr>
      <w:rFonts w:cstheme="minorHAnsi"/>
      <w:sz w:val="20"/>
      <w:szCs w:val="20"/>
    </w:rPr>
  </w:style>
  <w:style w:type="paragraph" w:styleId="TOC4">
    <w:name w:val="toc 4"/>
    <w:basedOn w:val="Normal"/>
    <w:next w:val="Normal"/>
    <w:autoRedefine/>
    <w:uiPriority w:val="39"/>
    <w:semiHidden/>
    <w:unhideWhenUsed/>
    <w:rsid w:val="00D94A34"/>
    <w:pPr>
      <w:spacing w:before="0"/>
      <w:ind w:left="720"/>
    </w:pPr>
    <w:rPr>
      <w:rFonts w:cstheme="minorHAnsi"/>
      <w:sz w:val="20"/>
      <w:szCs w:val="20"/>
    </w:rPr>
  </w:style>
  <w:style w:type="paragraph" w:styleId="TOC5">
    <w:name w:val="toc 5"/>
    <w:basedOn w:val="Normal"/>
    <w:next w:val="Normal"/>
    <w:autoRedefine/>
    <w:uiPriority w:val="39"/>
    <w:semiHidden/>
    <w:unhideWhenUsed/>
    <w:rsid w:val="00D94A34"/>
    <w:pPr>
      <w:spacing w:before="0"/>
      <w:ind w:left="960"/>
    </w:pPr>
    <w:rPr>
      <w:rFonts w:cstheme="minorHAnsi"/>
      <w:sz w:val="20"/>
      <w:szCs w:val="20"/>
    </w:rPr>
  </w:style>
  <w:style w:type="paragraph" w:styleId="TOC6">
    <w:name w:val="toc 6"/>
    <w:basedOn w:val="Normal"/>
    <w:next w:val="Normal"/>
    <w:autoRedefine/>
    <w:uiPriority w:val="39"/>
    <w:semiHidden/>
    <w:unhideWhenUsed/>
    <w:rsid w:val="00D94A34"/>
    <w:pPr>
      <w:spacing w:before="0"/>
      <w:ind w:left="1200"/>
    </w:pPr>
    <w:rPr>
      <w:rFonts w:cstheme="minorHAnsi"/>
      <w:sz w:val="20"/>
      <w:szCs w:val="20"/>
    </w:rPr>
  </w:style>
  <w:style w:type="paragraph" w:styleId="TOC7">
    <w:name w:val="toc 7"/>
    <w:basedOn w:val="Normal"/>
    <w:next w:val="Normal"/>
    <w:autoRedefine/>
    <w:uiPriority w:val="39"/>
    <w:semiHidden/>
    <w:unhideWhenUsed/>
    <w:rsid w:val="00D94A34"/>
    <w:pPr>
      <w:spacing w:before="0"/>
      <w:ind w:left="1440"/>
    </w:pPr>
    <w:rPr>
      <w:rFonts w:cstheme="minorHAnsi"/>
      <w:sz w:val="20"/>
      <w:szCs w:val="20"/>
    </w:rPr>
  </w:style>
  <w:style w:type="paragraph" w:styleId="TOC8">
    <w:name w:val="toc 8"/>
    <w:basedOn w:val="Normal"/>
    <w:next w:val="Normal"/>
    <w:autoRedefine/>
    <w:uiPriority w:val="39"/>
    <w:semiHidden/>
    <w:unhideWhenUsed/>
    <w:rsid w:val="00D94A34"/>
    <w:pPr>
      <w:spacing w:before="0"/>
      <w:ind w:left="1680"/>
    </w:pPr>
    <w:rPr>
      <w:rFonts w:cstheme="minorHAnsi"/>
      <w:sz w:val="20"/>
      <w:szCs w:val="20"/>
    </w:rPr>
  </w:style>
  <w:style w:type="paragraph" w:styleId="TOC9">
    <w:name w:val="toc 9"/>
    <w:basedOn w:val="Normal"/>
    <w:next w:val="Normal"/>
    <w:autoRedefine/>
    <w:uiPriority w:val="39"/>
    <w:semiHidden/>
    <w:unhideWhenUsed/>
    <w:rsid w:val="00D94A34"/>
    <w:pPr>
      <w:spacing w:before="0"/>
      <w:ind w:left="1920"/>
    </w:pPr>
    <w:rPr>
      <w:rFonts w:cstheme="minorHAnsi"/>
      <w:sz w:val="20"/>
      <w:szCs w:val="20"/>
    </w:rPr>
  </w:style>
  <w:style w:type="character" w:styleId="CommentReference">
    <w:name w:val="annotation reference"/>
    <w:basedOn w:val="DefaultParagraphFont"/>
    <w:uiPriority w:val="99"/>
    <w:semiHidden/>
    <w:unhideWhenUsed/>
    <w:rsid w:val="00B21763"/>
    <w:rPr>
      <w:sz w:val="16"/>
      <w:szCs w:val="16"/>
    </w:rPr>
  </w:style>
  <w:style w:type="paragraph" w:styleId="CommentText">
    <w:name w:val="annotation text"/>
    <w:basedOn w:val="Normal"/>
    <w:link w:val="CommentTextChar"/>
    <w:uiPriority w:val="99"/>
    <w:semiHidden/>
    <w:unhideWhenUsed/>
    <w:rsid w:val="00B21763"/>
    <w:pPr>
      <w:spacing w:line="240" w:lineRule="auto"/>
    </w:pPr>
    <w:rPr>
      <w:sz w:val="20"/>
      <w:szCs w:val="20"/>
    </w:rPr>
  </w:style>
  <w:style w:type="character" w:customStyle="1" w:styleId="CommentTextChar">
    <w:name w:val="Comment Text Char"/>
    <w:basedOn w:val="DefaultParagraphFont"/>
    <w:link w:val="CommentText"/>
    <w:uiPriority w:val="99"/>
    <w:semiHidden/>
    <w:rsid w:val="00B21763"/>
    <w:rPr>
      <w:rFonts w:eastAsia="Verdana" w:cs="Verdana"/>
      <w:sz w:val="20"/>
      <w:szCs w:val="20"/>
      <w:lang w:val="en-AU"/>
    </w:rPr>
  </w:style>
  <w:style w:type="paragraph" w:styleId="CommentSubject">
    <w:name w:val="annotation subject"/>
    <w:basedOn w:val="CommentText"/>
    <w:next w:val="CommentText"/>
    <w:link w:val="CommentSubjectChar"/>
    <w:uiPriority w:val="99"/>
    <w:semiHidden/>
    <w:unhideWhenUsed/>
    <w:rsid w:val="00B21763"/>
    <w:rPr>
      <w:b/>
      <w:bCs/>
    </w:rPr>
  </w:style>
  <w:style w:type="character" w:customStyle="1" w:styleId="CommentSubjectChar">
    <w:name w:val="Comment Subject Char"/>
    <w:basedOn w:val="CommentTextChar"/>
    <w:link w:val="CommentSubject"/>
    <w:uiPriority w:val="99"/>
    <w:semiHidden/>
    <w:rsid w:val="00B21763"/>
    <w:rPr>
      <w:rFonts w:eastAsia="Verdana" w:cs="Verdana"/>
      <w:b/>
      <w:bCs/>
      <w:sz w:val="20"/>
      <w:szCs w:val="20"/>
      <w:lang w:val="en-AU"/>
    </w:rPr>
  </w:style>
  <w:style w:type="paragraph" w:styleId="TableofFigures">
    <w:name w:val="table of figures"/>
    <w:basedOn w:val="Normal"/>
    <w:next w:val="Normal"/>
    <w:uiPriority w:val="99"/>
    <w:unhideWhenUsed/>
    <w:rsid w:val="00A80294"/>
    <w:pPr>
      <w:ind w:left="0"/>
    </w:pPr>
  </w:style>
  <w:style w:type="paragraph" w:customStyle="1" w:styleId="Notes">
    <w:name w:val="Note(s)"/>
    <w:basedOn w:val="Normal"/>
    <w:uiPriority w:val="2"/>
    <w:qFormat/>
    <w:rsid w:val="00BA5723"/>
    <w:pPr>
      <w:tabs>
        <w:tab w:val="left" w:pos="709"/>
      </w:tabs>
      <w:spacing w:before="0"/>
      <w:ind w:left="709" w:right="0" w:hanging="709"/>
    </w:pPr>
    <w:rPr>
      <w:rFonts w:eastAsiaTheme="minorEastAsia" w:cstheme="minorBidi"/>
      <w:i/>
      <w:iCs/>
      <w:sz w:val="16"/>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196603">
      <w:bodyDiv w:val="1"/>
      <w:marLeft w:val="0"/>
      <w:marRight w:val="0"/>
      <w:marTop w:val="0"/>
      <w:marBottom w:val="0"/>
      <w:divBdr>
        <w:top w:val="none" w:sz="0" w:space="0" w:color="auto"/>
        <w:left w:val="none" w:sz="0" w:space="0" w:color="auto"/>
        <w:bottom w:val="none" w:sz="0" w:space="0" w:color="auto"/>
        <w:right w:val="none" w:sz="0" w:space="0" w:color="auto"/>
      </w:divBdr>
    </w:div>
    <w:div w:id="219053878">
      <w:bodyDiv w:val="1"/>
      <w:marLeft w:val="0"/>
      <w:marRight w:val="0"/>
      <w:marTop w:val="0"/>
      <w:marBottom w:val="0"/>
      <w:divBdr>
        <w:top w:val="none" w:sz="0" w:space="0" w:color="auto"/>
        <w:left w:val="none" w:sz="0" w:space="0" w:color="auto"/>
        <w:bottom w:val="none" w:sz="0" w:space="0" w:color="auto"/>
        <w:right w:val="none" w:sz="0" w:space="0" w:color="auto"/>
      </w:divBdr>
    </w:div>
    <w:div w:id="445783091">
      <w:bodyDiv w:val="1"/>
      <w:marLeft w:val="0"/>
      <w:marRight w:val="0"/>
      <w:marTop w:val="0"/>
      <w:marBottom w:val="0"/>
      <w:divBdr>
        <w:top w:val="none" w:sz="0" w:space="0" w:color="auto"/>
        <w:left w:val="none" w:sz="0" w:space="0" w:color="auto"/>
        <w:bottom w:val="none" w:sz="0" w:space="0" w:color="auto"/>
        <w:right w:val="none" w:sz="0" w:space="0" w:color="auto"/>
      </w:divBdr>
    </w:div>
    <w:div w:id="634989076">
      <w:bodyDiv w:val="1"/>
      <w:marLeft w:val="0"/>
      <w:marRight w:val="0"/>
      <w:marTop w:val="0"/>
      <w:marBottom w:val="0"/>
      <w:divBdr>
        <w:top w:val="none" w:sz="0" w:space="0" w:color="auto"/>
        <w:left w:val="none" w:sz="0" w:space="0" w:color="auto"/>
        <w:bottom w:val="none" w:sz="0" w:space="0" w:color="auto"/>
        <w:right w:val="none" w:sz="0" w:space="0" w:color="auto"/>
      </w:divBdr>
    </w:div>
    <w:div w:id="1108961517">
      <w:bodyDiv w:val="1"/>
      <w:marLeft w:val="0"/>
      <w:marRight w:val="0"/>
      <w:marTop w:val="0"/>
      <w:marBottom w:val="0"/>
      <w:divBdr>
        <w:top w:val="none" w:sz="0" w:space="0" w:color="auto"/>
        <w:left w:val="none" w:sz="0" w:space="0" w:color="auto"/>
        <w:bottom w:val="none" w:sz="0" w:space="0" w:color="auto"/>
        <w:right w:val="none" w:sz="0" w:space="0" w:color="auto"/>
      </w:divBdr>
    </w:div>
    <w:div w:id="1396245405">
      <w:bodyDiv w:val="1"/>
      <w:marLeft w:val="0"/>
      <w:marRight w:val="0"/>
      <w:marTop w:val="0"/>
      <w:marBottom w:val="0"/>
      <w:divBdr>
        <w:top w:val="none" w:sz="0" w:space="0" w:color="auto"/>
        <w:left w:val="none" w:sz="0" w:space="0" w:color="auto"/>
        <w:bottom w:val="none" w:sz="0" w:space="0" w:color="auto"/>
        <w:right w:val="none" w:sz="0" w:space="0" w:color="auto"/>
      </w:divBdr>
    </w:div>
    <w:div w:id="1494028102">
      <w:bodyDiv w:val="1"/>
      <w:marLeft w:val="0"/>
      <w:marRight w:val="0"/>
      <w:marTop w:val="0"/>
      <w:marBottom w:val="0"/>
      <w:divBdr>
        <w:top w:val="none" w:sz="0" w:space="0" w:color="auto"/>
        <w:left w:val="none" w:sz="0" w:space="0" w:color="auto"/>
        <w:bottom w:val="none" w:sz="0" w:space="0" w:color="auto"/>
        <w:right w:val="none" w:sz="0" w:space="0" w:color="auto"/>
      </w:divBdr>
    </w:div>
    <w:div w:id="1780685555">
      <w:bodyDiv w:val="1"/>
      <w:marLeft w:val="0"/>
      <w:marRight w:val="0"/>
      <w:marTop w:val="0"/>
      <w:marBottom w:val="0"/>
      <w:divBdr>
        <w:top w:val="none" w:sz="0" w:space="0" w:color="auto"/>
        <w:left w:val="none" w:sz="0" w:space="0" w:color="auto"/>
        <w:bottom w:val="none" w:sz="0" w:space="0" w:color="auto"/>
        <w:right w:val="none" w:sz="0" w:space="0" w:color="auto"/>
      </w:divBdr>
    </w:div>
    <w:div w:id="19527868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rlinfo.aph.gov.au/parlInfo/search/display/display.w3p;query=Id%3A%22legislation%2Fbillhome%2Fr7191%22" TargetMode="External"/><Relationship Id="rId13" Type="http://schemas.openxmlformats.org/officeDocument/2006/relationships/image" Target="media/image3.png"/><Relationship Id="rId18" Type="http://schemas.openxmlformats.org/officeDocument/2006/relationships/hyperlink" Target="https://parlinfo.aph.gov.au/parlInfo/search/display/display.w3p;query=Id%3A%22legislation%2Fbillhome%2Fr7191%2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7.sv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hyperlink" Target="https://parlinfo.aph.gov.au/parlInfo/search/display/display.w3p;query=Id%3A%22legislation%2Fbillhome%2Fr7191%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arlinfo.aph.gov.au/parlInfo/search/display/display.w3p;query=Id%3A%22legislation%2Fbillhome%2Fr7191%22" TargetMode="External"/><Relationship Id="rId14" Type="http://schemas.openxmlformats.org/officeDocument/2006/relationships/image" Target="media/image4.sv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4FBF1-A606-4D09-A5B9-E28A11C8D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22</Pages>
  <Words>4727</Words>
  <Characters>27327</Characters>
  <Application>Microsoft Office Word</Application>
  <DocSecurity>0</DocSecurity>
  <Lines>546</Lines>
  <Paragraphs>235</Paragraphs>
  <ScaleCrop>false</ScaleCrop>
  <HeadingPairs>
    <vt:vector size="2" baseType="variant">
      <vt:variant>
        <vt:lpstr>Title</vt:lpstr>
      </vt:variant>
      <vt:variant>
        <vt:i4>1</vt:i4>
      </vt:variant>
    </vt:vector>
  </HeadingPairs>
  <TitlesOfParts>
    <vt:vector size="1" baseType="lpstr">
      <vt:lpstr>Accord priorities submission - Andrew Norton</vt:lpstr>
    </vt:vector>
  </TitlesOfParts>
  <Company/>
  <LinksUpToDate>false</LinksUpToDate>
  <CharactersWithSpaces>31819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Accord priorities submission - Andrew Norton</dc:title>
  <dc:creator>Andrew Norton</dc:creator>
  <cp:lastModifiedBy>Andrew Norton</cp:lastModifiedBy>
  <cp:revision>29</cp:revision>
  <cp:lastPrinted>2024-07-01T06:07:00Z</cp:lastPrinted>
  <dcterms:created xsi:type="dcterms:W3CDTF">2024-06-30T23:06:00Z</dcterms:created>
  <dcterms:modified xsi:type="dcterms:W3CDTF">2024-07-01T06:28:00Z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2020-08-17T00:00:00Z</vt:filetime>
  </property>
  <property fmtid="{D5CDD505-2E9C-101B-9397-08002B2CF9AE}" pid="3" name="Creator">
    <vt:lpwstr>Acrobat PDFMaker 20 for Word</vt:lpwstr>
  </property>
  <property fmtid="{D5CDD505-2E9C-101B-9397-08002B2CF9AE}" pid="4" name="LastSaved">
    <vt:filetime>2020-09-05T00:00:00Z</vt:filetime>
  </property>
</Properties>
</file>