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4BD83" w14:textId="40E736BE" w:rsidR="00724833" w:rsidRPr="00DB5E03" w:rsidRDefault="00724833" w:rsidP="00944D95">
      <w:pPr>
        <w:pStyle w:val="BodyText"/>
        <w:ind w:left="8550"/>
        <w:rPr>
          <w:rFonts w:ascii="Aptos" w:hAnsi="Aptos" w:cstheme="minorHAnsi"/>
          <w:szCs w:val="24"/>
        </w:rPr>
      </w:pPr>
    </w:p>
    <w:p w14:paraId="0DE72734" w14:textId="77777777" w:rsidR="00724833" w:rsidRPr="00DB5E03" w:rsidRDefault="00724833" w:rsidP="00944D95">
      <w:pPr>
        <w:pStyle w:val="BodyText"/>
        <w:rPr>
          <w:rFonts w:ascii="Aptos" w:hAnsi="Aptos" w:cstheme="minorHAnsi"/>
          <w:szCs w:val="24"/>
        </w:rPr>
      </w:pPr>
    </w:p>
    <w:p w14:paraId="77D7BCD8" w14:textId="77777777" w:rsidR="00724833" w:rsidRPr="00941CD9" w:rsidRDefault="00724833" w:rsidP="00944D95">
      <w:pPr>
        <w:pStyle w:val="BodyText"/>
        <w:rPr>
          <w:rFonts w:ascii="Aptos" w:hAnsi="Aptos" w:cstheme="minorHAnsi"/>
          <w:sz w:val="36"/>
          <w:szCs w:val="36"/>
        </w:rPr>
      </w:pPr>
    </w:p>
    <w:p w14:paraId="45E9F75E" w14:textId="79F4DA89" w:rsidR="00724833" w:rsidRPr="00941CD9" w:rsidRDefault="00C76904" w:rsidP="00944D95">
      <w:pPr>
        <w:pStyle w:val="Title"/>
        <w:ind w:left="0"/>
        <w:rPr>
          <w:rFonts w:ascii="Aptos" w:hAnsi="Aptos" w:cstheme="minorHAnsi"/>
          <w:b w:val="0"/>
          <w:sz w:val="36"/>
          <w:szCs w:val="36"/>
        </w:rPr>
      </w:pPr>
      <w:bookmarkStart w:id="0" w:name="Job-ready_Graduates_Package_draft_legisl"/>
      <w:bookmarkEnd w:id="0"/>
      <w:r w:rsidRPr="00941CD9">
        <w:rPr>
          <w:rFonts w:ascii="Aptos" w:hAnsi="Aptos" w:cstheme="minorHAnsi"/>
          <w:color w:val="242424"/>
          <w:sz w:val="36"/>
          <w:szCs w:val="36"/>
        </w:rPr>
        <w:t xml:space="preserve">Submission on </w:t>
      </w:r>
      <w:r w:rsidR="001D5DE3" w:rsidRPr="00941CD9">
        <w:rPr>
          <w:rFonts w:ascii="Aptos" w:hAnsi="Aptos" w:cstheme="minorHAnsi"/>
          <w:color w:val="242424"/>
          <w:sz w:val="36"/>
          <w:szCs w:val="36"/>
        </w:rPr>
        <w:t xml:space="preserve">the </w:t>
      </w:r>
      <w:r w:rsidR="000D2519" w:rsidRPr="00941CD9">
        <w:rPr>
          <w:rFonts w:ascii="Aptos" w:hAnsi="Aptos" w:cstheme="minorHAnsi"/>
          <w:i/>
          <w:iCs/>
          <w:color w:val="242424"/>
          <w:sz w:val="36"/>
          <w:szCs w:val="36"/>
        </w:rPr>
        <w:t>Education Legislation Amendment (Integrity and Other Measures) Bill 2025</w:t>
      </w:r>
      <w:r w:rsidR="002667F8" w:rsidRPr="00941CD9">
        <w:rPr>
          <w:rFonts w:ascii="Aptos" w:hAnsi="Aptos" w:cstheme="minorHAnsi"/>
          <w:color w:val="242424"/>
          <w:sz w:val="36"/>
          <w:szCs w:val="36"/>
        </w:rPr>
        <w:t xml:space="preserve"> </w:t>
      </w:r>
    </w:p>
    <w:p w14:paraId="3BC398C8" w14:textId="77777777" w:rsidR="00724833" w:rsidRPr="00DB5E03" w:rsidRDefault="00724833" w:rsidP="00944D95">
      <w:pPr>
        <w:pStyle w:val="BodyText"/>
        <w:rPr>
          <w:rFonts w:ascii="Aptos" w:hAnsi="Aptos" w:cstheme="minorHAnsi"/>
          <w:b/>
          <w:szCs w:val="24"/>
        </w:rPr>
      </w:pPr>
    </w:p>
    <w:p w14:paraId="6D36C8C0" w14:textId="77777777" w:rsidR="00F44123" w:rsidRPr="00DB5E03" w:rsidRDefault="00F44123" w:rsidP="00944D95">
      <w:pPr>
        <w:pStyle w:val="BodyText"/>
        <w:rPr>
          <w:rFonts w:ascii="Aptos" w:hAnsi="Aptos" w:cstheme="minorHAnsi"/>
          <w:b/>
          <w:szCs w:val="24"/>
        </w:rPr>
      </w:pPr>
    </w:p>
    <w:p w14:paraId="131F3FCE" w14:textId="77777777" w:rsidR="00F44123" w:rsidRPr="00DB5E03" w:rsidRDefault="00F44123" w:rsidP="00944D95">
      <w:pPr>
        <w:pStyle w:val="BodyText"/>
        <w:rPr>
          <w:rFonts w:ascii="Aptos" w:hAnsi="Aptos" w:cstheme="minorHAnsi"/>
          <w:b/>
          <w:szCs w:val="24"/>
        </w:rPr>
      </w:pPr>
    </w:p>
    <w:p w14:paraId="2C353269" w14:textId="55AA0BE8" w:rsidR="00927923" w:rsidRPr="00DB5E03" w:rsidRDefault="00927923" w:rsidP="00944D95">
      <w:pPr>
        <w:pStyle w:val="BodyText"/>
        <w:spacing w:before="4"/>
        <w:rPr>
          <w:rFonts w:ascii="Aptos" w:hAnsi="Aptos" w:cstheme="minorHAnsi"/>
          <w:b/>
          <w:szCs w:val="24"/>
        </w:rPr>
      </w:pPr>
    </w:p>
    <w:p w14:paraId="0E9F1317" w14:textId="7797B206" w:rsidR="00724833" w:rsidRPr="00DB5E03" w:rsidRDefault="00941CD9" w:rsidP="00944D95">
      <w:pPr>
        <w:pStyle w:val="BodyText"/>
        <w:spacing w:before="4"/>
        <w:rPr>
          <w:rFonts w:ascii="Aptos" w:hAnsi="Aptos" w:cstheme="minorHAnsi"/>
          <w:b/>
          <w:szCs w:val="24"/>
        </w:rPr>
      </w:pPr>
      <w:r w:rsidRPr="00DB5E03">
        <w:rPr>
          <w:rFonts w:ascii="Aptos" w:hAnsi="Aptos" w:cstheme="minorHAnsi"/>
          <w:noProof/>
          <w:szCs w:val="24"/>
        </w:rPr>
        <mc:AlternateContent>
          <mc:Choice Requires="wps">
            <w:drawing>
              <wp:anchor distT="0" distB="0" distL="0" distR="0" simplePos="0" relativeHeight="487588352" behindDoc="1" locked="0" layoutInCell="1" allowOverlap="1" wp14:anchorId="5C2AC7AC" wp14:editId="082553E3">
                <wp:simplePos x="0" y="0"/>
                <wp:positionH relativeFrom="page">
                  <wp:posOffset>1162050</wp:posOffset>
                </wp:positionH>
                <wp:positionV relativeFrom="paragraph">
                  <wp:posOffset>413385</wp:posOffset>
                </wp:positionV>
                <wp:extent cx="4733925" cy="3152775"/>
                <wp:effectExtent l="0" t="0" r="28575" b="28575"/>
                <wp:wrapTopAndBottom/>
                <wp:docPr id="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31527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2AC7AC" id="_x0000_t202" coordsize="21600,21600" o:spt="202" path="m,l,21600r21600,l21600,xe">
                <v:stroke joinstyle="miter"/>
                <v:path gradientshapeok="t" o:connecttype="rect"/>
              </v:shapetype>
              <v:shape id="Text Box 45" o:spid="_x0000_s1026" type="#_x0000_t202" style="position:absolute;margin-left:91.5pt;margin-top:32.55pt;width:372.75pt;height:248.2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" filled="f">
                <v:textbox inset="0,0,0,0">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v:textbox>
                <w10:wrap type="topAndBottom" anchorx="page"/>
              </v:shape>
            </w:pict>
          </mc:Fallback>
        </mc:AlternateContent>
      </w:r>
    </w:p>
    <w:bookmarkStart w:id="1" w:name="1._Overview" w:displacedByCustomXml="next"/>
    <w:bookmarkEnd w:id="1" w:displacedByCustomXml="next"/>
    <w:sdt>
      <w:sdtPr>
        <w:rPr>
          <w:rFonts w:ascii="Aptos" w:eastAsia="Verdana" w:hAnsi="Aptos" w:cs="Verdana"/>
          <w:b w:val="0"/>
          <w:bCs w:val="0"/>
          <w:color w:val="auto"/>
          <w:sz w:val="24"/>
          <w:szCs w:val="24"/>
          <w:lang w:val="en-AU"/>
        </w:rPr>
        <w:id w:val="-393276661"/>
        <w:docPartObj>
          <w:docPartGallery w:val="Table of Contents"/>
          <w:docPartUnique/>
        </w:docPartObj>
      </w:sdtPr>
      <w:sdtEndPr>
        <w:rPr>
          <w:noProof/>
        </w:rPr>
      </w:sdtEndPr>
      <w:sdtContent>
        <w:p w14:paraId="569D9158" w14:textId="1B7EDB90" w:rsidR="00927923" w:rsidRPr="00DB5E03" w:rsidRDefault="00927923" w:rsidP="00944D95">
          <w:pPr>
            <w:pStyle w:val="TOCHeading"/>
            <w:spacing w:line="240" w:lineRule="auto"/>
            <w:rPr>
              <w:rFonts w:ascii="Aptos" w:eastAsia="Verdana" w:hAnsi="Aptos" w:cs="Verdana"/>
              <w:b w:val="0"/>
              <w:bCs w:val="0"/>
              <w:color w:val="auto"/>
              <w:sz w:val="24"/>
              <w:szCs w:val="24"/>
              <w:lang w:val="en-AU"/>
            </w:rPr>
          </w:pPr>
        </w:p>
        <w:p w14:paraId="6CB9E493" w14:textId="77777777" w:rsidR="00927923" w:rsidRPr="00DB5E03" w:rsidRDefault="00927923" w:rsidP="00944D95">
          <w:pPr>
            <w:rPr>
              <w:rFonts w:ascii="Aptos" w:hAnsi="Aptos"/>
              <w:szCs w:val="24"/>
            </w:rPr>
          </w:pPr>
          <w:r w:rsidRPr="00DB5E03">
            <w:rPr>
              <w:rFonts w:ascii="Aptos" w:hAnsi="Aptos"/>
              <w:b/>
              <w:bCs/>
              <w:szCs w:val="24"/>
            </w:rPr>
            <w:br w:type="page"/>
          </w:r>
        </w:p>
        <w:p w14:paraId="2A7D63E1" w14:textId="1211F981" w:rsidR="00D94A34" w:rsidRPr="00DB5E03" w:rsidRDefault="00D94A34" w:rsidP="00944D95">
          <w:pPr>
            <w:pStyle w:val="TOCHeading"/>
            <w:spacing w:line="240" w:lineRule="auto"/>
            <w:rPr>
              <w:rFonts w:ascii="Aptos" w:hAnsi="Aptos" w:cstheme="minorHAnsi"/>
              <w:sz w:val="24"/>
              <w:szCs w:val="24"/>
            </w:rPr>
          </w:pPr>
          <w:r w:rsidRPr="00DB5E03">
            <w:rPr>
              <w:rFonts w:ascii="Aptos" w:hAnsi="Aptos" w:cstheme="minorHAnsi"/>
              <w:sz w:val="24"/>
              <w:szCs w:val="24"/>
            </w:rPr>
            <w:lastRenderedPageBreak/>
            <w:t>Table of Contents</w:t>
          </w:r>
        </w:p>
        <w:p w14:paraId="49271056" w14:textId="0F9A2353" w:rsidR="005A2C95" w:rsidRDefault="00D94A34">
          <w:pPr>
            <w:pStyle w:val="TOC1"/>
            <w:tabs>
              <w:tab w:val="right" w:leader="dot" w:pos="9016"/>
            </w:tabs>
            <w:rPr>
              <w:rFonts w:eastAsiaTheme="minorEastAsia" w:cstheme="minorBidi"/>
              <w:b w:val="0"/>
              <w:bCs w:val="0"/>
              <w:i w:val="0"/>
              <w:iCs w:val="0"/>
              <w:noProof/>
              <w:sz w:val="22"/>
              <w:szCs w:val="22"/>
              <w:lang w:eastAsia="en-AU"/>
            </w:rPr>
          </w:pPr>
          <w:r w:rsidRPr="00DB5E03">
            <w:rPr>
              <w:rFonts w:ascii="Aptos" w:hAnsi="Aptos"/>
              <w:b w:val="0"/>
              <w:bCs w:val="0"/>
            </w:rPr>
            <w:fldChar w:fldCharType="begin"/>
          </w:r>
          <w:r w:rsidRPr="00DB5E03">
            <w:rPr>
              <w:rFonts w:ascii="Aptos" w:hAnsi="Aptos"/>
            </w:rPr>
            <w:instrText xml:space="preserve"> TOC \o "1-3" \h \z \u </w:instrText>
          </w:r>
          <w:r w:rsidRPr="00DB5E03">
            <w:rPr>
              <w:rFonts w:ascii="Aptos" w:hAnsi="Aptos"/>
              <w:b w:val="0"/>
              <w:bCs w:val="0"/>
            </w:rPr>
            <w:fldChar w:fldCharType="separate"/>
          </w:r>
          <w:hyperlink w:anchor="_Toc213838199" w:history="1">
            <w:r w:rsidR="005A2C95" w:rsidRPr="00596D99">
              <w:rPr>
                <w:rStyle w:val="Hyperlink"/>
                <w:rFonts w:ascii="Aptos" w:hAnsi="Aptos"/>
                <w:noProof/>
              </w:rPr>
              <w:t>Overview</w:t>
            </w:r>
            <w:r w:rsidR="005A2C95">
              <w:rPr>
                <w:noProof/>
                <w:webHidden/>
              </w:rPr>
              <w:tab/>
            </w:r>
            <w:r w:rsidR="005A2C95">
              <w:rPr>
                <w:noProof/>
                <w:webHidden/>
              </w:rPr>
              <w:fldChar w:fldCharType="begin"/>
            </w:r>
            <w:r w:rsidR="005A2C95">
              <w:rPr>
                <w:noProof/>
                <w:webHidden/>
              </w:rPr>
              <w:instrText xml:space="preserve"> PAGEREF _Toc213838199 \h </w:instrText>
            </w:r>
            <w:r w:rsidR="005A2C95">
              <w:rPr>
                <w:noProof/>
                <w:webHidden/>
              </w:rPr>
            </w:r>
            <w:r w:rsidR="005A2C95">
              <w:rPr>
                <w:noProof/>
                <w:webHidden/>
              </w:rPr>
              <w:fldChar w:fldCharType="separate"/>
            </w:r>
            <w:r w:rsidR="005A2C95">
              <w:rPr>
                <w:noProof/>
                <w:webHidden/>
              </w:rPr>
              <w:t>3</w:t>
            </w:r>
            <w:r w:rsidR="005A2C95">
              <w:rPr>
                <w:noProof/>
                <w:webHidden/>
              </w:rPr>
              <w:fldChar w:fldCharType="end"/>
            </w:r>
          </w:hyperlink>
        </w:p>
        <w:p w14:paraId="7AAA8E34" w14:textId="09C19AF3" w:rsidR="005A2C95" w:rsidRDefault="005A2C95">
          <w:pPr>
            <w:pStyle w:val="TOC1"/>
            <w:tabs>
              <w:tab w:val="right" w:leader="dot" w:pos="9016"/>
            </w:tabs>
            <w:rPr>
              <w:rFonts w:eastAsiaTheme="minorEastAsia" w:cstheme="minorBidi"/>
              <w:b w:val="0"/>
              <w:bCs w:val="0"/>
              <w:i w:val="0"/>
              <w:iCs w:val="0"/>
              <w:noProof/>
              <w:sz w:val="22"/>
              <w:szCs w:val="22"/>
              <w:lang w:eastAsia="en-AU"/>
            </w:rPr>
          </w:pPr>
          <w:hyperlink w:anchor="_Toc213838200" w:history="1">
            <w:r w:rsidRPr="00596D99">
              <w:rPr>
                <w:rStyle w:val="Hyperlink"/>
                <w:rFonts w:ascii="Aptos" w:hAnsi="Aptos"/>
                <w:noProof/>
              </w:rPr>
              <w:t>Summary of recommendations</w:t>
            </w:r>
            <w:r>
              <w:rPr>
                <w:noProof/>
                <w:webHidden/>
              </w:rPr>
              <w:tab/>
            </w:r>
            <w:r>
              <w:rPr>
                <w:noProof/>
                <w:webHidden/>
              </w:rPr>
              <w:fldChar w:fldCharType="begin"/>
            </w:r>
            <w:r>
              <w:rPr>
                <w:noProof/>
                <w:webHidden/>
              </w:rPr>
              <w:instrText xml:space="preserve"> PAGEREF _Toc213838200 \h </w:instrText>
            </w:r>
            <w:r>
              <w:rPr>
                <w:noProof/>
                <w:webHidden/>
              </w:rPr>
            </w:r>
            <w:r>
              <w:rPr>
                <w:noProof/>
                <w:webHidden/>
              </w:rPr>
              <w:fldChar w:fldCharType="separate"/>
            </w:r>
            <w:r>
              <w:rPr>
                <w:noProof/>
                <w:webHidden/>
              </w:rPr>
              <w:t>4</w:t>
            </w:r>
            <w:r>
              <w:rPr>
                <w:noProof/>
                <w:webHidden/>
              </w:rPr>
              <w:fldChar w:fldCharType="end"/>
            </w:r>
          </w:hyperlink>
        </w:p>
        <w:p w14:paraId="7C1E4E5C" w14:textId="1057442F" w:rsidR="005A2C95" w:rsidRDefault="005A2C95">
          <w:pPr>
            <w:pStyle w:val="TOC1"/>
            <w:tabs>
              <w:tab w:val="left" w:pos="480"/>
              <w:tab w:val="right" w:leader="dot" w:pos="9016"/>
            </w:tabs>
            <w:rPr>
              <w:rFonts w:eastAsiaTheme="minorEastAsia" w:cstheme="minorBidi"/>
              <w:b w:val="0"/>
              <w:bCs w:val="0"/>
              <w:i w:val="0"/>
              <w:iCs w:val="0"/>
              <w:noProof/>
              <w:sz w:val="22"/>
              <w:szCs w:val="22"/>
              <w:lang w:eastAsia="en-AU"/>
            </w:rPr>
          </w:pPr>
          <w:hyperlink w:anchor="_Toc213838201" w:history="1">
            <w:r w:rsidRPr="00596D99">
              <w:rPr>
                <w:rStyle w:val="Hyperlink"/>
                <w:rFonts w:ascii="Aptos" w:hAnsi="Aptos"/>
                <w:noProof/>
              </w:rPr>
              <w:t>1.</w:t>
            </w:r>
            <w:r>
              <w:rPr>
                <w:rFonts w:eastAsiaTheme="minorEastAsia" w:cstheme="minorBidi"/>
                <w:b w:val="0"/>
                <w:bCs w:val="0"/>
                <w:i w:val="0"/>
                <w:iCs w:val="0"/>
                <w:noProof/>
                <w:sz w:val="22"/>
                <w:szCs w:val="22"/>
                <w:lang w:eastAsia="en-AU"/>
              </w:rPr>
              <w:tab/>
            </w:r>
            <w:r w:rsidRPr="00596D99">
              <w:rPr>
                <w:rStyle w:val="Hyperlink"/>
                <w:rFonts w:ascii="Aptos" w:hAnsi="Aptos"/>
                <w:noProof/>
              </w:rPr>
              <w:t>The power to cancel ‘classes of courses’</w:t>
            </w:r>
            <w:r>
              <w:rPr>
                <w:noProof/>
                <w:webHidden/>
              </w:rPr>
              <w:tab/>
            </w:r>
            <w:r>
              <w:rPr>
                <w:noProof/>
                <w:webHidden/>
              </w:rPr>
              <w:fldChar w:fldCharType="begin"/>
            </w:r>
            <w:r>
              <w:rPr>
                <w:noProof/>
                <w:webHidden/>
              </w:rPr>
              <w:instrText xml:space="preserve"> PAGEREF _Toc213838201 \h </w:instrText>
            </w:r>
            <w:r>
              <w:rPr>
                <w:noProof/>
                <w:webHidden/>
              </w:rPr>
            </w:r>
            <w:r>
              <w:rPr>
                <w:noProof/>
                <w:webHidden/>
              </w:rPr>
              <w:fldChar w:fldCharType="separate"/>
            </w:r>
            <w:r>
              <w:rPr>
                <w:noProof/>
                <w:webHidden/>
              </w:rPr>
              <w:t>5</w:t>
            </w:r>
            <w:r>
              <w:rPr>
                <w:noProof/>
                <w:webHidden/>
              </w:rPr>
              <w:fldChar w:fldCharType="end"/>
            </w:r>
          </w:hyperlink>
        </w:p>
        <w:p w14:paraId="31B107CC" w14:textId="4C72928E" w:rsidR="005A2C95" w:rsidRDefault="005A2C95">
          <w:pPr>
            <w:pStyle w:val="TOC2"/>
            <w:tabs>
              <w:tab w:val="right" w:leader="dot" w:pos="9016"/>
            </w:tabs>
            <w:rPr>
              <w:rFonts w:eastAsiaTheme="minorEastAsia" w:cstheme="minorBidi"/>
              <w:b w:val="0"/>
              <w:bCs w:val="0"/>
              <w:noProof/>
              <w:lang w:eastAsia="en-AU"/>
            </w:rPr>
          </w:pPr>
          <w:hyperlink w:anchor="_Toc213838202" w:history="1">
            <w:r w:rsidRPr="00596D99">
              <w:rPr>
                <w:rStyle w:val="Hyperlink"/>
                <w:rFonts w:ascii="Aptos" w:hAnsi="Aptos"/>
                <w:noProof/>
              </w:rPr>
              <w:t>What is a ‘class of courses’?</w:t>
            </w:r>
            <w:r>
              <w:rPr>
                <w:noProof/>
                <w:webHidden/>
              </w:rPr>
              <w:tab/>
            </w:r>
            <w:r>
              <w:rPr>
                <w:noProof/>
                <w:webHidden/>
              </w:rPr>
              <w:fldChar w:fldCharType="begin"/>
            </w:r>
            <w:r>
              <w:rPr>
                <w:noProof/>
                <w:webHidden/>
              </w:rPr>
              <w:instrText xml:space="preserve"> PAGEREF _Toc213838202 \h </w:instrText>
            </w:r>
            <w:r>
              <w:rPr>
                <w:noProof/>
                <w:webHidden/>
              </w:rPr>
            </w:r>
            <w:r>
              <w:rPr>
                <w:noProof/>
                <w:webHidden/>
              </w:rPr>
              <w:fldChar w:fldCharType="separate"/>
            </w:r>
            <w:r>
              <w:rPr>
                <w:noProof/>
                <w:webHidden/>
              </w:rPr>
              <w:t>5</w:t>
            </w:r>
            <w:r>
              <w:rPr>
                <w:noProof/>
                <w:webHidden/>
              </w:rPr>
              <w:fldChar w:fldCharType="end"/>
            </w:r>
          </w:hyperlink>
        </w:p>
        <w:p w14:paraId="6F84F7FF" w14:textId="0BA47C8B" w:rsidR="005A2C95" w:rsidRDefault="005A2C95">
          <w:pPr>
            <w:pStyle w:val="TOC2"/>
            <w:tabs>
              <w:tab w:val="right" w:leader="dot" w:pos="9016"/>
            </w:tabs>
            <w:rPr>
              <w:rFonts w:eastAsiaTheme="minorEastAsia" w:cstheme="minorBidi"/>
              <w:b w:val="0"/>
              <w:bCs w:val="0"/>
              <w:noProof/>
              <w:lang w:eastAsia="en-AU"/>
            </w:rPr>
          </w:pPr>
          <w:hyperlink w:anchor="_Toc213838203" w:history="1">
            <w:r w:rsidRPr="00596D99">
              <w:rPr>
                <w:rStyle w:val="Hyperlink"/>
                <w:rFonts w:ascii="Aptos" w:hAnsi="Aptos"/>
                <w:i/>
                <w:iCs/>
                <w:noProof/>
              </w:rPr>
              <w:t>Standard of delivery</w:t>
            </w:r>
            <w:r>
              <w:rPr>
                <w:noProof/>
                <w:webHidden/>
              </w:rPr>
              <w:tab/>
            </w:r>
            <w:r>
              <w:rPr>
                <w:noProof/>
                <w:webHidden/>
              </w:rPr>
              <w:fldChar w:fldCharType="begin"/>
            </w:r>
            <w:r>
              <w:rPr>
                <w:noProof/>
                <w:webHidden/>
              </w:rPr>
              <w:instrText xml:space="preserve"> PAGEREF _Toc213838203 \h </w:instrText>
            </w:r>
            <w:r>
              <w:rPr>
                <w:noProof/>
                <w:webHidden/>
              </w:rPr>
            </w:r>
            <w:r>
              <w:rPr>
                <w:noProof/>
                <w:webHidden/>
              </w:rPr>
              <w:fldChar w:fldCharType="separate"/>
            </w:r>
            <w:r>
              <w:rPr>
                <w:noProof/>
                <w:webHidden/>
              </w:rPr>
              <w:t>5</w:t>
            </w:r>
            <w:r>
              <w:rPr>
                <w:noProof/>
                <w:webHidden/>
              </w:rPr>
              <w:fldChar w:fldCharType="end"/>
            </w:r>
          </w:hyperlink>
        </w:p>
        <w:p w14:paraId="5B2AD823" w14:textId="6EB10F67" w:rsidR="005A2C95" w:rsidRDefault="005A2C95">
          <w:pPr>
            <w:pStyle w:val="TOC3"/>
            <w:tabs>
              <w:tab w:val="right" w:leader="dot" w:pos="9016"/>
            </w:tabs>
            <w:rPr>
              <w:rFonts w:eastAsiaTheme="minorEastAsia" w:cstheme="minorBidi"/>
              <w:noProof/>
              <w:sz w:val="22"/>
              <w:szCs w:val="22"/>
              <w:lang w:eastAsia="en-AU"/>
            </w:rPr>
          </w:pPr>
          <w:hyperlink w:anchor="_Toc213838204" w:history="1">
            <w:r w:rsidRPr="00596D99">
              <w:rPr>
                <w:rStyle w:val="Hyperlink"/>
                <w:rFonts w:ascii="Aptos" w:hAnsi="Aptos"/>
                <w:i/>
                <w:iCs/>
                <w:noProof/>
              </w:rPr>
              <w:t>Existing rules that achieve the same purpose</w:t>
            </w:r>
            <w:r>
              <w:rPr>
                <w:noProof/>
                <w:webHidden/>
              </w:rPr>
              <w:tab/>
            </w:r>
            <w:r>
              <w:rPr>
                <w:noProof/>
                <w:webHidden/>
              </w:rPr>
              <w:fldChar w:fldCharType="begin"/>
            </w:r>
            <w:r>
              <w:rPr>
                <w:noProof/>
                <w:webHidden/>
              </w:rPr>
              <w:instrText xml:space="preserve"> PAGEREF _Toc213838204 \h </w:instrText>
            </w:r>
            <w:r>
              <w:rPr>
                <w:noProof/>
                <w:webHidden/>
              </w:rPr>
            </w:r>
            <w:r>
              <w:rPr>
                <w:noProof/>
                <w:webHidden/>
              </w:rPr>
              <w:fldChar w:fldCharType="separate"/>
            </w:r>
            <w:r>
              <w:rPr>
                <w:noProof/>
                <w:webHidden/>
              </w:rPr>
              <w:t>6</w:t>
            </w:r>
            <w:r>
              <w:rPr>
                <w:noProof/>
                <w:webHidden/>
              </w:rPr>
              <w:fldChar w:fldCharType="end"/>
            </w:r>
          </w:hyperlink>
        </w:p>
        <w:p w14:paraId="15B2A324" w14:textId="1AE27B0C" w:rsidR="005A2C95" w:rsidRDefault="005A2C95">
          <w:pPr>
            <w:pStyle w:val="TOC2"/>
            <w:tabs>
              <w:tab w:val="right" w:leader="dot" w:pos="9016"/>
            </w:tabs>
            <w:rPr>
              <w:rFonts w:eastAsiaTheme="minorEastAsia" w:cstheme="minorBidi"/>
              <w:b w:val="0"/>
              <w:bCs w:val="0"/>
              <w:noProof/>
              <w:lang w:eastAsia="en-AU"/>
            </w:rPr>
          </w:pPr>
          <w:hyperlink w:anchor="_Toc213838205" w:history="1">
            <w:r w:rsidRPr="00596D99">
              <w:rPr>
                <w:rStyle w:val="Hyperlink"/>
                <w:rFonts w:ascii="Aptos" w:hAnsi="Aptos"/>
                <w:i/>
                <w:iCs/>
                <w:noProof/>
              </w:rPr>
              <w:t>Skills needs</w:t>
            </w:r>
            <w:r>
              <w:rPr>
                <w:noProof/>
                <w:webHidden/>
              </w:rPr>
              <w:tab/>
            </w:r>
            <w:r>
              <w:rPr>
                <w:noProof/>
                <w:webHidden/>
              </w:rPr>
              <w:fldChar w:fldCharType="begin"/>
            </w:r>
            <w:r>
              <w:rPr>
                <w:noProof/>
                <w:webHidden/>
              </w:rPr>
              <w:instrText xml:space="preserve"> PAGEREF _Toc213838205 \h </w:instrText>
            </w:r>
            <w:r>
              <w:rPr>
                <w:noProof/>
                <w:webHidden/>
              </w:rPr>
            </w:r>
            <w:r>
              <w:rPr>
                <w:noProof/>
                <w:webHidden/>
              </w:rPr>
              <w:fldChar w:fldCharType="separate"/>
            </w:r>
            <w:r>
              <w:rPr>
                <w:noProof/>
                <w:webHidden/>
              </w:rPr>
              <w:t>7</w:t>
            </w:r>
            <w:r>
              <w:rPr>
                <w:noProof/>
                <w:webHidden/>
              </w:rPr>
              <w:fldChar w:fldCharType="end"/>
            </w:r>
          </w:hyperlink>
        </w:p>
        <w:p w14:paraId="01294930" w14:textId="3497D6C2" w:rsidR="005A2C95" w:rsidRDefault="005A2C95">
          <w:pPr>
            <w:pStyle w:val="TOC3"/>
            <w:tabs>
              <w:tab w:val="right" w:leader="dot" w:pos="9016"/>
            </w:tabs>
            <w:rPr>
              <w:rFonts w:eastAsiaTheme="minorEastAsia" w:cstheme="minorBidi"/>
              <w:noProof/>
              <w:sz w:val="22"/>
              <w:szCs w:val="22"/>
              <w:lang w:eastAsia="en-AU"/>
            </w:rPr>
          </w:pPr>
          <w:hyperlink w:anchor="_Toc213838206" w:history="1">
            <w:r w:rsidRPr="00596D99">
              <w:rPr>
                <w:rStyle w:val="Hyperlink"/>
                <w:rFonts w:ascii="Aptos" w:hAnsi="Aptos"/>
                <w:i/>
                <w:iCs/>
                <w:noProof/>
              </w:rPr>
              <w:t>Existing rules that achieve the same purpose</w:t>
            </w:r>
            <w:r>
              <w:rPr>
                <w:noProof/>
                <w:webHidden/>
              </w:rPr>
              <w:tab/>
            </w:r>
            <w:r>
              <w:rPr>
                <w:noProof/>
                <w:webHidden/>
              </w:rPr>
              <w:fldChar w:fldCharType="begin"/>
            </w:r>
            <w:r>
              <w:rPr>
                <w:noProof/>
                <w:webHidden/>
              </w:rPr>
              <w:instrText xml:space="preserve"> PAGEREF _Toc213838206 \h </w:instrText>
            </w:r>
            <w:r>
              <w:rPr>
                <w:noProof/>
                <w:webHidden/>
              </w:rPr>
            </w:r>
            <w:r>
              <w:rPr>
                <w:noProof/>
                <w:webHidden/>
              </w:rPr>
              <w:fldChar w:fldCharType="separate"/>
            </w:r>
            <w:r>
              <w:rPr>
                <w:noProof/>
                <w:webHidden/>
              </w:rPr>
              <w:t>8</w:t>
            </w:r>
            <w:r>
              <w:rPr>
                <w:noProof/>
                <w:webHidden/>
              </w:rPr>
              <w:fldChar w:fldCharType="end"/>
            </w:r>
          </w:hyperlink>
        </w:p>
        <w:p w14:paraId="27E97741" w14:textId="17DBE9DA" w:rsidR="005A2C95" w:rsidRDefault="005A2C95">
          <w:pPr>
            <w:pStyle w:val="TOC2"/>
            <w:tabs>
              <w:tab w:val="right" w:leader="dot" w:pos="9016"/>
            </w:tabs>
            <w:rPr>
              <w:rFonts w:eastAsiaTheme="minorEastAsia" w:cstheme="minorBidi"/>
              <w:b w:val="0"/>
              <w:bCs w:val="0"/>
              <w:noProof/>
              <w:lang w:eastAsia="en-AU"/>
            </w:rPr>
          </w:pPr>
          <w:hyperlink w:anchor="_Toc213838207" w:history="1">
            <w:r w:rsidRPr="00596D99">
              <w:rPr>
                <w:rStyle w:val="Hyperlink"/>
                <w:rFonts w:ascii="Aptos" w:hAnsi="Aptos"/>
                <w:i/>
                <w:iCs/>
                <w:noProof/>
              </w:rPr>
              <w:t>The public interest</w:t>
            </w:r>
            <w:r>
              <w:rPr>
                <w:noProof/>
                <w:webHidden/>
              </w:rPr>
              <w:tab/>
            </w:r>
            <w:r>
              <w:rPr>
                <w:noProof/>
                <w:webHidden/>
              </w:rPr>
              <w:fldChar w:fldCharType="begin"/>
            </w:r>
            <w:r>
              <w:rPr>
                <w:noProof/>
                <w:webHidden/>
              </w:rPr>
              <w:instrText xml:space="preserve"> PAGEREF _Toc213838207 \h </w:instrText>
            </w:r>
            <w:r>
              <w:rPr>
                <w:noProof/>
                <w:webHidden/>
              </w:rPr>
            </w:r>
            <w:r>
              <w:rPr>
                <w:noProof/>
                <w:webHidden/>
              </w:rPr>
              <w:fldChar w:fldCharType="separate"/>
            </w:r>
            <w:r>
              <w:rPr>
                <w:noProof/>
                <w:webHidden/>
              </w:rPr>
              <w:t>9</w:t>
            </w:r>
            <w:r>
              <w:rPr>
                <w:noProof/>
                <w:webHidden/>
              </w:rPr>
              <w:fldChar w:fldCharType="end"/>
            </w:r>
          </w:hyperlink>
        </w:p>
        <w:p w14:paraId="4290B0A9" w14:textId="5ECBC7A9" w:rsidR="005A2C95" w:rsidRDefault="005A2C95">
          <w:pPr>
            <w:pStyle w:val="TOC3"/>
            <w:tabs>
              <w:tab w:val="right" w:leader="dot" w:pos="9016"/>
            </w:tabs>
            <w:rPr>
              <w:rFonts w:eastAsiaTheme="minorEastAsia" w:cstheme="minorBidi"/>
              <w:noProof/>
              <w:sz w:val="22"/>
              <w:szCs w:val="22"/>
              <w:lang w:eastAsia="en-AU"/>
            </w:rPr>
          </w:pPr>
          <w:hyperlink w:anchor="_Toc213838208" w:history="1">
            <w:r w:rsidRPr="00596D99">
              <w:rPr>
                <w:rStyle w:val="Hyperlink"/>
                <w:rFonts w:ascii="Aptos" w:hAnsi="Aptos"/>
                <w:i/>
                <w:iCs/>
                <w:noProof/>
              </w:rPr>
              <w:t>Existing and proposed rules that achieve the same purpose</w:t>
            </w:r>
            <w:r>
              <w:rPr>
                <w:noProof/>
                <w:webHidden/>
              </w:rPr>
              <w:tab/>
            </w:r>
            <w:r>
              <w:rPr>
                <w:noProof/>
                <w:webHidden/>
              </w:rPr>
              <w:fldChar w:fldCharType="begin"/>
            </w:r>
            <w:r>
              <w:rPr>
                <w:noProof/>
                <w:webHidden/>
              </w:rPr>
              <w:instrText xml:space="preserve"> PAGEREF _Toc213838208 \h </w:instrText>
            </w:r>
            <w:r>
              <w:rPr>
                <w:noProof/>
                <w:webHidden/>
              </w:rPr>
            </w:r>
            <w:r>
              <w:rPr>
                <w:noProof/>
                <w:webHidden/>
              </w:rPr>
              <w:fldChar w:fldCharType="separate"/>
            </w:r>
            <w:r>
              <w:rPr>
                <w:noProof/>
                <w:webHidden/>
              </w:rPr>
              <w:t>9</w:t>
            </w:r>
            <w:r>
              <w:rPr>
                <w:noProof/>
                <w:webHidden/>
              </w:rPr>
              <w:fldChar w:fldCharType="end"/>
            </w:r>
          </w:hyperlink>
        </w:p>
        <w:p w14:paraId="43D623A4" w14:textId="1D148DE2" w:rsidR="005A2C95" w:rsidRDefault="005A2C95">
          <w:pPr>
            <w:pStyle w:val="TOC2"/>
            <w:tabs>
              <w:tab w:val="right" w:leader="dot" w:pos="9016"/>
            </w:tabs>
            <w:rPr>
              <w:rFonts w:eastAsiaTheme="minorEastAsia" w:cstheme="minorBidi"/>
              <w:b w:val="0"/>
              <w:bCs w:val="0"/>
              <w:noProof/>
              <w:lang w:eastAsia="en-AU"/>
            </w:rPr>
          </w:pPr>
          <w:hyperlink w:anchor="_Toc213838209" w:history="1">
            <w:r w:rsidRPr="00596D99">
              <w:rPr>
                <w:rStyle w:val="Hyperlink"/>
                <w:rFonts w:ascii="Aptos" w:hAnsi="Aptos"/>
                <w:noProof/>
              </w:rPr>
              <w:t>The rule of law</w:t>
            </w:r>
            <w:r>
              <w:rPr>
                <w:noProof/>
                <w:webHidden/>
              </w:rPr>
              <w:tab/>
            </w:r>
            <w:r>
              <w:rPr>
                <w:noProof/>
                <w:webHidden/>
              </w:rPr>
              <w:fldChar w:fldCharType="begin"/>
            </w:r>
            <w:r>
              <w:rPr>
                <w:noProof/>
                <w:webHidden/>
              </w:rPr>
              <w:instrText xml:space="preserve"> PAGEREF _Toc213838209 \h </w:instrText>
            </w:r>
            <w:r>
              <w:rPr>
                <w:noProof/>
                <w:webHidden/>
              </w:rPr>
            </w:r>
            <w:r>
              <w:rPr>
                <w:noProof/>
                <w:webHidden/>
              </w:rPr>
              <w:fldChar w:fldCharType="separate"/>
            </w:r>
            <w:r>
              <w:rPr>
                <w:noProof/>
                <w:webHidden/>
              </w:rPr>
              <w:t>10</w:t>
            </w:r>
            <w:r>
              <w:rPr>
                <w:noProof/>
                <w:webHidden/>
              </w:rPr>
              <w:fldChar w:fldCharType="end"/>
            </w:r>
          </w:hyperlink>
        </w:p>
        <w:p w14:paraId="09221D74" w14:textId="19956039" w:rsidR="005A2C95" w:rsidRDefault="005A2C95">
          <w:pPr>
            <w:pStyle w:val="TOC3"/>
            <w:tabs>
              <w:tab w:val="right" w:leader="dot" w:pos="9016"/>
            </w:tabs>
            <w:rPr>
              <w:rFonts w:eastAsiaTheme="minorEastAsia" w:cstheme="minorBidi"/>
              <w:noProof/>
              <w:sz w:val="22"/>
              <w:szCs w:val="22"/>
              <w:lang w:eastAsia="en-AU"/>
            </w:rPr>
          </w:pPr>
          <w:hyperlink w:anchor="_Toc213838210" w:history="1">
            <w:r w:rsidRPr="00596D99">
              <w:rPr>
                <w:rStyle w:val="Hyperlink"/>
                <w:rFonts w:ascii="Aptos" w:hAnsi="Aptos"/>
                <w:noProof/>
              </w:rPr>
              <w:t>Recommendations</w:t>
            </w:r>
            <w:r>
              <w:rPr>
                <w:noProof/>
                <w:webHidden/>
              </w:rPr>
              <w:tab/>
            </w:r>
            <w:r>
              <w:rPr>
                <w:noProof/>
                <w:webHidden/>
              </w:rPr>
              <w:fldChar w:fldCharType="begin"/>
            </w:r>
            <w:r>
              <w:rPr>
                <w:noProof/>
                <w:webHidden/>
              </w:rPr>
              <w:instrText xml:space="preserve"> PAGEREF _Toc213838210 \h </w:instrText>
            </w:r>
            <w:r>
              <w:rPr>
                <w:noProof/>
                <w:webHidden/>
              </w:rPr>
            </w:r>
            <w:r>
              <w:rPr>
                <w:noProof/>
                <w:webHidden/>
              </w:rPr>
              <w:fldChar w:fldCharType="separate"/>
            </w:r>
            <w:r>
              <w:rPr>
                <w:noProof/>
                <w:webHidden/>
              </w:rPr>
              <w:t>10</w:t>
            </w:r>
            <w:r>
              <w:rPr>
                <w:noProof/>
                <w:webHidden/>
              </w:rPr>
              <w:fldChar w:fldCharType="end"/>
            </w:r>
          </w:hyperlink>
        </w:p>
        <w:p w14:paraId="7CD09A91" w14:textId="48722A93" w:rsidR="005A2C95" w:rsidRDefault="005A2C95">
          <w:pPr>
            <w:pStyle w:val="TOC1"/>
            <w:tabs>
              <w:tab w:val="left" w:pos="480"/>
              <w:tab w:val="right" w:leader="dot" w:pos="9016"/>
            </w:tabs>
            <w:rPr>
              <w:rFonts w:eastAsiaTheme="minorEastAsia" w:cstheme="minorBidi"/>
              <w:b w:val="0"/>
              <w:bCs w:val="0"/>
              <w:i w:val="0"/>
              <w:iCs w:val="0"/>
              <w:noProof/>
              <w:sz w:val="22"/>
              <w:szCs w:val="22"/>
              <w:lang w:eastAsia="en-AU"/>
            </w:rPr>
          </w:pPr>
          <w:hyperlink w:anchor="_Toc213838211" w:history="1">
            <w:r w:rsidRPr="00596D99">
              <w:rPr>
                <w:rStyle w:val="Hyperlink"/>
                <w:rFonts w:ascii="Aptos" w:hAnsi="Aptos"/>
                <w:noProof/>
              </w:rPr>
              <w:t>2.</w:t>
            </w:r>
            <w:r>
              <w:rPr>
                <w:rFonts w:eastAsiaTheme="minorEastAsia" w:cstheme="minorBidi"/>
                <w:b w:val="0"/>
                <w:bCs w:val="0"/>
                <w:i w:val="0"/>
                <w:iCs w:val="0"/>
                <w:noProof/>
                <w:sz w:val="22"/>
                <w:szCs w:val="22"/>
                <w:lang w:eastAsia="en-AU"/>
              </w:rPr>
              <w:tab/>
            </w:r>
            <w:r w:rsidRPr="00596D99">
              <w:rPr>
                <w:rStyle w:val="Hyperlink"/>
                <w:rFonts w:ascii="Aptos" w:hAnsi="Aptos"/>
                <w:noProof/>
              </w:rPr>
              <w:t>De facto ban on new higher education providers</w:t>
            </w:r>
            <w:r>
              <w:rPr>
                <w:noProof/>
                <w:webHidden/>
              </w:rPr>
              <w:tab/>
            </w:r>
            <w:r>
              <w:rPr>
                <w:noProof/>
                <w:webHidden/>
              </w:rPr>
              <w:fldChar w:fldCharType="begin"/>
            </w:r>
            <w:r>
              <w:rPr>
                <w:noProof/>
                <w:webHidden/>
              </w:rPr>
              <w:instrText xml:space="preserve"> PAGEREF _Toc213838211 \h </w:instrText>
            </w:r>
            <w:r>
              <w:rPr>
                <w:noProof/>
                <w:webHidden/>
              </w:rPr>
            </w:r>
            <w:r>
              <w:rPr>
                <w:noProof/>
                <w:webHidden/>
              </w:rPr>
              <w:fldChar w:fldCharType="separate"/>
            </w:r>
            <w:r>
              <w:rPr>
                <w:noProof/>
                <w:webHidden/>
              </w:rPr>
              <w:t>12</w:t>
            </w:r>
            <w:r>
              <w:rPr>
                <w:noProof/>
                <w:webHidden/>
              </w:rPr>
              <w:fldChar w:fldCharType="end"/>
            </w:r>
          </w:hyperlink>
        </w:p>
        <w:p w14:paraId="69C6AC0D" w14:textId="14202777" w:rsidR="005A2C95" w:rsidRDefault="005A2C95">
          <w:pPr>
            <w:pStyle w:val="TOC2"/>
            <w:tabs>
              <w:tab w:val="right" w:leader="dot" w:pos="9016"/>
            </w:tabs>
            <w:rPr>
              <w:rFonts w:eastAsiaTheme="minorEastAsia" w:cstheme="minorBidi"/>
              <w:b w:val="0"/>
              <w:bCs w:val="0"/>
              <w:noProof/>
              <w:lang w:eastAsia="en-AU"/>
            </w:rPr>
          </w:pPr>
          <w:hyperlink w:anchor="_Toc213838212" w:history="1">
            <w:r w:rsidRPr="00596D99">
              <w:rPr>
                <w:rStyle w:val="Hyperlink"/>
                <w:rFonts w:ascii="Aptos" w:hAnsi="Aptos"/>
                <w:i/>
                <w:iCs/>
                <w:noProof/>
              </w:rPr>
              <w:t>The proposed changes</w:t>
            </w:r>
            <w:r>
              <w:rPr>
                <w:noProof/>
                <w:webHidden/>
              </w:rPr>
              <w:tab/>
            </w:r>
            <w:r>
              <w:rPr>
                <w:noProof/>
                <w:webHidden/>
              </w:rPr>
              <w:fldChar w:fldCharType="begin"/>
            </w:r>
            <w:r>
              <w:rPr>
                <w:noProof/>
                <w:webHidden/>
              </w:rPr>
              <w:instrText xml:space="preserve"> PAGEREF _Toc213838212 \h </w:instrText>
            </w:r>
            <w:r>
              <w:rPr>
                <w:noProof/>
                <w:webHidden/>
              </w:rPr>
            </w:r>
            <w:r>
              <w:rPr>
                <w:noProof/>
                <w:webHidden/>
              </w:rPr>
              <w:fldChar w:fldCharType="separate"/>
            </w:r>
            <w:r>
              <w:rPr>
                <w:noProof/>
                <w:webHidden/>
              </w:rPr>
              <w:t>12</w:t>
            </w:r>
            <w:r>
              <w:rPr>
                <w:noProof/>
                <w:webHidden/>
              </w:rPr>
              <w:fldChar w:fldCharType="end"/>
            </w:r>
          </w:hyperlink>
        </w:p>
        <w:p w14:paraId="05C366D6" w14:textId="67B18B70" w:rsidR="005A2C95" w:rsidRDefault="005A2C95">
          <w:pPr>
            <w:pStyle w:val="TOC2"/>
            <w:tabs>
              <w:tab w:val="right" w:leader="dot" w:pos="9016"/>
            </w:tabs>
            <w:rPr>
              <w:rFonts w:eastAsiaTheme="minorEastAsia" w:cstheme="minorBidi"/>
              <w:b w:val="0"/>
              <w:bCs w:val="0"/>
              <w:noProof/>
              <w:lang w:eastAsia="en-AU"/>
            </w:rPr>
          </w:pPr>
          <w:hyperlink w:anchor="_Toc213838213" w:history="1">
            <w:r w:rsidRPr="00596D99">
              <w:rPr>
                <w:rStyle w:val="Hyperlink"/>
                <w:rFonts w:ascii="Aptos" w:hAnsi="Aptos"/>
                <w:i/>
                <w:iCs/>
                <w:noProof/>
              </w:rPr>
              <w:t>Collective punishment of new providers</w:t>
            </w:r>
            <w:r>
              <w:rPr>
                <w:noProof/>
                <w:webHidden/>
              </w:rPr>
              <w:tab/>
            </w:r>
            <w:r>
              <w:rPr>
                <w:noProof/>
                <w:webHidden/>
              </w:rPr>
              <w:fldChar w:fldCharType="begin"/>
            </w:r>
            <w:r>
              <w:rPr>
                <w:noProof/>
                <w:webHidden/>
              </w:rPr>
              <w:instrText xml:space="preserve"> PAGEREF _Toc213838213 \h </w:instrText>
            </w:r>
            <w:r>
              <w:rPr>
                <w:noProof/>
                <w:webHidden/>
              </w:rPr>
            </w:r>
            <w:r>
              <w:rPr>
                <w:noProof/>
                <w:webHidden/>
              </w:rPr>
              <w:fldChar w:fldCharType="separate"/>
            </w:r>
            <w:r>
              <w:rPr>
                <w:noProof/>
                <w:webHidden/>
              </w:rPr>
              <w:t>12</w:t>
            </w:r>
            <w:r>
              <w:rPr>
                <w:noProof/>
                <w:webHidden/>
              </w:rPr>
              <w:fldChar w:fldCharType="end"/>
            </w:r>
          </w:hyperlink>
        </w:p>
        <w:p w14:paraId="344CD9BD" w14:textId="216D49ED" w:rsidR="005A2C95" w:rsidRDefault="005A2C95">
          <w:pPr>
            <w:pStyle w:val="TOC2"/>
            <w:tabs>
              <w:tab w:val="right" w:leader="dot" w:pos="9016"/>
            </w:tabs>
            <w:rPr>
              <w:rFonts w:eastAsiaTheme="minorEastAsia" w:cstheme="minorBidi"/>
              <w:b w:val="0"/>
              <w:bCs w:val="0"/>
              <w:noProof/>
              <w:lang w:eastAsia="en-AU"/>
            </w:rPr>
          </w:pPr>
          <w:hyperlink w:anchor="_Toc213838214" w:history="1">
            <w:r w:rsidRPr="00596D99">
              <w:rPr>
                <w:rStyle w:val="Hyperlink"/>
                <w:rFonts w:ascii="Aptos" w:hAnsi="Aptos"/>
                <w:i/>
                <w:iCs/>
                <w:noProof/>
              </w:rPr>
              <w:t>Existing and proposed rules that limit provider risk</w:t>
            </w:r>
            <w:r>
              <w:rPr>
                <w:noProof/>
                <w:webHidden/>
              </w:rPr>
              <w:tab/>
            </w:r>
            <w:r>
              <w:rPr>
                <w:noProof/>
                <w:webHidden/>
              </w:rPr>
              <w:fldChar w:fldCharType="begin"/>
            </w:r>
            <w:r>
              <w:rPr>
                <w:noProof/>
                <w:webHidden/>
              </w:rPr>
              <w:instrText xml:space="preserve"> PAGEREF _Toc213838214 \h </w:instrText>
            </w:r>
            <w:r>
              <w:rPr>
                <w:noProof/>
                <w:webHidden/>
              </w:rPr>
            </w:r>
            <w:r>
              <w:rPr>
                <w:noProof/>
                <w:webHidden/>
              </w:rPr>
              <w:fldChar w:fldCharType="separate"/>
            </w:r>
            <w:r>
              <w:rPr>
                <w:noProof/>
                <w:webHidden/>
              </w:rPr>
              <w:t>13</w:t>
            </w:r>
            <w:r>
              <w:rPr>
                <w:noProof/>
                <w:webHidden/>
              </w:rPr>
              <w:fldChar w:fldCharType="end"/>
            </w:r>
          </w:hyperlink>
        </w:p>
        <w:p w14:paraId="0349F1C5" w14:textId="37FFAE26" w:rsidR="005A2C95" w:rsidRDefault="005A2C95">
          <w:pPr>
            <w:pStyle w:val="TOC2"/>
            <w:tabs>
              <w:tab w:val="right" w:leader="dot" w:pos="9016"/>
            </w:tabs>
            <w:rPr>
              <w:rFonts w:eastAsiaTheme="minorEastAsia" w:cstheme="minorBidi"/>
              <w:b w:val="0"/>
              <w:bCs w:val="0"/>
              <w:noProof/>
              <w:lang w:eastAsia="en-AU"/>
            </w:rPr>
          </w:pPr>
          <w:hyperlink w:anchor="_Toc213838215" w:history="1">
            <w:r w:rsidRPr="00596D99">
              <w:rPr>
                <w:rStyle w:val="Hyperlink"/>
                <w:rFonts w:ascii="Aptos" w:hAnsi="Aptos"/>
                <w:i/>
                <w:iCs/>
                <w:noProof/>
              </w:rPr>
              <w:t>How reliant are new higher education providers on CRICOS registration?</w:t>
            </w:r>
            <w:r>
              <w:rPr>
                <w:noProof/>
                <w:webHidden/>
              </w:rPr>
              <w:tab/>
            </w:r>
            <w:r>
              <w:rPr>
                <w:noProof/>
                <w:webHidden/>
              </w:rPr>
              <w:fldChar w:fldCharType="begin"/>
            </w:r>
            <w:r>
              <w:rPr>
                <w:noProof/>
                <w:webHidden/>
              </w:rPr>
              <w:instrText xml:space="preserve"> PAGEREF _Toc213838215 \h </w:instrText>
            </w:r>
            <w:r>
              <w:rPr>
                <w:noProof/>
                <w:webHidden/>
              </w:rPr>
            </w:r>
            <w:r>
              <w:rPr>
                <w:noProof/>
                <w:webHidden/>
              </w:rPr>
              <w:fldChar w:fldCharType="separate"/>
            </w:r>
            <w:r>
              <w:rPr>
                <w:noProof/>
                <w:webHidden/>
              </w:rPr>
              <w:t>14</w:t>
            </w:r>
            <w:r>
              <w:rPr>
                <w:noProof/>
                <w:webHidden/>
              </w:rPr>
              <w:fldChar w:fldCharType="end"/>
            </w:r>
          </w:hyperlink>
        </w:p>
        <w:p w14:paraId="46CCB855" w14:textId="1B65E3D1" w:rsidR="005A2C95" w:rsidRDefault="005A2C95">
          <w:pPr>
            <w:pStyle w:val="TOC2"/>
            <w:tabs>
              <w:tab w:val="right" w:leader="dot" w:pos="9016"/>
            </w:tabs>
            <w:rPr>
              <w:rFonts w:eastAsiaTheme="minorEastAsia" w:cstheme="minorBidi"/>
              <w:b w:val="0"/>
              <w:bCs w:val="0"/>
              <w:noProof/>
              <w:lang w:eastAsia="en-AU"/>
            </w:rPr>
          </w:pPr>
          <w:hyperlink w:anchor="_Toc213838216" w:history="1">
            <w:r w:rsidRPr="00596D99">
              <w:rPr>
                <w:rStyle w:val="Hyperlink"/>
                <w:rFonts w:ascii="Aptos" w:hAnsi="Aptos"/>
                <w:i/>
                <w:iCs/>
                <w:noProof/>
              </w:rPr>
              <w:t>Domestic students and access to FEE-HELP</w:t>
            </w:r>
            <w:r>
              <w:rPr>
                <w:noProof/>
                <w:webHidden/>
              </w:rPr>
              <w:tab/>
            </w:r>
            <w:r>
              <w:rPr>
                <w:noProof/>
                <w:webHidden/>
              </w:rPr>
              <w:fldChar w:fldCharType="begin"/>
            </w:r>
            <w:r>
              <w:rPr>
                <w:noProof/>
                <w:webHidden/>
              </w:rPr>
              <w:instrText xml:space="preserve"> PAGEREF _Toc213838216 \h </w:instrText>
            </w:r>
            <w:r>
              <w:rPr>
                <w:noProof/>
                <w:webHidden/>
              </w:rPr>
            </w:r>
            <w:r>
              <w:rPr>
                <w:noProof/>
                <w:webHidden/>
              </w:rPr>
              <w:fldChar w:fldCharType="separate"/>
            </w:r>
            <w:r>
              <w:rPr>
                <w:noProof/>
                <w:webHidden/>
              </w:rPr>
              <w:t>15</w:t>
            </w:r>
            <w:r>
              <w:rPr>
                <w:noProof/>
                <w:webHidden/>
              </w:rPr>
              <w:fldChar w:fldCharType="end"/>
            </w:r>
          </w:hyperlink>
        </w:p>
        <w:p w14:paraId="36C85D56" w14:textId="7EDA9E0B" w:rsidR="005A2C95" w:rsidRDefault="005A2C95">
          <w:pPr>
            <w:pStyle w:val="TOC2"/>
            <w:tabs>
              <w:tab w:val="right" w:leader="dot" w:pos="9016"/>
            </w:tabs>
            <w:rPr>
              <w:rFonts w:eastAsiaTheme="minorEastAsia" w:cstheme="minorBidi"/>
              <w:b w:val="0"/>
              <w:bCs w:val="0"/>
              <w:noProof/>
              <w:lang w:eastAsia="en-AU"/>
            </w:rPr>
          </w:pPr>
          <w:hyperlink w:anchor="_Toc213838217" w:history="1">
            <w:r w:rsidRPr="00596D99">
              <w:rPr>
                <w:rStyle w:val="Hyperlink"/>
                <w:rFonts w:ascii="Aptos" w:hAnsi="Aptos"/>
                <w:i/>
                <w:iCs/>
                <w:noProof/>
              </w:rPr>
              <w:t>Provider access to FEE-HELP</w:t>
            </w:r>
            <w:r>
              <w:rPr>
                <w:noProof/>
                <w:webHidden/>
              </w:rPr>
              <w:tab/>
            </w:r>
            <w:r>
              <w:rPr>
                <w:noProof/>
                <w:webHidden/>
              </w:rPr>
              <w:fldChar w:fldCharType="begin"/>
            </w:r>
            <w:r>
              <w:rPr>
                <w:noProof/>
                <w:webHidden/>
              </w:rPr>
              <w:instrText xml:space="preserve"> PAGEREF _Toc213838217 \h </w:instrText>
            </w:r>
            <w:r>
              <w:rPr>
                <w:noProof/>
                <w:webHidden/>
              </w:rPr>
            </w:r>
            <w:r>
              <w:rPr>
                <w:noProof/>
                <w:webHidden/>
              </w:rPr>
              <w:fldChar w:fldCharType="separate"/>
            </w:r>
            <w:r>
              <w:rPr>
                <w:noProof/>
                <w:webHidden/>
              </w:rPr>
              <w:t>16</w:t>
            </w:r>
            <w:r>
              <w:rPr>
                <w:noProof/>
                <w:webHidden/>
              </w:rPr>
              <w:fldChar w:fldCharType="end"/>
            </w:r>
          </w:hyperlink>
        </w:p>
        <w:p w14:paraId="3FB18F86" w14:textId="3A0A26CD" w:rsidR="005A2C95" w:rsidRDefault="005A2C95">
          <w:pPr>
            <w:pStyle w:val="TOC2"/>
            <w:tabs>
              <w:tab w:val="right" w:leader="dot" w:pos="9016"/>
            </w:tabs>
            <w:rPr>
              <w:rFonts w:eastAsiaTheme="minorEastAsia" w:cstheme="minorBidi"/>
              <w:b w:val="0"/>
              <w:bCs w:val="0"/>
              <w:noProof/>
              <w:lang w:eastAsia="en-AU"/>
            </w:rPr>
          </w:pPr>
          <w:hyperlink w:anchor="_Toc213838218" w:history="1">
            <w:r w:rsidRPr="00596D99">
              <w:rPr>
                <w:rStyle w:val="Hyperlink"/>
                <w:rFonts w:ascii="Aptos" w:hAnsi="Aptos"/>
                <w:i/>
                <w:iCs/>
                <w:noProof/>
              </w:rPr>
              <w:t>A de facto ban on new providers</w:t>
            </w:r>
            <w:r>
              <w:rPr>
                <w:noProof/>
                <w:webHidden/>
              </w:rPr>
              <w:tab/>
            </w:r>
            <w:r>
              <w:rPr>
                <w:noProof/>
                <w:webHidden/>
              </w:rPr>
              <w:fldChar w:fldCharType="begin"/>
            </w:r>
            <w:r>
              <w:rPr>
                <w:noProof/>
                <w:webHidden/>
              </w:rPr>
              <w:instrText xml:space="preserve"> PAGEREF _Toc213838218 \h </w:instrText>
            </w:r>
            <w:r>
              <w:rPr>
                <w:noProof/>
                <w:webHidden/>
              </w:rPr>
            </w:r>
            <w:r>
              <w:rPr>
                <w:noProof/>
                <w:webHidden/>
              </w:rPr>
              <w:fldChar w:fldCharType="separate"/>
            </w:r>
            <w:r>
              <w:rPr>
                <w:noProof/>
                <w:webHidden/>
              </w:rPr>
              <w:t>17</w:t>
            </w:r>
            <w:r>
              <w:rPr>
                <w:noProof/>
                <w:webHidden/>
              </w:rPr>
              <w:fldChar w:fldCharType="end"/>
            </w:r>
          </w:hyperlink>
        </w:p>
        <w:p w14:paraId="19DBD502" w14:textId="68818C74" w:rsidR="005A2C95" w:rsidRDefault="005A2C95">
          <w:pPr>
            <w:pStyle w:val="TOC2"/>
            <w:tabs>
              <w:tab w:val="right" w:leader="dot" w:pos="9016"/>
            </w:tabs>
            <w:rPr>
              <w:rFonts w:eastAsiaTheme="minorEastAsia" w:cstheme="minorBidi"/>
              <w:b w:val="0"/>
              <w:bCs w:val="0"/>
              <w:noProof/>
              <w:lang w:eastAsia="en-AU"/>
            </w:rPr>
          </w:pPr>
          <w:hyperlink w:anchor="_Toc213838219" w:history="1">
            <w:r w:rsidRPr="00596D99">
              <w:rPr>
                <w:rStyle w:val="Hyperlink"/>
                <w:rFonts w:ascii="Aptos" w:hAnsi="Aptos"/>
                <w:i/>
                <w:iCs/>
                <w:noProof/>
              </w:rPr>
              <w:t>A role for new providers</w:t>
            </w:r>
            <w:r>
              <w:rPr>
                <w:noProof/>
                <w:webHidden/>
              </w:rPr>
              <w:tab/>
            </w:r>
            <w:r>
              <w:rPr>
                <w:noProof/>
                <w:webHidden/>
              </w:rPr>
              <w:fldChar w:fldCharType="begin"/>
            </w:r>
            <w:r>
              <w:rPr>
                <w:noProof/>
                <w:webHidden/>
              </w:rPr>
              <w:instrText xml:space="preserve"> PAGEREF _Toc213838219 \h </w:instrText>
            </w:r>
            <w:r>
              <w:rPr>
                <w:noProof/>
                <w:webHidden/>
              </w:rPr>
            </w:r>
            <w:r>
              <w:rPr>
                <w:noProof/>
                <w:webHidden/>
              </w:rPr>
              <w:fldChar w:fldCharType="separate"/>
            </w:r>
            <w:r>
              <w:rPr>
                <w:noProof/>
                <w:webHidden/>
              </w:rPr>
              <w:t>18</w:t>
            </w:r>
            <w:r>
              <w:rPr>
                <w:noProof/>
                <w:webHidden/>
              </w:rPr>
              <w:fldChar w:fldCharType="end"/>
            </w:r>
          </w:hyperlink>
        </w:p>
        <w:p w14:paraId="21877296" w14:textId="44C111B5" w:rsidR="005A2C95" w:rsidRDefault="005A2C95">
          <w:pPr>
            <w:pStyle w:val="TOC2"/>
            <w:tabs>
              <w:tab w:val="right" w:leader="dot" w:pos="9016"/>
            </w:tabs>
            <w:rPr>
              <w:rFonts w:eastAsiaTheme="minorEastAsia" w:cstheme="minorBidi"/>
              <w:b w:val="0"/>
              <w:bCs w:val="0"/>
              <w:noProof/>
              <w:lang w:eastAsia="en-AU"/>
            </w:rPr>
          </w:pPr>
          <w:hyperlink w:anchor="_Toc213838220" w:history="1">
            <w:r w:rsidRPr="00596D99">
              <w:rPr>
                <w:rStyle w:val="Hyperlink"/>
                <w:rFonts w:ascii="Aptos" w:hAnsi="Aptos"/>
                <w:noProof/>
              </w:rPr>
              <w:t>Recommendation</w:t>
            </w:r>
            <w:r>
              <w:rPr>
                <w:noProof/>
                <w:webHidden/>
              </w:rPr>
              <w:tab/>
            </w:r>
            <w:r>
              <w:rPr>
                <w:noProof/>
                <w:webHidden/>
              </w:rPr>
              <w:fldChar w:fldCharType="begin"/>
            </w:r>
            <w:r>
              <w:rPr>
                <w:noProof/>
                <w:webHidden/>
              </w:rPr>
              <w:instrText xml:space="preserve"> PAGEREF _Toc213838220 \h </w:instrText>
            </w:r>
            <w:r>
              <w:rPr>
                <w:noProof/>
                <w:webHidden/>
              </w:rPr>
            </w:r>
            <w:r>
              <w:rPr>
                <w:noProof/>
                <w:webHidden/>
              </w:rPr>
              <w:fldChar w:fldCharType="separate"/>
            </w:r>
            <w:r>
              <w:rPr>
                <w:noProof/>
                <w:webHidden/>
              </w:rPr>
              <w:t>19</w:t>
            </w:r>
            <w:r>
              <w:rPr>
                <w:noProof/>
                <w:webHidden/>
              </w:rPr>
              <w:fldChar w:fldCharType="end"/>
            </w:r>
          </w:hyperlink>
        </w:p>
        <w:p w14:paraId="6443BB8F" w14:textId="50DF8623" w:rsidR="005A2C95" w:rsidRDefault="005A2C95">
          <w:pPr>
            <w:pStyle w:val="TOC1"/>
            <w:tabs>
              <w:tab w:val="left" w:pos="480"/>
              <w:tab w:val="right" w:leader="dot" w:pos="9016"/>
            </w:tabs>
            <w:rPr>
              <w:rFonts w:eastAsiaTheme="minorEastAsia" w:cstheme="minorBidi"/>
              <w:b w:val="0"/>
              <w:bCs w:val="0"/>
              <w:i w:val="0"/>
              <w:iCs w:val="0"/>
              <w:noProof/>
              <w:sz w:val="22"/>
              <w:szCs w:val="22"/>
              <w:lang w:eastAsia="en-AU"/>
            </w:rPr>
          </w:pPr>
          <w:hyperlink w:anchor="_Toc213838221" w:history="1">
            <w:r w:rsidRPr="00596D99">
              <w:rPr>
                <w:rStyle w:val="Hyperlink"/>
                <w:rFonts w:ascii="Aptos" w:hAnsi="Aptos"/>
                <w:noProof/>
              </w:rPr>
              <w:t>3.</w:t>
            </w:r>
            <w:r>
              <w:rPr>
                <w:rFonts w:eastAsiaTheme="minorEastAsia" w:cstheme="minorBidi"/>
                <w:b w:val="0"/>
                <w:bCs w:val="0"/>
                <w:i w:val="0"/>
                <w:iCs w:val="0"/>
                <w:noProof/>
                <w:sz w:val="22"/>
                <w:szCs w:val="22"/>
                <w:lang w:eastAsia="en-AU"/>
              </w:rPr>
              <w:tab/>
            </w:r>
            <w:r w:rsidRPr="00596D99">
              <w:rPr>
                <w:rStyle w:val="Hyperlink"/>
                <w:rFonts w:ascii="Aptos" w:hAnsi="Aptos"/>
                <w:noProof/>
              </w:rPr>
              <w:t>Demand driven funding for Indigenous students in medicine</w:t>
            </w:r>
            <w:r>
              <w:rPr>
                <w:noProof/>
                <w:webHidden/>
              </w:rPr>
              <w:tab/>
            </w:r>
            <w:r>
              <w:rPr>
                <w:noProof/>
                <w:webHidden/>
              </w:rPr>
              <w:fldChar w:fldCharType="begin"/>
            </w:r>
            <w:r>
              <w:rPr>
                <w:noProof/>
                <w:webHidden/>
              </w:rPr>
              <w:instrText xml:space="preserve"> PAGEREF _Toc213838221 \h </w:instrText>
            </w:r>
            <w:r>
              <w:rPr>
                <w:noProof/>
                <w:webHidden/>
              </w:rPr>
            </w:r>
            <w:r>
              <w:rPr>
                <w:noProof/>
                <w:webHidden/>
              </w:rPr>
              <w:fldChar w:fldCharType="separate"/>
            </w:r>
            <w:r>
              <w:rPr>
                <w:noProof/>
                <w:webHidden/>
              </w:rPr>
              <w:t>20</w:t>
            </w:r>
            <w:r>
              <w:rPr>
                <w:noProof/>
                <w:webHidden/>
              </w:rPr>
              <w:fldChar w:fldCharType="end"/>
            </w:r>
          </w:hyperlink>
        </w:p>
        <w:p w14:paraId="157F3957" w14:textId="24FE59C6" w:rsidR="005A2C95" w:rsidRDefault="005A2C95">
          <w:pPr>
            <w:pStyle w:val="TOC2"/>
            <w:tabs>
              <w:tab w:val="right" w:leader="dot" w:pos="9016"/>
            </w:tabs>
            <w:rPr>
              <w:rFonts w:eastAsiaTheme="minorEastAsia" w:cstheme="minorBidi"/>
              <w:b w:val="0"/>
              <w:bCs w:val="0"/>
              <w:noProof/>
              <w:lang w:eastAsia="en-AU"/>
            </w:rPr>
          </w:pPr>
          <w:hyperlink w:anchor="_Toc213838222" w:history="1">
            <w:r w:rsidRPr="00596D99">
              <w:rPr>
                <w:rStyle w:val="Hyperlink"/>
                <w:rFonts w:ascii="Aptos" w:hAnsi="Aptos"/>
                <w:noProof/>
              </w:rPr>
              <w:t>Current Indigenous medical practitioners and medical enrolments</w:t>
            </w:r>
            <w:r>
              <w:rPr>
                <w:noProof/>
                <w:webHidden/>
              </w:rPr>
              <w:tab/>
            </w:r>
            <w:r>
              <w:rPr>
                <w:noProof/>
                <w:webHidden/>
              </w:rPr>
              <w:fldChar w:fldCharType="begin"/>
            </w:r>
            <w:r>
              <w:rPr>
                <w:noProof/>
                <w:webHidden/>
              </w:rPr>
              <w:instrText xml:space="preserve"> PAGEREF _Toc213838222 \h </w:instrText>
            </w:r>
            <w:r>
              <w:rPr>
                <w:noProof/>
                <w:webHidden/>
              </w:rPr>
            </w:r>
            <w:r>
              <w:rPr>
                <w:noProof/>
                <w:webHidden/>
              </w:rPr>
              <w:fldChar w:fldCharType="separate"/>
            </w:r>
            <w:r>
              <w:rPr>
                <w:noProof/>
                <w:webHidden/>
              </w:rPr>
              <w:t>20</w:t>
            </w:r>
            <w:r>
              <w:rPr>
                <w:noProof/>
                <w:webHidden/>
              </w:rPr>
              <w:fldChar w:fldCharType="end"/>
            </w:r>
          </w:hyperlink>
        </w:p>
        <w:p w14:paraId="4CC770A8" w14:textId="4667781A" w:rsidR="005A2C95" w:rsidRDefault="005A2C95">
          <w:pPr>
            <w:pStyle w:val="TOC2"/>
            <w:tabs>
              <w:tab w:val="right" w:leader="dot" w:pos="9016"/>
            </w:tabs>
            <w:rPr>
              <w:rFonts w:eastAsiaTheme="minorEastAsia" w:cstheme="minorBidi"/>
              <w:b w:val="0"/>
              <w:bCs w:val="0"/>
              <w:noProof/>
              <w:lang w:eastAsia="en-AU"/>
            </w:rPr>
          </w:pPr>
          <w:hyperlink w:anchor="_Toc213838223" w:history="1">
            <w:r w:rsidRPr="00596D99">
              <w:rPr>
                <w:rStyle w:val="Hyperlink"/>
                <w:rFonts w:ascii="Aptos" w:hAnsi="Aptos"/>
                <w:noProof/>
              </w:rPr>
              <w:t>The medical student funding system</w:t>
            </w:r>
            <w:r>
              <w:rPr>
                <w:noProof/>
                <w:webHidden/>
              </w:rPr>
              <w:tab/>
            </w:r>
            <w:r>
              <w:rPr>
                <w:noProof/>
                <w:webHidden/>
              </w:rPr>
              <w:fldChar w:fldCharType="begin"/>
            </w:r>
            <w:r>
              <w:rPr>
                <w:noProof/>
                <w:webHidden/>
              </w:rPr>
              <w:instrText xml:space="preserve"> PAGEREF _Toc213838223 \h </w:instrText>
            </w:r>
            <w:r>
              <w:rPr>
                <w:noProof/>
                <w:webHidden/>
              </w:rPr>
            </w:r>
            <w:r>
              <w:rPr>
                <w:noProof/>
                <w:webHidden/>
              </w:rPr>
              <w:fldChar w:fldCharType="separate"/>
            </w:r>
            <w:r>
              <w:rPr>
                <w:noProof/>
                <w:webHidden/>
              </w:rPr>
              <w:t>21</w:t>
            </w:r>
            <w:r>
              <w:rPr>
                <w:noProof/>
                <w:webHidden/>
              </w:rPr>
              <w:fldChar w:fldCharType="end"/>
            </w:r>
          </w:hyperlink>
        </w:p>
        <w:p w14:paraId="1A39C3C3" w14:textId="7D5EE688" w:rsidR="005A2C95" w:rsidRDefault="005A2C95">
          <w:pPr>
            <w:pStyle w:val="TOC2"/>
            <w:tabs>
              <w:tab w:val="right" w:leader="dot" w:pos="9016"/>
            </w:tabs>
            <w:rPr>
              <w:rFonts w:eastAsiaTheme="minorEastAsia" w:cstheme="minorBidi"/>
              <w:b w:val="0"/>
              <w:bCs w:val="0"/>
              <w:noProof/>
              <w:lang w:eastAsia="en-AU"/>
            </w:rPr>
          </w:pPr>
          <w:hyperlink w:anchor="_Toc213838224" w:history="1">
            <w:r w:rsidRPr="00596D99">
              <w:rPr>
                <w:rStyle w:val="Hyperlink"/>
                <w:rFonts w:ascii="Aptos" w:hAnsi="Aptos"/>
                <w:noProof/>
              </w:rPr>
              <w:t>Will demand driven funding make a difference?</w:t>
            </w:r>
            <w:r>
              <w:rPr>
                <w:noProof/>
                <w:webHidden/>
              </w:rPr>
              <w:tab/>
            </w:r>
            <w:r>
              <w:rPr>
                <w:noProof/>
                <w:webHidden/>
              </w:rPr>
              <w:fldChar w:fldCharType="begin"/>
            </w:r>
            <w:r>
              <w:rPr>
                <w:noProof/>
                <w:webHidden/>
              </w:rPr>
              <w:instrText xml:space="preserve"> PAGEREF _Toc213838224 \h </w:instrText>
            </w:r>
            <w:r>
              <w:rPr>
                <w:noProof/>
                <w:webHidden/>
              </w:rPr>
            </w:r>
            <w:r>
              <w:rPr>
                <w:noProof/>
                <w:webHidden/>
              </w:rPr>
              <w:fldChar w:fldCharType="separate"/>
            </w:r>
            <w:r>
              <w:rPr>
                <w:noProof/>
                <w:webHidden/>
              </w:rPr>
              <w:t>22</w:t>
            </w:r>
            <w:r>
              <w:rPr>
                <w:noProof/>
                <w:webHidden/>
              </w:rPr>
              <w:fldChar w:fldCharType="end"/>
            </w:r>
          </w:hyperlink>
        </w:p>
        <w:p w14:paraId="3517C471" w14:textId="354B9D26" w:rsidR="005A2C95" w:rsidRDefault="005A2C95">
          <w:pPr>
            <w:pStyle w:val="TOC2"/>
            <w:tabs>
              <w:tab w:val="right" w:leader="dot" w:pos="9016"/>
            </w:tabs>
            <w:rPr>
              <w:rFonts w:eastAsiaTheme="minorEastAsia" w:cstheme="minorBidi"/>
              <w:b w:val="0"/>
              <w:bCs w:val="0"/>
              <w:noProof/>
              <w:lang w:eastAsia="en-AU"/>
            </w:rPr>
          </w:pPr>
          <w:hyperlink w:anchor="_Toc213838225" w:history="1">
            <w:r w:rsidRPr="00596D99">
              <w:rPr>
                <w:rStyle w:val="Hyperlink"/>
                <w:rFonts w:ascii="Aptos" w:hAnsi="Aptos"/>
                <w:noProof/>
              </w:rPr>
              <w:t>Problems with a mixed funding system for medicine</w:t>
            </w:r>
            <w:r>
              <w:rPr>
                <w:noProof/>
                <w:webHidden/>
              </w:rPr>
              <w:tab/>
            </w:r>
            <w:r>
              <w:rPr>
                <w:noProof/>
                <w:webHidden/>
              </w:rPr>
              <w:fldChar w:fldCharType="begin"/>
            </w:r>
            <w:r>
              <w:rPr>
                <w:noProof/>
                <w:webHidden/>
              </w:rPr>
              <w:instrText xml:space="preserve"> PAGEREF _Toc213838225 \h </w:instrText>
            </w:r>
            <w:r>
              <w:rPr>
                <w:noProof/>
                <w:webHidden/>
              </w:rPr>
            </w:r>
            <w:r>
              <w:rPr>
                <w:noProof/>
                <w:webHidden/>
              </w:rPr>
              <w:fldChar w:fldCharType="separate"/>
            </w:r>
            <w:r>
              <w:rPr>
                <w:noProof/>
                <w:webHidden/>
              </w:rPr>
              <w:t>22</w:t>
            </w:r>
            <w:r>
              <w:rPr>
                <w:noProof/>
                <w:webHidden/>
              </w:rPr>
              <w:fldChar w:fldCharType="end"/>
            </w:r>
          </w:hyperlink>
        </w:p>
        <w:p w14:paraId="6BD7EA28" w14:textId="370AD101" w:rsidR="005A2C95" w:rsidRDefault="005A2C95">
          <w:pPr>
            <w:pStyle w:val="TOC3"/>
            <w:tabs>
              <w:tab w:val="right" w:leader="dot" w:pos="9016"/>
            </w:tabs>
            <w:rPr>
              <w:rFonts w:eastAsiaTheme="minorEastAsia" w:cstheme="minorBidi"/>
              <w:noProof/>
              <w:sz w:val="22"/>
              <w:szCs w:val="22"/>
              <w:lang w:eastAsia="en-AU"/>
            </w:rPr>
          </w:pPr>
          <w:hyperlink w:anchor="_Toc213838226" w:history="1">
            <w:r w:rsidRPr="00596D99">
              <w:rPr>
                <w:rStyle w:val="Hyperlink"/>
                <w:rFonts w:ascii="Aptos" w:hAnsi="Aptos"/>
                <w:i/>
                <w:iCs/>
                <w:noProof/>
              </w:rPr>
              <w:t>Maximum completions</w:t>
            </w:r>
            <w:r>
              <w:rPr>
                <w:noProof/>
                <w:webHidden/>
              </w:rPr>
              <w:tab/>
            </w:r>
            <w:r>
              <w:rPr>
                <w:noProof/>
                <w:webHidden/>
              </w:rPr>
              <w:fldChar w:fldCharType="begin"/>
            </w:r>
            <w:r>
              <w:rPr>
                <w:noProof/>
                <w:webHidden/>
              </w:rPr>
              <w:instrText xml:space="preserve"> PAGEREF _Toc213838226 \h </w:instrText>
            </w:r>
            <w:r>
              <w:rPr>
                <w:noProof/>
                <w:webHidden/>
              </w:rPr>
            </w:r>
            <w:r>
              <w:rPr>
                <w:noProof/>
                <w:webHidden/>
              </w:rPr>
              <w:fldChar w:fldCharType="separate"/>
            </w:r>
            <w:r>
              <w:rPr>
                <w:noProof/>
                <w:webHidden/>
              </w:rPr>
              <w:t>22</w:t>
            </w:r>
            <w:r>
              <w:rPr>
                <w:noProof/>
                <w:webHidden/>
              </w:rPr>
              <w:fldChar w:fldCharType="end"/>
            </w:r>
          </w:hyperlink>
        </w:p>
        <w:p w14:paraId="553EE8D5" w14:textId="7CDA0E8C" w:rsidR="005A2C95" w:rsidRDefault="005A2C95">
          <w:pPr>
            <w:pStyle w:val="TOC3"/>
            <w:tabs>
              <w:tab w:val="right" w:leader="dot" w:pos="9016"/>
            </w:tabs>
            <w:rPr>
              <w:rFonts w:eastAsiaTheme="minorEastAsia" w:cstheme="minorBidi"/>
              <w:noProof/>
              <w:sz w:val="22"/>
              <w:szCs w:val="22"/>
              <w:lang w:eastAsia="en-AU"/>
            </w:rPr>
          </w:pPr>
          <w:hyperlink w:anchor="_Toc213838227" w:history="1">
            <w:r w:rsidRPr="00596D99">
              <w:rPr>
                <w:rStyle w:val="Hyperlink"/>
                <w:rFonts w:ascii="Aptos" w:hAnsi="Aptos"/>
                <w:i/>
                <w:iCs/>
                <w:noProof/>
              </w:rPr>
              <w:t>Medical student loading</w:t>
            </w:r>
            <w:r>
              <w:rPr>
                <w:noProof/>
                <w:webHidden/>
              </w:rPr>
              <w:tab/>
            </w:r>
            <w:r>
              <w:rPr>
                <w:noProof/>
                <w:webHidden/>
              </w:rPr>
              <w:fldChar w:fldCharType="begin"/>
            </w:r>
            <w:r>
              <w:rPr>
                <w:noProof/>
                <w:webHidden/>
              </w:rPr>
              <w:instrText xml:space="preserve"> PAGEREF _Toc213838227 \h </w:instrText>
            </w:r>
            <w:r>
              <w:rPr>
                <w:noProof/>
                <w:webHidden/>
              </w:rPr>
            </w:r>
            <w:r>
              <w:rPr>
                <w:noProof/>
                <w:webHidden/>
              </w:rPr>
              <w:fldChar w:fldCharType="separate"/>
            </w:r>
            <w:r>
              <w:rPr>
                <w:noProof/>
                <w:webHidden/>
              </w:rPr>
              <w:t>23</w:t>
            </w:r>
            <w:r>
              <w:rPr>
                <w:noProof/>
                <w:webHidden/>
              </w:rPr>
              <w:fldChar w:fldCharType="end"/>
            </w:r>
          </w:hyperlink>
        </w:p>
        <w:p w14:paraId="69770739" w14:textId="3DC0D094" w:rsidR="005A2C95" w:rsidRDefault="005A2C95">
          <w:pPr>
            <w:pStyle w:val="TOC3"/>
            <w:tabs>
              <w:tab w:val="right" w:leader="dot" w:pos="9016"/>
            </w:tabs>
            <w:rPr>
              <w:rFonts w:eastAsiaTheme="minorEastAsia" w:cstheme="minorBidi"/>
              <w:noProof/>
              <w:sz w:val="22"/>
              <w:szCs w:val="22"/>
              <w:lang w:eastAsia="en-AU"/>
            </w:rPr>
          </w:pPr>
          <w:hyperlink w:anchor="_Toc213838228" w:history="1">
            <w:r w:rsidRPr="00596D99">
              <w:rPr>
                <w:rStyle w:val="Hyperlink"/>
                <w:rFonts w:ascii="Aptos" w:hAnsi="Aptos"/>
                <w:i/>
                <w:iCs/>
                <w:noProof/>
              </w:rPr>
              <w:t>Potential lost medical places in the transition to Indigenous medical demand driven funding</w:t>
            </w:r>
            <w:r>
              <w:rPr>
                <w:noProof/>
                <w:webHidden/>
              </w:rPr>
              <w:tab/>
            </w:r>
            <w:r>
              <w:rPr>
                <w:noProof/>
                <w:webHidden/>
              </w:rPr>
              <w:fldChar w:fldCharType="begin"/>
            </w:r>
            <w:r>
              <w:rPr>
                <w:noProof/>
                <w:webHidden/>
              </w:rPr>
              <w:instrText xml:space="preserve"> PAGEREF _Toc213838228 \h </w:instrText>
            </w:r>
            <w:r>
              <w:rPr>
                <w:noProof/>
                <w:webHidden/>
              </w:rPr>
            </w:r>
            <w:r>
              <w:rPr>
                <w:noProof/>
                <w:webHidden/>
              </w:rPr>
              <w:fldChar w:fldCharType="separate"/>
            </w:r>
            <w:r>
              <w:rPr>
                <w:noProof/>
                <w:webHidden/>
              </w:rPr>
              <w:t>23</w:t>
            </w:r>
            <w:r>
              <w:rPr>
                <w:noProof/>
                <w:webHidden/>
              </w:rPr>
              <w:fldChar w:fldCharType="end"/>
            </w:r>
          </w:hyperlink>
        </w:p>
        <w:p w14:paraId="165CF95D" w14:textId="3ADA23B9" w:rsidR="005A2C95" w:rsidRDefault="005A2C95">
          <w:pPr>
            <w:pStyle w:val="TOC2"/>
            <w:tabs>
              <w:tab w:val="right" w:leader="dot" w:pos="9016"/>
            </w:tabs>
            <w:rPr>
              <w:rFonts w:eastAsiaTheme="minorEastAsia" w:cstheme="minorBidi"/>
              <w:b w:val="0"/>
              <w:bCs w:val="0"/>
              <w:noProof/>
              <w:lang w:eastAsia="en-AU"/>
            </w:rPr>
          </w:pPr>
          <w:hyperlink w:anchor="_Toc213838229" w:history="1">
            <w:r w:rsidRPr="00596D99">
              <w:rPr>
                <w:rStyle w:val="Hyperlink"/>
                <w:rFonts w:ascii="Aptos" w:hAnsi="Aptos"/>
                <w:noProof/>
              </w:rPr>
              <w:t>The power to exclude a medical course from demand driven funding</w:t>
            </w:r>
            <w:r>
              <w:rPr>
                <w:noProof/>
                <w:webHidden/>
              </w:rPr>
              <w:tab/>
            </w:r>
            <w:r>
              <w:rPr>
                <w:noProof/>
                <w:webHidden/>
              </w:rPr>
              <w:fldChar w:fldCharType="begin"/>
            </w:r>
            <w:r>
              <w:rPr>
                <w:noProof/>
                <w:webHidden/>
              </w:rPr>
              <w:instrText xml:space="preserve"> PAGEREF _Toc213838229 \h </w:instrText>
            </w:r>
            <w:r>
              <w:rPr>
                <w:noProof/>
                <w:webHidden/>
              </w:rPr>
            </w:r>
            <w:r>
              <w:rPr>
                <w:noProof/>
                <w:webHidden/>
              </w:rPr>
              <w:fldChar w:fldCharType="separate"/>
            </w:r>
            <w:r>
              <w:rPr>
                <w:noProof/>
                <w:webHidden/>
              </w:rPr>
              <w:t>25</w:t>
            </w:r>
            <w:r>
              <w:rPr>
                <w:noProof/>
                <w:webHidden/>
              </w:rPr>
              <w:fldChar w:fldCharType="end"/>
            </w:r>
          </w:hyperlink>
        </w:p>
        <w:p w14:paraId="07D72E98" w14:textId="6A7B7D53" w:rsidR="005A2C95" w:rsidRDefault="005A2C95">
          <w:pPr>
            <w:pStyle w:val="TOC2"/>
            <w:tabs>
              <w:tab w:val="right" w:leader="dot" w:pos="9016"/>
            </w:tabs>
            <w:rPr>
              <w:rFonts w:eastAsiaTheme="minorEastAsia" w:cstheme="minorBidi"/>
              <w:b w:val="0"/>
              <w:bCs w:val="0"/>
              <w:noProof/>
              <w:lang w:eastAsia="en-AU"/>
            </w:rPr>
          </w:pPr>
          <w:hyperlink w:anchor="_Toc213838230" w:history="1">
            <w:r w:rsidRPr="00596D99">
              <w:rPr>
                <w:rStyle w:val="Hyperlink"/>
                <w:rFonts w:ascii="Aptos" w:hAnsi="Aptos"/>
                <w:noProof/>
              </w:rPr>
              <w:t>Conclusion</w:t>
            </w:r>
            <w:r>
              <w:rPr>
                <w:noProof/>
                <w:webHidden/>
              </w:rPr>
              <w:tab/>
            </w:r>
            <w:r>
              <w:rPr>
                <w:noProof/>
                <w:webHidden/>
              </w:rPr>
              <w:fldChar w:fldCharType="begin"/>
            </w:r>
            <w:r>
              <w:rPr>
                <w:noProof/>
                <w:webHidden/>
              </w:rPr>
              <w:instrText xml:space="preserve"> PAGEREF _Toc213838230 \h </w:instrText>
            </w:r>
            <w:r>
              <w:rPr>
                <w:noProof/>
                <w:webHidden/>
              </w:rPr>
            </w:r>
            <w:r>
              <w:rPr>
                <w:noProof/>
                <w:webHidden/>
              </w:rPr>
              <w:fldChar w:fldCharType="separate"/>
            </w:r>
            <w:r>
              <w:rPr>
                <w:noProof/>
                <w:webHidden/>
              </w:rPr>
              <w:t>25</w:t>
            </w:r>
            <w:r>
              <w:rPr>
                <w:noProof/>
                <w:webHidden/>
              </w:rPr>
              <w:fldChar w:fldCharType="end"/>
            </w:r>
          </w:hyperlink>
        </w:p>
        <w:p w14:paraId="65232D78" w14:textId="2F20BFB8" w:rsidR="005A2C95" w:rsidRDefault="005A2C95">
          <w:pPr>
            <w:pStyle w:val="TOC2"/>
            <w:tabs>
              <w:tab w:val="right" w:leader="dot" w:pos="9016"/>
            </w:tabs>
            <w:rPr>
              <w:rFonts w:eastAsiaTheme="minorEastAsia" w:cstheme="minorBidi"/>
              <w:b w:val="0"/>
              <w:bCs w:val="0"/>
              <w:noProof/>
              <w:lang w:eastAsia="en-AU"/>
            </w:rPr>
          </w:pPr>
          <w:hyperlink w:anchor="_Toc213838231" w:history="1">
            <w:r w:rsidRPr="00596D99">
              <w:rPr>
                <w:rStyle w:val="Hyperlink"/>
                <w:rFonts w:ascii="Aptos" w:hAnsi="Aptos"/>
                <w:noProof/>
              </w:rPr>
              <w:t>Recommendations</w:t>
            </w:r>
            <w:r>
              <w:rPr>
                <w:noProof/>
                <w:webHidden/>
              </w:rPr>
              <w:tab/>
            </w:r>
            <w:r>
              <w:rPr>
                <w:noProof/>
                <w:webHidden/>
              </w:rPr>
              <w:fldChar w:fldCharType="begin"/>
            </w:r>
            <w:r>
              <w:rPr>
                <w:noProof/>
                <w:webHidden/>
              </w:rPr>
              <w:instrText xml:space="preserve"> PAGEREF _Toc213838231 \h </w:instrText>
            </w:r>
            <w:r>
              <w:rPr>
                <w:noProof/>
                <w:webHidden/>
              </w:rPr>
            </w:r>
            <w:r>
              <w:rPr>
                <w:noProof/>
                <w:webHidden/>
              </w:rPr>
              <w:fldChar w:fldCharType="separate"/>
            </w:r>
            <w:r>
              <w:rPr>
                <w:noProof/>
                <w:webHidden/>
              </w:rPr>
              <w:t>26</w:t>
            </w:r>
            <w:r>
              <w:rPr>
                <w:noProof/>
                <w:webHidden/>
              </w:rPr>
              <w:fldChar w:fldCharType="end"/>
            </w:r>
          </w:hyperlink>
        </w:p>
        <w:p w14:paraId="119453E6" w14:textId="688F8D33" w:rsidR="005A2C95" w:rsidRDefault="005A2C95">
          <w:pPr>
            <w:pStyle w:val="TOC2"/>
            <w:tabs>
              <w:tab w:val="right" w:leader="dot" w:pos="9016"/>
            </w:tabs>
            <w:rPr>
              <w:rFonts w:eastAsiaTheme="minorEastAsia" w:cstheme="minorBidi"/>
              <w:b w:val="0"/>
              <w:bCs w:val="0"/>
              <w:noProof/>
              <w:lang w:eastAsia="en-AU"/>
            </w:rPr>
          </w:pPr>
          <w:hyperlink w:anchor="_Toc213838232" w:history="1">
            <w:r w:rsidRPr="00596D99">
              <w:rPr>
                <w:rStyle w:val="Hyperlink"/>
                <w:rFonts w:ascii="Aptos" w:hAnsi="Aptos"/>
                <w:noProof/>
              </w:rPr>
              <w:t>Appendix 1: FEE-HELP approval with conditions</w:t>
            </w:r>
            <w:r>
              <w:rPr>
                <w:noProof/>
                <w:webHidden/>
              </w:rPr>
              <w:tab/>
            </w:r>
            <w:r>
              <w:rPr>
                <w:noProof/>
                <w:webHidden/>
              </w:rPr>
              <w:fldChar w:fldCharType="begin"/>
            </w:r>
            <w:r>
              <w:rPr>
                <w:noProof/>
                <w:webHidden/>
              </w:rPr>
              <w:instrText xml:space="preserve"> PAGEREF _Toc213838232 \h </w:instrText>
            </w:r>
            <w:r>
              <w:rPr>
                <w:noProof/>
                <w:webHidden/>
              </w:rPr>
            </w:r>
            <w:r>
              <w:rPr>
                <w:noProof/>
                <w:webHidden/>
              </w:rPr>
              <w:fldChar w:fldCharType="separate"/>
            </w:r>
            <w:r>
              <w:rPr>
                <w:noProof/>
                <w:webHidden/>
              </w:rPr>
              <w:t>27</w:t>
            </w:r>
            <w:r>
              <w:rPr>
                <w:noProof/>
                <w:webHidden/>
              </w:rPr>
              <w:fldChar w:fldCharType="end"/>
            </w:r>
          </w:hyperlink>
        </w:p>
        <w:p w14:paraId="02636956" w14:textId="768F6B7D" w:rsidR="005A2C95" w:rsidRDefault="005A2C95">
          <w:pPr>
            <w:pStyle w:val="TOC2"/>
            <w:tabs>
              <w:tab w:val="right" w:leader="dot" w:pos="9016"/>
            </w:tabs>
            <w:rPr>
              <w:rFonts w:eastAsiaTheme="minorEastAsia" w:cstheme="minorBidi"/>
              <w:b w:val="0"/>
              <w:bCs w:val="0"/>
              <w:noProof/>
              <w:lang w:eastAsia="en-AU"/>
            </w:rPr>
          </w:pPr>
          <w:hyperlink w:anchor="_Toc213838233" w:history="1">
            <w:r w:rsidRPr="00596D99">
              <w:rPr>
                <w:rStyle w:val="Hyperlink"/>
                <w:rFonts w:ascii="Aptos" w:hAnsi="Aptos"/>
                <w:noProof/>
              </w:rPr>
              <w:t>Appendix 2: Higher education institutions ranked by student-assessed overall educational experience</w:t>
            </w:r>
            <w:r>
              <w:rPr>
                <w:noProof/>
                <w:webHidden/>
              </w:rPr>
              <w:tab/>
            </w:r>
            <w:r>
              <w:rPr>
                <w:noProof/>
                <w:webHidden/>
              </w:rPr>
              <w:fldChar w:fldCharType="begin"/>
            </w:r>
            <w:r>
              <w:rPr>
                <w:noProof/>
                <w:webHidden/>
              </w:rPr>
              <w:instrText xml:space="preserve"> PAGEREF _Toc213838233 \h </w:instrText>
            </w:r>
            <w:r>
              <w:rPr>
                <w:noProof/>
                <w:webHidden/>
              </w:rPr>
            </w:r>
            <w:r>
              <w:rPr>
                <w:noProof/>
                <w:webHidden/>
              </w:rPr>
              <w:fldChar w:fldCharType="separate"/>
            </w:r>
            <w:r>
              <w:rPr>
                <w:noProof/>
                <w:webHidden/>
              </w:rPr>
              <w:t>29</w:t>
            </w:r>
            <w:r>
              <w:rPr>
                <w:noProof/>
                <w:webHidden/>
              </w:rPr>
              <w:fldChar w:fldCharType="end"/>
            </w:r>
          </w:hyperlink>
        </w:p>
        <w:p w14:paraId="3ACCC65C" w14:textId="23F0EF60" w:rsidR="005A2C95" w:rsidRDefault="005A2C95">
          <w:pPr>
            <w:pStyle w:val="TOC1"/>
            <w:tabs>
              <w:tab w:val="right" w:leader="dot" w:pos="9016"/>
            </w:tabs>
            <w:rPr>
              <w:rFonts w:eastAsiaTheme="minorEastAsia" w:cstheme="minorBidi"/>
              <w:b w:val="0"/>
              <w:bCs w:val="0"/>
              <w:i w:val="0"/>
              <w:iCs w:val="0"/>
              <w:noProof/>
              <w:sz w:val="22"/>
              <w:szCs w:val="22"/>
              <w:lang w:eastAsia="en-AU"/>
            </w:rPr>
          </w:pPr>
          <w:hyperlink w:anchor="_Toc213838234" w:history="1">
            <w:r w:rsidRPr="00596D99">
              <w:rPr>
                <w:rStyle w:val="Hyperlink"/>
                <w:rFonts w:ascii="Aptos" w:hAnsi="Aptos"/>
                <w:noProof/>
              </w:rPr>
              <w:t>References</w:t>
            </w:r>
            <w:r>
              <w:rPr>
                <w:noProof/>
                <w:webHidden/>
              </w:rPr>
              <w:tab/>
            </w:r>
            <w:r>
              <w:rPr>
                <w:noProof/>
                <w:webHidden/>
              </w:rPr>
              <w:fldChar w:fldCharType="begin"/>
            </w:r>
            <w:r>
              <w:rPr>
                <w:noProof/>
                <w:webHidden/>
              </w:rPr>
              <w:instrText xml:space="preserve"> PAGEREF _Toc213838234 \h </w:instrText>
            </w:r>
            <w:r>
              <w:rPr>
                <w:noProof/>
                <w:webHidden/>
              </w:rPr>
            </w:r>
            <w:r>
              <w:rPr>
                <w:noProof/>
                <w:webHidden/>
              </w:rPr>
              <w:fldChar w:fldCharType="separate"/>
            </w:r>
            <w:r>
              <w:rPr>
                <w:noProof/>
                <w:webHidden/>
              </w:rPr>
              <w:t>33</w:t>
            </w:r>
            <w:r>
              <w:rPr>
                <w:noProof/>
                <w:webHidden/>
              </w:rPr>
              <w:fldChar w:fldCharType="end"/>
            </w:r>
          </w:hyperlink>
        </w:p>
        <w:p w14:paraId="1D14804D" w14:textId="5CE28127" w:rsidR="00FE21DD" w:rsidRPr="00DB5E03" w:rsidRDefault="00D94A34" w:rsidP="00944D95">
          <w:pPr>
            <w:rPr>
              <w:rFonts w:ascii="Aptos" w:hAnsi="Aptos"/>
              <w:b/>
              <w:bCs/>
              <w:noProof/>
              <w:szCs w:val="24"/>
            </w:rPr>
          </w:pPr>
          <w:r w:rsidRPr="00DB5E03">
            <w:rPr>
              <w:rFonts w:ascii="Aptos" w:hAnsi="Aptos"/>
              <w:b/>
              <w:bCs/>
              <w:noProof/>
              <w:szCs w:val="24"/>
            </w:rPr>
            <w:lastRenderedPageBreak/>
            <w:fldChar w:fldCharType="end"/>
          </w:r>
        </w:p>
        <w:p w14:paraId="276D789F" w14:textId="7F890513" w:rsidR="00D94A34" w:rsidRPr="00DB5E03" w:rsidRDefault="00B358FF" w:rsidP="00944D95">
          <w:pPr>
            <w:rPr>
              <w:rFonts w:ascii="Aptos" w:hAnsi="Aptos" w:cstheme="minorHAnsi"/>
              <w:szCs w:val="24"/>
            </w:rPr>
          </w:pPr>
        </w:p>
      </w:sdtContent>
    </w:sdt>
    <w:p w14:paraId="1916F87E" w14:textId="3506212F" w:rsidR="00AD4757" w:rsidRPr="007B3620" w:rsidRDefault="0021176C" w:rsidP="00944D95">
      <w:pPr>
        <w:pStyle w:val="Heading1"/>
        <w:rPr>
          <w:rFonts w:ascii="Aptos" w:hAnsi="Aptos" w:cstheme="minorHAnsi"/>
          <w:color w:val="4F81BD" w:themeColor="accent1"/>
          <w:sz w:val="32"/>
          <w:szCs w:val="32"/>
        </w:rPr>
      </w:pPr>
      <w:bookmarkStart w:id="2" w:name="_Toc213838199"/>
      <w:r w:rsidRPr="007B3620">
        <w:rPr>
          <w:rFonts w:ascii="Aptos" w:hAnsi="Aptos" w:cstheme="minorHAnsi"/>
          <w:color w:val="4F81BD" w:themeColor="accent1"/>
          <w:sz w:val="32"/>
          <w:szCs w:val="32"/>
        </w:rPr>
        <w:t>Overview</w:t>
      </w:r>
      <w:bookmarkEnd w:id="2"/>
    </w:p>
    <w:p w14:paraId="242A075E" w14:textId="3FE7DA4E" w:rsidR="007B3620" w:rsidRDefault="007B3620">
      <w:pPr>
        <w:rPr>
          <w:rFonts w:ascii="Aptos" w:hAnsi="Aptos"/>
          <w:szCs w:val="24"/>
        </w:rPr>
      </w:pPr>
      <w:r>
        <w:rPr>
          <w:rFonts w:ascii="Aptos" w:hAnsi="Aptos"/>
          <w:szCs w:val="24"/>
        </w:rPr>
        <w:t xml:space="preserve">This submission covers three </w:t>
      </w:r>
      <w:r w:rsidR="000950D8">
        <w:rPr>
          <w:rFonts w:ascii="Aptos" w:hAnsi="Aptos"/>
          <w:szCs w:val="24"/>
        </w:rPr>
        <w:t>aspects of the bill</w:t>
      </w:r>
    </w:p>
    <w:p w14:paraId="3908E4F3" w14:textId="77777777" w:rsidR="007B3620" w:rsidRDefault="007B3620" w:rsidP="007B3620">
      <w:pPr>
        <w:pStyle w:val="ListParagraph"/>
        <w:numPr>
          <w:ilvl w:val="0"/>
          <w:numId w:val="22"/>
        </w:numPr>
        <w:rPr>
          <w:rFonts w:ascii="Aptos" w:hAnsi="Aptos"/>
          <w:szCs w:val="24"/>
        </w:rPr>
      </w:pPr>
      <w:r>
        <w:rPr>
          <w:rFonts w:ascii="Aptos" w:hAnsi="Aptos"/>
          <w:szCs w:val="24"/>
        </w:rPr>
        <w:t>The ministerial power to mass cancel courses</w:t>
      </w:r>
    </w:p>
    <w:p w14:paraId="035FB821" w14:textId="77777777" w:rsidR="00CC1F7D" w:rsidRDefault="00CC1F7D" w:rsidP="007B3620">
      <w:pPr>
        <w:pStyle w:val="ListParagraph"/>
        <w:numPr>
          <w:ilvl w:val="0"/>
          <w:numId w:val="22"/>
        </w:numPr>
        <w:rPr>
          <w:rFonts w:ascii="Aptos" w:hAnsi="Aptos"/>
          <w:szCs w:val="24"/>
        </w:rPr>
      </w:pPr>
      <w:r>
        <w:rPr>
          <w:rFonts w:ascii="Aptos" w:hAnsi="Aptos"/>
          <w:szCs w:val="24"/>
        </w:rPr>
        <w:t>A de facto ban on new higher education providers</w:t>
      </w:r>
    </w:p>
    <w:p w14:paraId="079C3443" w14:textId="77777777" w:rsidR="00CC1F7D" w:rsidRDefault="00CC1F7D" w:rsidP="007B3620">
      <w:pPr>
        <w:pStyle w:val="ListParagraph"/>
        <w:numPr>
          <w:ilvl w:val="0"/>
          <w:numId w:val="22"/>
        </w:numPr>
        <w:rPr>
          <w:rFonts w:ascii="Aptos" w:hAnsi="Aptos"/>
          <w:szCs w:val="24"/>
        </w:rPr>
      </w:pPr>
      <w:r>
        <w:rPr>
          <w:rFonts w:ascii="Aptos" w:hAnsi="Aptos"/>
          <w:szCs w:val="24"/>
        </w:rPr>
        <w:t>Demand driven funding for Indigenous medical students</w:t>
      </w:r>
    </w:p>
    <w:p w14:paraId="5BDA10F5" w14:textId="77777777" w:rsidR="00CC1F7D" w:rsidRDefault="00CC1F7D" w:rsidP="00CC1F7D">
      <w:pPr>
        <w:rPr>
          <w:rFonts w:ascii="Aptos" w:hAnsi="Aptos"/>
          <w:szCs w:val="24"/>
        </w:rPr>
      </w:pPr>
    </w:p>
    <w:p w14:paraId="7347ADFB" w14:textId="77777777" w:rsidR="00CC1F7D" w:rsidRDefault="00CC1F7D" w:rsidP="00CC1F7D">
      <w:pPr>
        <w:rPr>
          <w:rFonts w:ascii="Aptos" w:hAnsi="Aptos"/>
          <w:szCs w:val="24"/>
        </w:rPr>
      </w:pPr>
      <w:r>
        <w:rPr>
          <w:rFonts w:ascii="Aptos" w:hAnsi="Aptos"/>
          <w:szCs w:val="24"/>
        </w:rPr>
        <w:t>Ministerial power to mass cancel courses</w:t>
      </w:r>
    </w:p>
    <w:p w14:paraId="15FB1D54" w14:textId="2AA57899" w:rsidR="00CC1F7D" w:rsidRDefault="00CC1F7D" w:rsidP="00CC1F7D">
      <w:pPr>
        <w:pStyle w:val="ListParagraph"/>
        <w:numPr>
          <w:ilvl w:val="0"/>
          <w:numId w:val="22"/>
        </w:numPr>
        <w:rPr>
          <w:rFonts w:ascii="Aptos" w:hAnsi="Aptos"/>
          <w:szCs w:val="24"/>
        </w:rPr>
      </w:pPr>
      <w:r>
        <w:rPr>
          <w:rFonts w:ascii="Aptos" w:hAnsi="Aptos"/>
          <w:szCs w:val="24"/>
        </w:rPr>
        <w:t xml:space="preserve">This power has serious rule of law issues, allowing the minister </w:t>
      </w:r>
      <w:r w:rsidR="000950D8">
        <w:rPr>
          <w:rFonts w:ascii="Aptos" w:hAnsi="Aptos"/>
          <w:szCs w:val="24"/>
        </w:rPr>
        <w:t>t</w:t>
      </w:r>
      <w:r>
        <w:rPr>
          <w:rFonts w:ascii="Aptos" w:hAnsi="Aptos"/>
          <w:szCs w:val="24"/>
        </w:rPr>
        <w:t xml:space="preserve">o side-step existing laws and </w:t>
      </w:r>
      <w:r w:rsidR="000950D8">
        <w:rPr>
          <w:rFonts w:ascii="Aptos" w:hAnsi="Aptos"/>
          <w:szCs w:val="24"/>
        </w:rPr>
        <w:t xml:space="preserve">instead </w:t>
      </w:r>
      <w:r>
        <w:rPr>
          <w:rFonts w:ascii="Aptos" w:hAnsi="Aptos"/>
          <w:szCs w:val="24"/>
        </w:rPr>
        <w:t>make decision</w:t>
      </w:r>
      <w:r w:rsidR="000950D8">
        <w:rPr>
          <w:rFonts w:ascii="Aptos" w:hAnsi="Aptos"/>
          <w:szCs w:val="24"/>
        </w:rPr>
        <w:t>s</w:t>
      </w:r>
      <w:r>
        <w:rPr>
          <w:rFonts w:ascii="Aptos" w:hAnsi="Aptos"/>
          <w:szCs w:val="24"/>
        </w:rPr>
        <w:t xml:space="preserve"> based on personal discretion</w:t>
      </w:r>
    </w:p>
    <w:p w14:paraId="769F217E" w14:textId="56AB04CD" w:rsidR="00CC1F7D" w:rsidRDefault="00CC1F7D" w:rsidP="00CC1F7D">
      <w:pPr>
        <w:pStyle w:val="ListParagraph"/>
        <w:numPr>
          <w:ilvl w:val="0"/>
          <w:numId w:val="22"/>
        </w:numPr>
        <w:rPr>
          <w:rFonts w:ascii="Aptos" w:hAnsi="Aptos"/>
          <w:szCs w:val="24"/>
        </w:rPr>
      </w:pPr>
      <w:r>
        <w:rPr>
          <w:rFonts w:ascii="Aptos" w:hAnsi="Aptos"/>
          <w:szCs w:val="24"/>
        </w:rPr>
        <w:t>The requirement to consult ASQA and TEQSA in the 2024 version of this bill has been dropped in favour of the minister deciding who to consult</w:t>
      </w:r>
    </w:p>
    <w:p w14:paraId="2C4632A1" w14:textId="77777777" w:rsidR="00CC1F7D" w:rsidRDefault="00CC1F7D" w:rsidP="00CC1F7D">
      <w:pPr>
        <w:pStyle w:val="ListParagraph"/>
        <w:numPr>
          <w:ilvl w:val="1"/>
          <w:numId w:val="22"/>
        </w:numPr>
        <w:rPr>
          <w:rFonts w:ascii="Aptos" w:hAnsi="Aptos"/>
          <w:szCs w:val="24"/>
        </w:rPr>
      </w:pPr>
      <w:r>
        <w:rPr>
          <w:rFonts w:ascii="Aptos" w:hAnsi="Aptos"/>
          <w:szCs w:val="24"/>
        </w:rPr>
        <w:t>This means a course could be cancelled on ‘standard of delivery’ grounds for international students but still available for domestic students</w:t>
      </w:r>
    </w:p>
    <w:p w14:paraId="6D6B426D" w14:textId="17534890" w:rsidR="00CC1F7D" w:rsidRDefault="00CC1F7D" w:rsidP="00CC1F7D">
      <w:pPr>
        <w:pStyle w:val="ListParagraph"/>
        <w:numPr>
          <w:ilvl w:val="0"/>
          <w:numId w:val="22"/>
        </w:numPr>
        <w:rPr>
          <w:rFonts w:ascii="Aptos" w:hAnsi="Aptos"/>
          <w:szCs w:val="24"/>
        </w:rPr>
      </w:pPr>
      <w:r>
        <w:rPr>
          <w:rFonts w:ascii="Aptos" w:hAnsi="Aptos"/>
          <w:szCs w:val="24"/>
        </w:rPr>
        <w:t xml:space="preserve">As most international students leave Australia is makes no sense to restrict courses on the grounds that they do not meet Australia’s skills needs </w:t>
      </w:r>
    </w:p>
    <w:p w14:paraId="7113740F" w14:textId="77777777" w:rsidR="000F4097" w:rsidRDefault="000F4097" w:rsidP="000F4097">
      <w:pPr>
        <w:pStyle w:val="ListParagraph"/>
        <w:ind w:left="1080" w:firstLine="0"/>
        <w:rPr>
          <w:rFonts w:ascii="Aptos" w:hAnsi="Aptos"/>
          <w:szCs w:val="24"/>
        </w:rPr>
      </w:pPr>
    </w:p>
    <w:p w14:paraId="38BF2140" w14:textId="125859B0" w:rsidR="000F4097" w:rsidRDefault="000F4097" w:rsidP="000F4097">
      <w:pPr>
        <w:rPr>
          <w:rFonts w:ascii="Aptos" w:hAnsi="Aptos"/>
          <w:szCs w:val="24"/>
        </w:rPr>
      </w:pPr>
      <w:r>
        <w:rPr>
          <w:rFonts w:ascii="Aptos" w:hAnsi="Aptos"/>
          <w:szCs w:val="24"/>
        </w:rPr>
        <w:t xml:space="preserve">De facto ban on new higher education providers </w:t>
      </w:r>
    </w:p>
    <w:p w14:paraId="627580B0" w14:textId="16EBB51C" w:rsidR="000F4097" w:rsidRDefault="000F4097" w:rsidP="000F4097">
      <w:pPr>
        <w:pStyle w:val="ListParagraph"/>
        <w:numPr>
          <w:ilvl w:val="0"/>
          <w:numId w:val="22"/>
        </w:numPr>
        <w:rPr>
          <w:rFonts w:ascii="Aptos" w:hAnsi="Aptos"/>
          <w:szCs w:val="24"/>
        </w:rPr>
      </w:pPr>
      <w:r>
        <w:rPr>
          <w:rFonts w:ascii="Aptos" w:hAnsi="Aptos"/>
          <w:szCs w:val="24"/>
        </w:rPr>
        <w:t>The bill does not have a formal ban on new higher education providers, but would require new providers to teach domestic students for two years before accessing the international market</w:t>
      </w:r>
    </w:p>
    <w:p w14:paraId="4ED8E2D3" w14:textId="71829004" w:rsidR="000F4097" w:rsidRDefault="000F4097" w:rsidP="000F4097">
      <w:pPr>
        <w:pStyle w:val="ListParagraph"/>
        <w:numPr>
          <w:ilvl w:val="0"/>
          <w:numId w:val="22"/>
        </w:numPr>
        <w:rPr>
          <w:rFonts w:ascii="Aptos" w:hAnsi="Aptos"/>
          <w:szCs w:val="24"/>
        </w:rPr>
      </w:pPr>
      <w:r w:rsidRPr="000F4097">
        <w:rPr>
          <w:rFonts w:ascii="Aptos" w:hAnsi="Aptos"/>
          <w:szCs w:val="24"/>
        </w:rPr>
        <w:t xml:space="preserve">But providers won't be competitive in the domestic market unless they offer FEE-HELP, which in practice they </w:t>
      </w:r>
      <w:r>
        <w:rPr>
          <w:rFonts w:ascii="Aptos" w:hAnsi="Aptos"/>
          <w:szCs w:val="24"/>
        </w:rPr>
        <w:t xml:space="preserve">usually </w:t>
      </w:r>
      <w:r w:rsidRPr="000F4097">
        <w:rPr>
          <w:rFonts w:ascii="Aptos" w:hAnsi="Aptos"/>
          <w:szCs w:val="24"/>
        </w:rPr>
        <w:t>can't get until they have enrolled international students for at least two years or can otherwise prove 'sufficient experience' in delivering higher education</w:t>
      </w:r>
    </w:p>
    <w:p w14:paraId="38DBE1B7" w14:textId="15D325FA" w:rsidR="000F4097" w:rsidRDefault="000F4097" w:rsidP="000F4097">
      <w:pPr>
        <w:pStyle w:val="ListParagraph"/>
        <w:numPr>
          <w:ilvl w:val="0"/>
          <w:numId w:val="22"/>
        </w:numPr>
        <w:rPr>
          <w:rFonts w:ascii="Aptos" w:hAnsi="Aptos"/>
          <w:szCs w:val="24"/>
        </w:rPr>
      </w:pPr>
      <w:r>
        <w:rPr>
          <w:rFonts w:ascii="Aptos" w:hAnsi="Aptos"/>
          <w:szCs w:val="24"/>
        </w:rPr>
        <w:t>Existing rules limit the entry of providers aiming to subvert the migration system</w:t>
      </w:r>
    </w:p>
    <w:p w14:paraId="60649826" w14:textId="60E86C2E" w:rsidR="000F4097" w:rsidRDefault="000F4097" w:rsidP="000F4097">
      <w:pPr>
        <w:rPr>
          <w:rFonts w:ascii="Aptos" w:hAnsi="Aptos"/>
          <w:szCs w:val="24"/>
        </w:rPr>
      </w:pPr>
    </w:p>
    <w:p w14:paraId="4F8AFFF2" w14:textId="1A64431D" w:rsidR="000F4097" w:rsidRDefault="000F4097" w:rsidP="000F4097">
      <w:pPr>
        <w:rPr>
          <w:rFonts w:ascii="Aptos" w:hAnsi="Aptos"/>
          <w:szCs w:val="24"/>
        </w:rPr>
      </w:pPr>
      <w:r>
        <w:rPr>
          <w:rFonts w:ascii="Aptos" w:hAnsi="Aptos"/>
          <w:szCs w:val="24"/>
        </w:rPr>
        <w:t xml:space="preserve">Demand driven funding for Indigenous medical students </w:t>
      </w:r>
    </w:p>
    <w:p w14:paraId="136F7778" w14:textId="5146BFBE" w:rsidR="000F4097" w:rsidRDefault="000F4097" w:rsidP="000F4097">
      <w:pPr>
        <w:pStyle w:val="ListParagraph"/>
        <w:numPr>
          <w:ilvl w:val="0"/>
          <w:numId w:val="22"/>
        </w:numPr>
        <w:rPr>
          <w:rFonts w:ascii="Aptos" w:hAnsi="Aptos"/>
          <w:szCs w:val="24"/>
        </w:rPr>
      </w:pPr>
      <w:r>
        <w:rPr>
          <w:rFonts w:ascii="Aptos" w:hAnsi="Aptos"/>
          <w:szCs w:val="24"/>
        </w:rPr>
        <w:t>Universities have significantly increased Indigenous medical enrolments</w:t>
      </w:r>
      <w:r w:rsidR="00A71FCD">
        <w:rPr>
          <w:rFonts w:ascii="Aptos" w:hAnsi="Aptos"/>
          <w:szCs w:val="24"/>
        </w:rPr>
        <w:t>, with their share of commencing enrolments around population parity</w:t>
      </w:r>
    </w:p>
    <w:p w14:paraId="435CB84F" w14:textId="777F31C7" w:rsidR="00A71FCD" w:rsidRDefault="00A71FCD" w:rsidP="000F4097">
      <w:pPr>
        <w:pStyle w:val="ListParagraph"/>
        <w:numPr>
          <w:ilvl w:val="0"/>
          <w:numId w:val="22"/>
        </w:numPr>
        <w:rPr>
          <w:rFonts w:ascii="Aptos" w:hAnsi="Aptos"/>
          <w:szCs w:val="24"/>
        </w:rPr>
      </w:pPr>
      <w:r>
        <w:rPr>
          <w:rFonts w:ascii="Aptos" w:hAnsi="Aptos"/>
          <w:szCs w:val="24"/>
        </w:rPr>
        <w:t>The number of medical student places is not clearly the main obstacle to increasing the Indigenous medical workforce</w:t>
      </w:r>
    </w:p>
    <w:p w14:paraId="65A5905C" w14:textId="76B23923" w:rsidR="00A71FCD" w:rsidRDefault="00A71FCD" w:rsidP="000F4097">
      <w:pPr>
        <w:pStyle w:val="ListParagraph"/>
        <w:numPr>
          <w:ilvl w:val="0"/>
          <w:numId w:val="22"/>
        </w:numPr>
        <w:rPr>
          <w:rFonts w:ascii="Aptos" w:hAnsi="Aptos"/>
          <w:szCs w:val="24"/>
        </w:rPr>
      </w:pPr>
      <w:r>
        <w:rPr>
          <w:rFonts w:ascii="Aptos" w:hAnsi="Aptos"/>
          <w:szCs w:val="24"/>
        </w:rPr>
        <w:t>Several administrative issues need addressing:</w:t>
      </w:r>
    </w:p>
    <w:p w14:paraId="2E46E070" w14:textId="4E95E9F4" w:rsidR="00A71FCD" w:rsidRDefault="00A71FCD" w:rsidP="00A71FCD">
      <w:pPr>
        <w:pStyle w:val="ListParagraph"/>
        <w:numPr>
          <w:ilvl w:val="1"/>
          <w:numId w:val="22"/>
        </w:numPr>
        <w:rPr>
          <w:rFonts w:ascii="Aptos" w:hAnsi="Aptos"/>
          <w:szCs w:val="24"/>
        </w:rPr>
      </w:pPr>
      <w:r>
        <w:rPr>
          <w:rFonts w:ascii="Aptos" w:hAnsi="Aptos"/>
          <w:szCs w:val="24"/>
        </w:rPr>
        <w:t>Adjusting maximum completions of medical degrees</w:t>
      </w:r>
    </w:p>
    <w:p w14:paraId="683D0B95" w14:textId="5F37823B" w:rsidR="00A71FCD" w:rsidRDefault="00A71FCD" w:rsidP="00A71FCD">
      <w:pPr>
        <w:pStyle w:val="ListParagraph"/>
        <w:numPr>
          <w:ilvl w:val="1"/>
          <w:numId w:val="22"/>
        </w:numPr>
        <w:rPr>
          <w:rFonts w:ascii="Aptos" w:hAnsi="Aptos"/>
          <w:szCs w:val="24"/>
        </w:rPr>
      </w:pPr>
      <w:r>
        <w:rPr>
          <w:rFonts w:ascii="Aptos" w:hAnsi="Aptos"/>
          <w:szCs w:val="24"/>
        </w:rPr>
        <w:t>Ensuring the medical student loading applies to all medical students</w:t>
      </w:r>
    </w:p>
    <w:p w14:paraId="6F8BF1F0" w14:textId="00C6D1C5" w:rsidR="00A71FCD" w:rsidRDefault="00A71FCD" w:rsidP="00A71FCD">
      <w:pPr>
        <w:pStyle w:val="ListParagraph"/>
        <w:numPr>
          <w:ilvl w:val="1"/>
          <w:numId w:val="22"/>
        </w:numPr>
        <w:rPr>
          <w:rFonts w:ascii="Aptos" w:hAnsi="Aptos"/>
          <w:szCs w:val="24"/>
        </w:rPr>
      </w:pPr>
      <w:r>
        <w:rPr>
          <w:rFonts w:ascii="Aptos" w:hAnsi="Aptos"/>
          <w:szCs w:val="24"/>
        </w:rPr>
        <w:t>Avoiding an accidental reduction in non-Indigenous medical student numbers in the transition to the new system</w:t>
      </w:r>
    </w:p>
    <w:p w14:paraId="666A26A4" w14:textId="573335A4" w:rsidR="00A71FCD" w:rsidRPr="000F4097" w:rsidRDefault="00A71FCD" w:rsidP="00A71FCD">
      <w:pPr>
        <w:pStyle w:val="ListParagraph"/>
        <w:numPr>
          <w:ilvl w:val="0"/>
          <w:numId w:val="22"/>
        </w:numPr>
        <w:rPr>
          <w:rFonts w:ascii="Aptos" w:hAnsi="Aptos"/>
          <w:szCs w:val="24"/>
        </w:rPr>
      </w:pPr>
      <w:r>
        <w:rPr>
          <w:rFonts w:ascii="Aptos" w:hAnsi="Aptos"/>
          <w:szCs w:val="24"/>
        </w:rPr>
        <w:t xml:space="preserve">The amendment includes a power to exclude some medical courses from Indigenous demand driven funding – the reasons given are not convincing </w:t>
      </w:r>
    </w:p>
    <w:p w14:paraId="25094CBE" w14:textId="3FF5AC1E" w:rsidR="00CC1F7D" w:rsidRPr="000F4097" w:rsidRDefault="00CC1F7D" w:rsidP="000F4097">
      <w:pPr>
        <w:pStyle w:val="ListParagraph"/>
        <w:numPr>
          <w:ilvl w:val="0"/>
          <w:numId w:val="22"/>
        </w:numPr>
        <w:rPr>
          <w:rFonts w:ascii="Aptos" w:hAnsi="Aptos"/>
          <w:szCs w:val="24"/>
        </w:rPr>
      </w:pPr>
      <w:r w:rsidRPr="000F4097">
        <w:rPr>
          <w:rFonts w:ascii="Aptos" w:hAnsi="Aptos"/>
          <w:szCs w:val="24"/>
        </w:rPr>
        <w:br w:type="page"/>
      </w:r>
    </w:p>
    <w:p w14:paraId="70A16B13" w14:textId="77777777" w:rsidR="000F4097" w:rsidRDefault="000F4097">
      <w:pPr>
        <w:rPr>
          <w:rFonts w:ascii="Aptos" w:hAnsi="Aptos"/>
          <w:szCs w:val="24"/>
        </w:rPr>
      </w:pPr>
    </w:p>
    <w:p w14:paraId="4AAA18D7" w14:textId="7A6E3F42" w:rsidR="00CC1F7D" w:rsidRDefault="00CC1F7D" w:rsidP="00CC1F7D">
      <w:pPr>
        <w:pStyle w:val="Heading1"/>
        <w:rPr>
          <w:rFonts w:ascii="Aptos" w:hAnsi="Aptos" w:cstheme="minorHAnsi"/>
          <w:color w:val="4F81BD" w:themeColor="accent1"/>
          <w:sz w:val="32"/>
          <w:szCs w:val="32"/>
        </w:rPr>
      </w:pPr>
      <w:bookmarkStart w:id="3" w:name="_Toc213838200"/>
      <w:r>
        <w:rPr>
          <w:rFonts w:ascii="Aptos" w:hAnsi="Aptos" w:cstheme="minorHAnsi"/>
          <w:color w:val="4F81BD" w:themeColor="accent1"/>
          <w:sz w:val="32"/>
          <w:szCs w:val="32"/>
        </w:rPr>
        <w:t>Summary of recommendations</w:t>
      </w:r>
      <w:bookmarkEnd w:id="3"/>
      <w:r>
        <w:rPr>
          <w:rFonts w:ascii="Aptos" w:hAnsi="Aptos" w:cstheme="minorHAnsi"/>
          <w:color w:val="4F81BD" w:themeColor="accent1"/>
          <w:sz w:val="32"/>
          <w:szCs w:val="32"/>
        </w:rPr>
        <w:t xml:space="preserve"> </w:t>
      </w:r>
    </w:p>
    <w:p w14:paraId="727DC7DA" w14:textId="5E68E038" w:rsidR="00CC1F7D" w:rsidRDefault="00CC1F7D" w:rsidP="00CC1F7D">
      <w:pPr>
        <w:pStyle w:val="Heading1"/>
        <w:rPr>
          <w:rFonts w:ascii="Aptos" w:hAnsi="Aptos" w:cstheme="minorHAnsi"/>
          <w:color w:val="4F81BD" w:themeColor="accent1"/>
          <w:sz w:val="32"/>
          <w:szCs w:val="32"/>
        </w:rPr>
      </w:pPr>
    </w:p>
    <w:p w14:paraId="786E9F14" w14:textId="1DD85424" w:rsidR="00CC1F7D" w:rsidRPr="007B3620" w:rsidRDefault="00CC1F7D" w:rsidP="00CC1F7D">
      <w:r>
        <w:t>Recommendations on the mass cancellation of courses</w:t>
      </w:r>
      <w:r w:rsidR="000F4097">
        <w:t>:</w:t>
      </w:r>
      <w:r>
        <w:t xml:space="preserve"> </w:t>
      </w:r>
    </w:p>
    <w:p w14:paraId="70D1CAD2" w14:textId="25A8734D" w:rsidR="00CC1F7D" w:rsidRPr="00CC1F7D" w:rsidRDefault="00CC1F7D" w:rsidP="00CC1F7D">
      <w:pPr>
        <w:pStyle w:val="ListParagraph"/>
        <w:numPr>
          <w:ilvl w:val="0"/>
          <w:numId w:val="22"/>
        </w:numPr>
        <w:rPr>
          <w:rFonts w:ascii="Aptos" w:hAnsi="Aptos"/>
        </w:rPr>
      </w:pPr>
      <w:r w:rsidRPr="00CC1F7D">
        <w:rPr>
          <w:rFonts w:ascii="Aptos" w:hAnsi="Aptos"/>
        </w:rPr>
        <w:t xml:space="preserve">Remove division 1AB from the bill. </w:t>
      </w:r>
    </w:p>
    <w:p w14:paraId="7460D306" w14:textId="3D8B0C48" w:rsidR="00172C56" w:rsidRDefault="00172C56" w:rsidP="00172C56">
      <w:pPr>
        <w:pStyle w:val="NormalWeb"/>
        <w:numPr>
          <w:ilvl w:val="0"/>
          <w:numId w:val="22"/>
        </w:numPr>
        <w:rPr>
          <w:rFonts w:ascii="Aptos" w:hAnsi="Aptos"/>
        </w:rPr>
      </w:pPr>
      <w:r w:rsidRPr="00DB5E03">
        <w:rPr>
          <w:rFonts w:ascii="Aptos" w:hAnsi="Aptos"/>
        </w:rPr>
        <w:t xml:space="preserve">If Division 1AB is not removed from the bill entirely, the minister should be required, when exercising cancelling powers on ‘standard of delivery’ grounds, to take into account whether the relevant quality regulations have been adhered to and to consult with the relevant regulator. </w:t>
      </w:r>
    </w:p>
    <w:p w14:paraId="1A6307B7" w14:textId="33E7B977" w:rsidR="00172C56" w:rsidRDefault="00172C56" w:rsidP="00172C56">
      <w:pPr>
        <w:pStyle w:val="NormalWeb"/>
        <w:numPr>
          <w:ilvl w:val="0"/>
          <w:numId w:val="22"/>
        </w:numPr>
        <w:rPr>
          <w:rFonts w:ascii="Aptos" w:hAnsi="Aptos"/>
        </w:rPr>
      </w:pPr>
      <w:r>
        <w:rPr>
          <w:rFonts w:ascii="Aptos" w:hAnsi="Aptos"/>
        </w:rPr>
        <w:t xml:space="preserve">If </w:t>
      </w:r>
      <w:r w:rsidRPr="00DB5E03">
        <w:rPr>
          <w:rFonts w:ascii="Aptos" w:hAnsi="Aptos"/>
        </w:rPr>
        <w:t>division 1AB is not removed entirely,</w:t>
      </w:r>
      <w:r>
        <w:rPr>
          <w:rFonts w:ascii="Aptos" w:hAnsi="Aptos"/>
        </w:rPr>
        <w:t xml:space="preserve"> the power to cancel courses on skills needs grounds should be deleted. </w:t>
      </w:r>
    </w:p>
    <w:p w14:paraId="531F6673" w14:textId="29103EAE" w:rsidR="00172C56" w:rsidRPr="00DB5E03" w:rsidRDefault="00172C56" w:rsidP="00172C56">
      <w:pPr>
        <w:pStyle w:val="NormalWeb"/>
        <w:numPr>
          <w:ilvl w:val="0"/>
          <w:numId w:val="22"/>
        </w:numPr>
        <w:rPr>
          <w:rFonts w:ascii="Aptos" w:hAnsi="Aptos"/>
        </w:rPr>
      </w:pPr>
      <w:r w:rsidRPr="00CC1F7D">
        <w:rPr>
          <w:rFonts w:ascii="Aptos" w:hAnsi="Aptos"/>
        </w:rPr>
        <w:t>If division 1AB is not removed entirely, the public interest should be narrowed down to specific matters</w:t>
      </w:r>
      <w:r w:rsidR="00DF0134">
        <w:rPr>
          <w:rFonts w:ascii="Aptos" w:hAnsi="Aptos"/>
        </w:rPr>
        <w:t>.</w:t>
      </w:r>
    </w:p>
    <w:p w14:paraId="16AABC42" w14:textId="71CF3C31" w:rsidR="00CC1F7D" w:rsidRDefault="00CC1F7D" w:rsidP="00CC1F7D">
      <w:pPr>
        <w:pStyle w:val="NormalWeb"/>
        <w:numPr>
          <w:ilvl w:val="0"/>
          <w:numId w:val="22"/>
        </w:numPr>
        <w:rPr>
          <w:rFonts w:ascii="Aptos" w:hAnsi="Aptos"/>
        </w:rPr>
      </w:pPr>
      <w:r w:rsidRPr="001F6615">
        <w:rPr>
          <w:rFonts w:ascii="Aptos" w:hAnsi="Aptos"/>
        </w:rPr>
        <w:t>If division 1AB is not removed entirely, the education minister should be required to consult with the immigration minister before making migration-related decisions.</w:t>
      </w:r>
    </w:p>
    <w:p w14:paraId="364517B7" w14:textId="7E52F0EF" w:rsidR="000F4097" w:rsidRPr="001F6615" w:rsidRDefault="000F4097" w:rsidP="000F4097">
      <w:pPr>
        <w:pStyle w:val="NormalWeb"/>
        <w:rPr>
          <w:rFonts w:ascii="Aptos" w:hAnsi="Aptos"/>
        </w:rPr>
      </w:pPr>
      <w:r>
        <w:rPr>
          <w:rFonts w:ascii="Aptos" w:hAnsi="Aptos"/>
        </w:rPr>
        <w:t>Recommendations on new higher education providers</w:t>
      </w:r>
    </w:p>
    <w:p w14:paraId="452BD7B4" w14:textId="57801139" w:rsidR="000F4097" w:rsidRDefault="000F4097" w:rsidP="000F4097">
      <w:pPr>
        <w:pStyle w:val="NormalWeb"/>
        <w:numPr>
          <w:ilvl w:val="0"/>
          <w:numId w:val="22"/>
        </w:numPr>
        <w:rPr>
          <w:rFonts w:ascii="Aptos" w:hAnsi="Aptos"/>
        </w:rPr>
      </w:pPr>
      <w:r w:rsidRPr="00DB5E03">
        <w:rPr>
          <w:rFonts w:ascii="Aptos" w:hAnsi="Aptos"/>
        </w:rPr>
        <w:t xml:space="preserve">The government has not established that new higher education providers entering the international education market pose such a </w:t>
      </w:r>
      <w:r w:rsidR="000950D8">
        <w:rPr>
          <w:rFonts w:ascii="Aptos" w:hAnsi="Aptos"/>
        </w:rPr>
        <w:t xml:space="preserve">regulatory </w:t>
      </w:r>
      <w:r w:rsidRPr="00DB5E03">
        <w:rPr>
          <w:rFonts w:ascii="Aptos" w:hAnsi="Aptos"/>
        </w:rPr>
        <w:t xml:space="preserve">risk as to justify a de facto ban. Proposed </w:t>
      </w:r>
      <w:r w:rsidRPr="00DB5E03">
        <w:rPr>
          <w:rFonts w:ascii="Aptos" w:hAnsi="Aptos"/>
          <w:i/>
          <w:iCs/>
        </w:rPr>
        <w:t>ESOS Act 2000</w:t>
      </w:r>
      <w:r w:rsidRPr="00DB5E03">
        <w:rPr>
          <w:rFonts w:ascii="Aptos" w:hAnsi="Aptos"/>
        </w:rPr>
        <w:t xml:space="preserve"> section 11(2) should be removed from the amending bill. </w:t>
      </w:r>
    </w:p>
    <w:p w14:paraId="4073FB97" w14:textId="66D8895A" w:rsidR="00A71FCD" w:rsidRPr="00DB5E03" w:rsidRDefault="00A71FCD" w:rsidP="00A71FCD">
      <w:pPr>
        <w:rPr>
          <w:rFonts w:ascii="Aptos" w:hAnsi="Aptos"/>
          <w:szCs w:val="24"/>
        </w:rPr>
      </w:pPr>
      <w:r>
        <w:rPr>
          <w:rFonts w:ascii="Aptos" w:hAnsi="Aptos"/>
          <w:szCs w:val="24"/>
        </w:rPr>
        <w:t xml:space="preserve">Recommendations on demand driven medical courses </w:t>
      </w:r>
    </w:p>
    <w:p w14:paraId="3C87A294" w14:textId="55C85D0D" w:rsidR="00A71FCD" w:rsidRPr="00DB5E03" w:rsidRDefault="00A71FCD" w:rsidP="00A71FCD">
      <w:pPr>
        <w:pStyle w:val="ListParagraph"/>
        <w:numPr>
          <w:ilvl w:val="0"/>
          <w:numId w:val="22"/>
        </w:numPr>
        <w:rPr>
          <w:rFonts w:ascii="Aptos" w:hAnsi="Aptos"/>
          <w:szCs w:val="24"/>
        </w:rPr>
      </w:pPr>
      <w:r w:rsidRPr="00DB5E03">
        <w:rPr>
          <w:rFonts w:ascii="Aptos" w:hAnsi="Aptos"/>
          <w:szCs w:val="24"/>
        </w:rPr>
        <w:t xml:space="preserve">The medical student course completions cap </w:t>
      </w:r>
      <w:r w:rsidR="000950D8">
        <w:rPr>
          <w:rFonts w:ascii="Aptos" w:hAnsi="Aptos"/>
          <w:szCs w:val="24"/>
        </w:rPr>
        <w:t>should</w:t>
      </w:r>
      <w:r w:rsidRPr="00DB5E03">
        <w:rPr>
          <w:rFonts w:ascii="Aptos" w:hAnsi="Aptos"/>
          <w:szCs w:val="24"/>
        </w:rPr>
        <w:t xml:space="preserve"> be lifted in line with projected Indigenous demand driven plus designated places totals.</w:t>
      </w:r>
    </w:p>
    <w:p w14:paraId="3A74CF9F" w14:textId="02A69F02" w:rsidR="00A71FCD" w:rsidRPr="00DB5E03" w:rsidRDefault="00A71FCD" w:rsidP="00A71FCD">
      <w:pPr>
        <w:pStyle w:val="ListParagraph"/>
        <w:numPr>
          <w:ilvl w:val="0"/>
          <w:numId w:val="22"/>
        </w:numPr>
        <w:rPr>
          <w:rFonts w:ascii="Aptos" w:hAnsi="Aptos"/>
          <w:szCs w:val="24"/>
        </w:rPr>
      </w:pPr>
      <w:r w:rsidRPr="00DB5E03">
        <w:rPr>
          <w:rFonts w:ascii="Aptos" w:hAnsi="Aptos"/>
          <w:szCs w:val="24"/>
        </w:rPr>
        <w:t>That the Commonwealth Grant Scheme Guidelines be amended to support payment of the medical student loading to all Commonwealth supported student medical students.</w:t>
      </w:r>
    </w:p>
    <w:p w14:paraId="2E4DE805" w14:textId="77777777" w:rsidR="00A71FCD" w:rsidRPr="00DB5E03" w:rsidRDefault="00A71FCD" w:rsidP="00A71FCD">
      <w:pPr>
        <w:pStyle w:val="ListParagraph"/>
        <w:numPr>
          <w:ilvl w:val="0"/>
          <w:numId w:val="22"/>
        </w:numPr>
        <w:rPr>
          <w:rFonts w:ascii="Aptos" w:hAnsi="Aptos"/>
          <w:szCs w:val="24"/>
        </w:rPr>
      </w:pPr>
      <w:r w:rsidRPr="00DB5E03">
        <w:rPr>
          <w:rFonts w:ascii="Aptos" w:hAnsi="Aptos"/>
          <w:szCs w:val="24"/>
        </w:rPr>
        <w:t>That universities that end up with fewer Indigenous medical student places than expected be offered revised funding agreements to fully fund all medical students</w:t>
      </w:r>
      <w:r>
        <w:rPr>
          <w:rFonts w:ascii="Aptos" w:hAnsi="Aptos"/>
          <w:szCs w:val="24"/>
        </w:rPr>
        <w:t>,</w:t>
      </w:r>
      <w:r w:rsidRPr="00DB5E03">
        <w:rPr>
          <w:rFonts w:ascii="Aptos" w:hAnsi="Aptos"/>
          <w:szCs w:val="24"/>
        </w:rPr>
        <w:t xml:space="preserve"> up to the number they would have had without this amendment. </w:t>
      </w:r>
    </w:p>
    <w:p w14:paraId="29E139D2" w14:textId="77777777" w:rsidR="00A71FCD" w:rsidRPr="00DB5E03" w:rsidRDefault="00A71FCD" w:rsidP="00A71FCD">
      <w:pPr>
        <w:pStyle w:val="NormalWeb"/>
        <w:ind w:left="1080"/>
        <w:rPr>
          <w:rFonts w:ascii="Aptos" w:hAnsi="Aptos"/>
        </w:rPr>
      </w:pPr>
    </w:p>
    <w:p w14:paraId="33236376" w14:textId="216633C8" w:rsidR="000F4097" w:rsidRDefault="000F4097">
      <w:pPr>
        <w:rPr>
          <w:rFonts w:ascii="Aptos" w:hAnsi="Aptos"/>
          <w:szCs w:val="24"/>
        </w:rPr>
      </w:pPr>
      <w:bookmarkStart w:id="4" w:name="2._Reasons_why_the_Job-Ready_Graduates_b"/>
      <w:bookmarkEnd w:id="4"/>
      <w:r>
        <w:rPr>
          <w:rFonts w:ascii="Aptos" w:hAnsi="Aptos"/>
          <w:szCs w:val="24"/>
        </w:rPr>
        <w:br w:type="page"/>
      </w:r>
    </w:p>
    <w:p w14:paraId="68C3D9A1" w14:textId="397DAA1C" w:rsidR="00043A5B" w:rsidRPr="00DB5E03" w:rsidRDefault="000D2519" w:rsidP="00944D95">
      <w:pPr>
        <w:pStyle w:val="Heading1"/>
        <w:numPr>
          <w:ilvl w:val="0"/>
          <w:numId w:val="7"/>
        </w:numPr>
        <w:ind w:left="357" w:hanging="357"/>
        <w:rPr>
          <w:rFonts w:ascii="Aptos" w:hAnsi="Aptos" w:cstheme="minorHAnsi"/>
          <w:sz w:val="32"/>
          <w:szCs w:val="32"/>
        </w:rPr>
      </w:pPr>
      <w:bookmarkStart w:id="5" w:name="_Toc213838201"/>
      <w:r w:rsidRPr="00DB5E03">
        <w:rPr>
          <w:rFonts w:ascii="Aptos" w:hAnsi="Aptos" w:cstheme="minorHAnsi"/>
          <w:color w:val="4F81BD" w:themeColor="accent1"/>
          <w:sz w:val="32"/>
          <w:szCs w:val="32"/>
        </w:rPr>
        <w:lastRenderedPageBreak/>
        <w:t>The power to cancel ‘classes of courses’</w:t>
      </w:r>
      <w:bookmarkEnd w:id="5"/>
      <w:r w:rsidRPr="00DB5E03">
        <w:rPr>
          <w:rFonts w:ascii="Aptos" w:hAnsi="Aptos" w:cstheme="minorHAnsi"/>
          <w:color w:val="4F81BD" w:themeColor="accent1"/>
          <w:sz w:val="32"/>
          <w:szCs w:val="32"/>
        </w:rPr>
        <w:t xml:space="preserve"> </w:t>
      </w:r>
    </w:p>
    <w:p w14:paraId="50981B14" w14:textId="01B221F9" w:rsidR="00BD5675" w:rsidRPr="00DB5E03" w:rsidRDefault="00DF0134" w:rsidP="00D76C71">
      <w:pPr>
        <w:pStyle w:val="NormalWeb"/>
        <w:rPr>
          <w:rFonts w:ascii="Aptos" w:hAnsi="Aptos"/>
        </w:rPr>
      </w:pPr>
      <w:r>
        <w:rPr>
          <w:rFonts w:ascii="Aptos" w:hAnsi="Aptos"/>
        </w:rPr>
        <w:t>Part 7 of</w:t>
      </w:r>
      <w:r w:rsidR="00DB5E03">
        <w:rPr>
          <w:rFonts w:ascii="Aptos" w:hAnsi="Aptos"/>
        </w:rPr>
        <w:t xml:space="preserve"> the </w:t>
      </w:r>
      <w:r w:rsidR="00DB5E03">
        <w:rPr>
          <w:rFonts w:ascii="Aptos" w:hAnsi="Aptos"/>
          <w:i/>
          <w:iCs/>
        </w:rPr>
        <w:t xml:space="preserve">Education Legislation (Integrity and Other Measures) Bill 2025 </w:t>
      </w:r>
      <w:r w:rsidR="00D76C71" w:rsidRPr="00DB5E03">
        <w:rPr>
          <w:rFonts w:ascii="Aptos" w:hAnsi="Aptos"/>
        </w:rPr>
        <w:t xml:space="preserve">would give the minister power to cancel the ESOS registration of ‘classes of </w:t>
      </w:r>
      <w:proofErr w:type="gramStart"/>
      <w:r w:rsidR="00D76C71" w:rsidRPr="00DB5E03">
        <w:rPr>
          <w:rFonts w:ascii="Aptos" w:hAnsi="Aptos"/>
        </w:rPr>
        <w:t>courses’</w:t>
      </w:r>
      <w:proofErr w:type="gramEnd"/>
      <w:r w:rsidR="00D76C71" w:rsidRPr="00DB5E03">
        <w:rPr>
          <w:rFonts w:ascii="Aptos" w:hAnsi="Aptos"/>
        </w:rPr>
        <w:t xml:space="preserve">. </w:t>
      </w:r>
      <w:r w:rsidR="00BD5675" w:rsidRPr="00DB5E03">
        <w:rPr>
          <w:rFonts w:ascii="Aptos" w:hAnsi="Aptos"/>
        </w:rPr>
        <w:t xml:space="preserve">It </w:t>
      </w:r>
      <w:r w:rsidR="009268A3">
        <w:rPr>
          <w:rFonts w:ascii="Aptos" w:hAnsi="Aptos"/>
        </w:rPr>
        <w:t>would</w:t>
      </w:r>
      <w:r w:rsidR="00BD5675" w:rsidRPr="00DB5E03">
        <w:rPr>
          <w:rFonts w:ascii="Aptos" w:hAnsi="Aptos"/>
        </w:rPr>
        <w:t xml:space="preserve"> sideline existing rule-based and process-driven powers to address malpractice in the international education secto</w:t>
      </w:r>
      <w:r w:rsidR="000504D1">
        <w:rPr>
          <w:rFonts w:ascii="Aptos" w:hAnsi="Aptos"/>
        </w:rPr>
        <w:t>r. I</w:t>
      </w:r>
      <w:r w:rsidR="000950D8">
        <w:rPr>
          <w:rFonts w:ascii="Aptos" w:hAnsi="Aptos"/>
        </w:rPr>
        <w:t>t</w:t>
      </w:r>
      <w:r w:rsidR="000504D1">
        <w:rPr>
          <w:rFonts w:ascii="Aptos" w:hAnsi="Aptos"/>
        </w:rPr>
        <w:t xml:space="preserve"> would replace them with </w:t>
      </w:r>
      <w:r w:rsidR="00BD5675" w:rsidRPr="00DB5E03">
        <w:rPr>
          <w:rFonts w:ascii="Aptos" w:hAnsi="Aptos"/>
        </w:rPr>
        <w:t xml:space="preserve">a personal </w:t>
      </w:r>
      <w:r w:rsidR="000504D1">
        <w:rPr>
          <w:rFonts w:ascii="Aptos" w:hAnsi="Aptos"/>
        </w:rPr>
        <w:t xml:space="preserve">ministerial </w:t>
      </w:r>
      <w:r w:rsidR="00BD5675" w:rsidRPr="00DB5E03">
        <w:rPr>
          <w:rFonts w:ascii="Aptos" w:hAnsi="Aptos"/>
        </w:rPr>
        <w:t xml:space="preserve">power to mass-cancel courses on vague grounds. </w:t>
      </w:r>
      <w:r w:rsidR="00B37413" w:rsidRPr="00DB5E03">
        <w:rPr>
          <w:rFonts w:ascii="Aptos" w:hAnsi="Aptos"/>
        </w:rPr>
        <w:t>So</w:t>
      </w:r>
      <w:r w:rsidR="00BD5675" w:rsidRPr="00DB5E03">
        <w:rPr>
          <w:rFonts w:ascii="Aptos" w:hAnsi="Aptos"/>
        </w:rPr>
        <w:t>me constraints are placed on this power</w:t>
      </w:r>
      <w:r w:rsidR="000950D8">
        <w:rPr>
          <w:rFonts w:ascii="Aptos" w:hAnsi="Aptos"/>
        </w:rPr>
        <w:t xml:space="preserve">, including its reliance </w:t>
      </w:r>
      <w:r w:rsidR="001B1045" w:rsidRPr="00DB5E03">
        <w:rPr>
          <w:rFonts w:ascii="Aptos" w:hAnsi="Aptos"/>
        </w:rPr>
        <w:t>on</w:t>
      </w:r>
      <w:r w:rsidR="00B37413" w:rsidRPr="00DB5E03">
        <w:rPr>
          <w:rFonts w:ascii="Aptos" w:hAnsi="Aptos"/>
        </w:rPr>
        <w:t xml:space="preserve"> a disallowable legislative instrument.  Bu</w:t>
      </w:r>
      <w:r w:rsidR="00383A12" w:rsidRPr="00DB5E03">
        <w:rPr>
          <w:rFonts w:ascii="Aptos" w:hAnsi="Aptos"/>
        </w:rPr>
        <w:t>t</w:t>
      </w:r>
      <w:r w:rsidR="00B37413" w:rsidRPr="00DB5E03">
        <w:rPr>
          <w:rFonts w:ascii="Aptos" w:hAnsi="Aptos"/>
        </w:rPr>
        <w:t xml:space="preserve"> the </w:t>
      </w:r>
      <w:r w:rsidR="00BD5675" w:rsidRPr="00DB5E03">
        <w:rPr>
          <w:rFonts w:ascii="Aptos" w:hAnsi="Aptos"/>
        </w:rPr>
        <w:t xml:space="preserve">style is Trumpian – an attempt to </w:t>
      </w:r>
      <w:r w:rsidRPr="00DB5E03">
        <w:rPr>
          <w:rFonts w:ascii="Aptos" w:hAnsi="Aptos"/>
        </w:rPr>
        <w:t>by-pas</w:t>
      </w:r>
      <w:r>
        <w:rPr>
          <w:rFonts w:ascii="Aptos" w:hAnsi="Aptos"/>
        </w:rPr>
        <w:t>s</w:t>
      </w:r>
      <w:r w:rsidRPr="00DB5E03">
        <w:rPr>
          <w:rFonts w:ascii="Aptos" w:hAnsi="Aptos"/>
        </w:rPr>
        <w:t xml:space="preserve"> normal procedures </w:t>
      </w:r>
      <w:r>
        <w:rPr>
          <w:rFonts w:ascii="Aptos" w:hAnsi="Aptos"/>
        </w:rPr>
        <w:t xml:space="preserve">and </w:t>
      </w:r>
      <w:r w:rsidR="00BD5675" w:rsidRPr="00DB5E03">
        <w:rPr>
          <w:rFonts w:ascii="Aptos" w:hAnsi="Aptos"/>
        </w:rPr>
        <w:t>rule by executive order</w:t>
      </w:r>
      <w:r>
        <w:rPr>
          <w:rFonts w:ascii="Aptos" w:hAnsi="Aptos"/>
        </w:rPr>
        <w:t>.</w:t>
      </w:r>
    </w:p>
    <w:p w14:paraId="1525A3B1" w14:textId="34D2EB3C" w:rsidR="008E1017" w:rsidRPr="00DB5E03" w:rsidRDefault="000504D1" w:rsidP="00D76C71">
      <w:pPr>
        <w:pStyle w:val="NormalWeb"/>
        <w:rPr>
          <w:rFonts w:ascii="Aptos" w:hAnsi="Aptos"/>
        </w:rPr>
      </w:pPr>
      <w:r>
        <w:rPr>
          <w:rFonts w:ascii="Aptos" w:hAnsi="Aptos"/>
        </w:rPr>
        <w:t>U</w:t>
      </w:r>
      <w:r w:rsidR="00383A12" w:rsidRPr="00DB5E03">
        <w:rPr>
          <w:rFonts w:ascii="Aptos" w:hAnsi="Aptos"/>
        </w:rPr>
        <w:t xml:space="preserve">nless otherwise stated </w:t>
      </w:r>
      <w:r>
        <w:rPr>
          <w:rFonts w:ascii="Aptos" w:hAnsi="Aptos"/>
        </w:rPr>
        <w:t xml:space="preserve">all </w:t>
      </w:r>
      <w:r w:rsidR="008E1017" w:rsidRPr="00DB5E03">
        <w:rPr>
          <w:rFonts w:ascii="Aptos" w:hAnsi="Aptos"/>
        </w:rPr>
        <w:t>section number</w:t>
      </w:r>
      <w:r>
        <w:rPr>
          <w:rFonts w:ascii="Aptos" w:hAnsi="Aptos"/>
        </w:rPr>
        <w:t xml:space="preserve"> references are to </w:t>
      </w:r>
      <w:r w:rsidR="008E1017" w:rsidRPr="00DB5E03">
        <w:rPr>
          <w:rFonts w:ascii="Aptos" w:hAnsi="Aptos"/>
        </w:rPr>
        <w:t xml:space="preserve">the </w:t>
      </w:r>
      <w:r w:rsidR="008E1017" w:rsidRPr="00DB5E03">
        <w:rPr>
          <w:rFonts w:ascii="Aptos" w:hAnsi="Aptos"/>
          <w:i/>
          <w:iCs/>
        </w:rPr>
        <w:t xml:space="preserve">Education Services for Overseas Students Act 2000 </w:t>
      </w:r>
      <w:r w:rsidR="008E1017" w:rsidRPr="00DB5E03">
        <w:rPr>
          <w:rFonts w:ascii="Aptos" w:hAnsi="Aptos"/>
        </w:rPr>
        <w:t xml:space="preserve">if the bill passes or to the Act when </w:t>
      </w:r>
      <w:r>
        <w:rPr>
          <w:rFonts w:ascii="Aptos" w:hAnsi="Aptos"/>
        </w:rPr>
        <w:t>referring to</w:t>
      </w:r>
      <w:r w:rsidR="008E1017" w:rsidRPr="00DB5E03">
        <w:rPr>
          <w:rFonts w:ascii="Aptos" w:hAnsi="Aptos"/>
        </w:rPr>
        <w:t xml:space="preserve"> the current system. </w:t>
      </w:r>
      <w:r w:rsidR="00DF0134">
        <w:rPr>
          <w:rFonts w:ascii="Aptos" w:hAnsi="Aptos"/>
        </w:rPr>
        <w:t>The key amendments discussed in this chapter would, if passed, form Division 1AB of the Act.</w:t>
      </w:r>
    </w:p>
    <w:p w14:paraId="2B32A8FF" w14:textId="1BB95AF1" w:rsidR="008E1017" w:rsidRPr="00DB5E03" w:rsidRDefault="008E1017" w:rsidP="00DE1EC3">
      <w:pPr>
        <w:pStyle w:val="Heading2"/>
        <w:rPr>
          <w:rFonts w:ascii="Aptos" w:hAnsi="Aptos"/>
          <w:sz w:val="28"/>
          <w:szCs w:val="28"/>
        </w:rPr>
      </w:pPr>
      <w:bookmarkStart w:id="6" w:name="_Toc213838202"/>
      <w:r w:rsidRPr="00DB5E03">
        <w:rPr>
          <w:rFonts w:ascii="Aptos" w:hAnsi="Aptos"/>
          <w:sz w:val="28"/>
          <w:szCs w:val="28"/>
        </w:rPr>
        <w:t xml:space="preserve">What is a ‘class of </w:t>
      </w:r>
      <w:proofErr w:type="gramStart"/>
      <w:r w:rsidRPr="00DB5E03">
        <w:rPr>
          <w:rFonts w:ascii="Aptos" w:hAnsi="Aptos"/>
          <w:sz w:val="28"/>
          <w:szCs w:val="28"/>
        </w:rPr>
        <w:t>courses’</w:t>
      </w:r>
      <w:proofErr w:type="gramEnd"/>
      <w:r w:rsidRPr="00DB5E03">
        <w:rPr>
          <w:rFonts w:ascii="Aptos" w:hAnsi="Aptos"/>
          <w:sz w:val="28"/>
          <w:szCs w:val="28"/>
        </w:rPr>
        <w:t>?</w:t>
      </w:r>
      <w:bookmarkEnd w:id="6"/>
    </w:p>
    <w:p w14:paraId="41EE6A72" w14:textId="77777777" w:rsidR="008E1017" w:rsidRPr="00DB5E03" w:rsidRDefault="008E1017" w:rsidP="008E1017">
      <w:pPr>
        <w:pStyle w:val="NormalWeb"/>
        <w:rPr>
          <w:rFonts w:ascii="Aptos" w:hAnsi="Aptos"/>
        </w:rPr>
      </w:pPr>
      <w:r w:rsidRPr="00DB5E03">
        <w:rPr>
          <w:rFonts w:ascii="Aptos" w:hAnsi="Aptos"/>
        </w:rPr>
        <w:t>According to section 96</w:t>
      </w:r>
      <w:proofErr w:type="gramStart"/>
      <w:r w:rsidRPr="00DB5E03">
        <w:rPr>
          <w:rFonts w:ascii="Aptos" w:hAnsi="Aptos"/>
        </w:rPr>
        <w:t>B(</w:t>
      </w:r>
      <w:proofErr w:type="gramEnd"/>
      <w:r w:rsidRPr="00DB5E03">
        <w:rPr>
          <w:rFonts w:ascii="Aptos" w:hAnsi="Aptos"/>
        </w:rPr>
        <w:t>4) a class of courses can be specified by reference to a) the kind of course; b) the kind of provider; c) the location of the course, or d) any other circumstances applying in relation to the course.</w:t>
      </w:r>
    </w:p>
    <w:p w14:paraId="72766D34" w14:textId="3C234AFB" w:rsidR="008E1017" w:rsidRPr="00DB5E03" w:rsidRDefault="008E1017" w:rsidP="008E1017">
      <w:pPr>
        <w:pStyle w:val="NormalWeb"/>
        <w:rPr>
          <w:rFonts w:ascii="Aptos" w:hAnsi="Aptos"/>
        </w:rPr>
      </w:pPr>
      <w:r w:rsidRPr="00DB5E03">
        <w:rPr>
          <w:rFonts w:ascii="Aptos" w:hAnsi="Aptos"/>
        </w:rPr>
        <w:t>The breadth of 96</w:t>
      </w:r>
      <w:proofErr w:type="gramStart"/>
      <w:r w:rsidRPr="00DB5E03">
        <w:rPr>
          <w:rFonts w:ascii="Aptos" w:hAnsi="Aptos"/>
        </w:rPr>
        <w:t>B(</w:t>
      </w:r>
      <w:proofErr w:type="gramEnd"/>
      <w:r w:rsidRPr="00DB5E03">
        <w:rPr>
          <w:rFonts w:ascii="Aptos" w:hAnsi="Aptos"/>
        </w:rPr>
        <w:t xml:space="preserve">4) is limited by section 96B(1) which creates three broad rationales for cancellation. These are standard of delivery, skills </w:t>
      </w:r>
      <w:proofErr w:type="gramStart"/>
      <w:r w:rsidRPr="00DB5E03">
        <w:rPr>
          <w:rFonts w:ascii="Aptos" w:hAnsi="Aptos"/>
        </w:rPr>
        <w:t>needs</w:t>
      </w:r>
      <w:proofErr w:type="gramEnd"/>
      <w:r w:rsidRPr="00DB5E03">
        <w:rPr>
          <w:rFonts w:ascii="Aptos" w:hAnsi="Aptos"/>
        </w:rPr>
        <w:t>, and the public interest.</w:t>
      </w:r>
    </w:p>
    <w:p w14:paraId="24663CF4" w14:textId="77777777" w:rsidR="008E1017" w:rsidRPr="00DB5E03" w:rsidRDefault="008E1017" w:rsidP="00DE1EC3">
      <w:pPr>
        <w:pStyle w:val="Heading2"/>
        <w:rPr>
          <w:rFonts w:ascii="Aptos" w:hAnsi="Aptos"/>
          <w:sz w:val="28"/>
          <w:szCs w:val="28"/>
        </w:rPr>
      </w:pPr>
      <w:bookmarkStart w:id="7" w:name="_Toc213838203"/>
      <w:r w:rsidRPr="00DB5E03">
        <w:rPr>
          <w:rStyle w:val="Emphasis"/>
          <w:rFonts w:ascii="Aptos" w:hAnsi="Aptos"/>
          <w:sz w:val="28"/>
          <w:szCs w:val="28"/>
        </w:rPr>
        <w:t>Standard of delivery</w:t>
      </w:r>
      <w:bookmarkEnd w:id="7"/>
      <w:r w:rsidRPr="00DB5E03">
        <w:rPr>
          <w:rFonts w:ascii="Aptos" w:hAnsi="Aptos"/>
          <w:sz w:val="28"/>
          <w:szCs w:val="28"/>
        </w:rPr>
        <w:t xml:space="preserve"> </w:t>
      </w:r>
    </w:p>
    <w:p w14:paraId="013D1F42" w14:textId="68E28064" w:rsidR="008E1017" w:rsidRPr="00DB5E03" w:rsidRDefault="008E1017" w:rsidP="008E1017">
      <w:pPr>
        <w:pStyle w:val="NormalWeb"/>
        <w:rPr>
          <w:rFonts w:ascii="Aptos" w:hAnsi="Aptos"/>
        </w:rPr>
      </w:pPr>
      <w:r w:rsidRPr="00DB5E03">
        <w:rPr>
          <w:rFonts w:ascii="Aptos" w:hAnsi="Aptos"/>
        </w:rPr>
        <w:t xml:space="preserve">Under section 96B(1)(a) there must be 'systemic' issues with the standard of delivery, which sets an imprecise but fairly high threshold for action. </w:t>
      </w:r>
      <w:r w:rsidR="006E4D55" w:rsidRPr="00DB5E03">
        <w:rPr>
          <w:rFonts w:ascii="Aptos" w:hAnsi="Aptos"/>
        </w:rPr>
        <w:t xml:space="preserve">The minister may seek to meet this threshold by narrowing the class of courses by location, kind of provider, or </w:t>
      </w:r>
      <w:proofErr w:type="gramStart"/>
      <w:r w:rsidR="006E4D55" w:rsidRPr="00DB5E03">
        <w:rPr>
          <w:rFonts w:ascii="Aptos" w:hAnsi="Aptos"/>
        </w:rPr>
        <w:t>other</w:t>
      </w:r>
      <w:proofErr w:type="gramEnd"/>
      <w:r w:rsidR="006E4D55" w:rsidRPr="00DB5E03">
        <w:rPr>
          <w:rFonts w:ascii="Aptos" w:hAnsi="Aptos"/>
        </w:rPr>
        <w:t xml:space="preserve"> </w:t>
      </w:r>
      <w:r w:rsidR="00DC62DF" w:rsidRPr="00DB5E03">
        <w:rPr>
          <w:rFonts w:ascii="Aptos" w:hAnsi="Aptos"/>
        </w:rPr>
        <w:t>c</w:t>
      </w:r>
      <w:r w:rsidR="006E4D55" w:rsidRPr="00DB5E03">
        <w:rPr>
          <w:rFonts w:ascii="Aptos" w:hAnsi="Aptos"/>
        </w:rPr>
        <w:t xml:space="preserve">haracteristic. </w:t>
      </w:r>
    </w:p>
    <w:p w14:paraId="05553BDA" w14:textId="6BBBA6E4" w:rsidR="008E1017" w:rsidRPr="00DB5E03" w:rsidRDefault="008E1017" w:rsidP="008E1017">
      <w:pPr>
        <w:pStyle w:val="NormalWeb"/>
        <w:rPr>
          <w:rFonts w:ascii="Aptos" w:hAnsi="Aptos"/>
        </w:rPr>
      </w:pPr>
      <w:r w:rsidRPr="00DB5E03">
        <w:rPr>
          <w:rFonts w:ascii="Aptos" w:hAnsi="Aptos"/>
        </w:rPr>
        <w:t>Section 96</w:t>
      </w:r>
      <w:proofErr w:type="gramStart"/>
      <w:r w:rsidRPr="00DB5E03">
        <w:rPr>
          <w:rFonts w:ascii="Aptos" w:hAnsi="Aptos"/>
        </w:rPr>
        <w:t>B(</w:t>
      </w:r>
      <w:proofErr w:type="gramEnd"/>
      <w:r w:rsidRPr="00DB5E03">
        <w:rPr>
          <w:rFonts w:ascii="Aptos" w:hAnsi="Aptos"/>
        </w:rPr>
        <w:t xml:space="preserve">2), which sets out matters that the minister 'may have regard to', gives more specific examples that could be proxies for standard of delivery.  These include completion rates and course transfers. But the grounds are not limited to the examples given: section </w:t>
      </w:r>
      <w:r w:rsidR="00D275CE" w:rsidRPr="00DB5E03">
        <w:rPr>
          <w:rFonts w:ascii="Aptos" w:hAnsi="Aptos"/>
        </w:rPr>
        <w:t>96</w:t>
      </w:r>
      <w:proofErr w:type="gramStart"/>
      <w:r w:rsidR="00D275CE" w:rsidRPr="00DB5E03">
        <w:rPr>
          <w:rFonts w:ascii="Aptos" w:hAnsi="Aptos"/>
        </w:rPr>
        <w:t>B(</w:t>
      </w:r>
      <w:proofErr w:type="gramEnd"/>
      <w:r w:rsidR="00D275CE" w:rsidRPr="00DB5E03">
        <w:rPr>
          <w:rFonts w:ascii="Aptos" w:hAnsi="Aptos"/>
        </w:rPr>
        <w:t>3).</w:t>
      </w:r>
    </w:p>
    <w:p w14:paraId="18FE6C5F" w14:textId="3B7EE16F" w:rsidR="00D275CE" w:rsidRPr="00DB5E03" w:rsidRDefault="00D275CE" w:rsidP="008E1017">
      <w:pPr>
        <w:pStyle w:val="NormalWeb"/>
        <w:rPr>
          <w:rFonts w:ascii="Aptos" w:hAnsi="Aptos"/>
        </w:rPr>
      </w:pPr>
      <w:r w:rsidRPr="00DB5E03">
        <w:rPr>
          <w:rFonts w:ascii="Aptos" w:hAnsi="Aptos"/>
        </w:rPr>
        <w:t>What is missing from what the minister may have regard to</w:t>
      </w:r>
      <w:r w:rsidR="000504D1">
        <w:rPr>
          <w:rFonts w:ascii="Aptos" w:hAnsi="Aptos"/>
        </w:rPr>
        <w:t>, when</w:t>
      </w:r>
      <w:r w:rsidRPr="00DB5E03">
        <w:rPr>
          <w:rFonts w:ascii="Aptos" w:hAnsi="Aptos"/>
        </w:rPr>
        <w:t xml:space="preserve"> deciding on </w:t>
      </w:r>
      <w:r w:rsidR="000504D1">
        <w:rPr>
          <w:rFonts w:ascii="Aptos" w:hAnsi="Aptos"/>
        </w:rPr>
        <w:t xml:space="preserve">a </w:t>
      </w:r>
      <w:r w:rsidR="00B82EEA" w:rsidRPr="00DB5E03">
        <w:rPr>
          <w:rFonts w:ascii="Aptos" w:hAnsi="Aptos"/>
        </w:rPr>
        <w:t>standard of delivery</w:t>
      </w:r>
      <w:r w:rsidR="000504D1">
        <w:rPr>
          <w:rFonts w:ascii="Aptos" w:hAnsi="Aptos"/>
        </w:rPr>
        <w:t xml:space="preserve"> matter,</w:t>
      </w:r>
      <w:r w:rsidRPr="00DB5E03">
        <w:rPr>
          <w:rFonts w:ascii="Aptos" w:hAnsi="Aptos"/>
        </w:rPr>
        <w:t xml:space="preserve"> is more informative than what is mentioned. There is no mention of the higher education Threshold Standards administered by TEQSA</w:t>
      </w:r>
      <w:r w:rsidR="00D50743" w:rsidRPr="00DB5E03">
        <w:rPr>
          <w:rFonts w:ascii="Aptos" w:hAnsi="Aptos"/>
        </w:rPr>
        <w:t xml:space="preserve"> or the Outcome Standards administered by ASQA. </w:t>
      </w:r>
    </w:p>
    <w:p w14:paraId="540DB5E0" w14:textId="43EB7084" w:rsidR="008E1017" w:rsidRPr="00DB5E03" w:rsidRDefault="00522BC6" w:rsidP="008E1017">
      <w:pPr>
        <w:pStyle w:val="NormalWeb"/>
        <w:rPr>
          <w:rFonts w:ascii="Aptos" w:hAnsi="Aptos"/>
        </w:rPr>
      </w:pPr>
      <w:r w:rsidRPr="00DB5E03">
        <w:rPr>
          <w:rFonts w:ascii="Aptos" w:hAnsi="Aptos"/>
        </w:rPr>
        <w:t>What is also missing – and this is a</w:t>
      </w:r>
      <w:r w:rsidR="008E1017" w:rsidRPr="00DB5E03">
        <w:rPr>
          <w:rFonts w:ascii="Aptos" w:hAnsi="Aptos"/>
        </w:rPr>
        <w:t xml:space="preserve"> key difference between this bill and the equivalent provisions in last year's </w:t>
      </w:r>
      <w:r w:rsidR="00DB5E03">
        <w:rPr>
          <w:rFonts w:ascii="Aptos" w:hAnsi="Aptos"/>
          <w:i/>
          <w:iCs/>
        </w:rPr>
        <w:t>Education Services for Overseas Students Amendment (Quality and Integrity) Bill 2024</w:t>
      </w:r>
      <w:r w:rsidR="008E1017" w:rsidRPr="00DB5E03">
        <w:rPr>
          <w:rFonts w:ascii="Aptos" w:hAnsi="Aptos"/>
        </w:rPr>
        <w:t xml:space="preserve"> </w:t>
      </w:r>
      <w:r w:rsidRPr="00DB5E03">
        <w:rPr>
          <w:rFonts w:ascii="Aptos" w:hAnsi="Aptos"/>
        </w:rPr>
        <w:t xml:space="preserve">– </w:t>
      </w:r>
      <w:r w:rsidR="008E1017" w:rsidRPr="00DB5E03">
        <w:rPr>
          <w:rFonts w:ascii="Aptos" w:hAnsi="Aptos"/>
        </w:rPr>
        <w:t xml:space="preserve">is that the minister no longer must consult TEQSA or ASQA. Instead of specifically naming these regulators the minister must consult 'such persons or entities' as 'the minister considers appropriate' from a list in a legislative instrument that the minister </w:t>
      </w:r>
      <w:r w:rsidR="008E1017" w:rsidRPr="00DB5E03">
        <w:rPr>
          <w:rFonts w:ascii="Aptos" w:hAnsi="Aptos"/>
        </w:rPr>
        <w:lastRenderedPageBreak/>
        <w:t>makes: section 96</w:t>
      </w:r>
      <w:proofErr w:type="gramStart"/>
      <w:r w:rsidR="008E1017" w:rsidRPr="00DB5E03">
        <w:rPr>
          <w:rFonts w:ascii="Aptos" w:hAnsi="Aptos"/>
        </w:rPr>
        <w:t>B(</w:t>
      </w:r>
      <w:proofErr w:type="gramEnd"/>
      <w:r w:rsidR="008E1017" w:rsidRPr="00DB5E03">
        <w:rPr>
          <w:rFonts w:ascii="Aptos" w:hAnsi="Aptos"/>
        </w:rPr>
        <w:t xml:space="preserve">6)-(8). </w:t>
      </w:r>
      <w:r w:rsidR="001F6615">
        <w:rPr>
          <w:rFonts w:ascii="Aptos" w:hAnsi="Aptos"/>
        </w:rPr>
        <w:t>The only mandated consultation is with the vocational education minister in the case of VET courses, who must agree to any cancellation: section 96</w:t>
      </w:r>
      <w:proofErr w:type="gramStart"/>
      <w:r w:rsidR="001F6615">
        <w:rPr>
          <w:rFonts w:ascii="Aptos" w:hAnsi="Aptos"/>
        </w:rPr>
        <w:t>B(</w:t>
      </w:r>
      <w:proofErr w:type="gramEnd"/>
      <w:r w:rsidR="001F6615">
        <w:rPr>
          <w:rFonts w:ascii="Aptos" w:hAnsi="Aptos"/>
        </w:rPr>
        <w:t>9).</w:t>
      </w:r>
    </w:p>
    <w:p w14:paraId="7F1F3C89" w14:textId="0CD241D1" w:rsidR="00522BC6" w:rsidRPr="00DB5E03" w:rsidRDefault="00DE1EC3" w:rsidP="008E1017">
      <w:pPr>
        <w:pStyle w:val="NormalWeb"/>
        <w:rPr>
          <w:rFonts w:ascii="Aptos" w:hAnsi="Aptos"/>
        </w:rPr>
      </w:pPr>
      <w:r w:rsidRPr="00DB5E03">
        <w:rPr>
          <w:rFonts w:ascii="Aptos" w:hAnsi="Aptos"/>
        </w:rPr>
        <w:t>Under the revised version of the bill,</w:t>
      </w:r>
      <w:r w:rsidR="00522BC6" w:rsidRPr="00DB5E03">
        <w:rPr>
          <w:rFonts w:ascii="Aptos" w:hAnsi="Aptos"/>
        </w:rPr>
        <w:t xml:space="preserve"> the minister could choose to cancel courses on quality grounds without any reference to either the legal quality standards or the quality regulators. This replaces the quality regime with a personal opinion. </w:t>
      </w:r>
    </w:p>
    <w:p w14:paraId="2D073223" w14:textId="21DC4820" w:rsidR="008E1017" w:rsidRPr="00DB5E03" w:rsidRDefault="008E1017" w:rsidP="008E1017">
      <w:pPr>
        <w:pStyle w:val="NormalWeb"/>
        <w:rPr>
          <w:rFonts w:ascii="Aptos" w:hAnsi="Aptos"/>
        </w:rPr>
      </w:pPr>
      <w:r w:rsidRPr="00DB5E03">
        <w:rPr>
          <w:rFonts w:ascii="Aptos" w:hAnsi="Aptos"/>
        </w:rPr>
        <w:t xml:space="preserve">The </w:t>
      </w:r>
      <w:r w:rsidR="00522BC6" w:rsidRPr="00DB5E03">
        <w:rPr>
          <w:rFonts w:ascii="Aptos" w:hAnsi="Aptos"/>
        </w:rPr>
        <w:t xml:space="preserve">bill’s </w:t>
      </w:r>
      <w:r w:rsidRPr="00DB5E03">
        <w:rPr>
          <w:rFonts w:ascii="Aptos" w:hAnsi="Aptos"/>
        </w:rPr>
        <w:t xml:space="preserve">explanatory memorandum </w:t>
      </w:r>
      <w:r w:rsidR="00522BC6" w:rsidRPr="00DB5E03">
        <w:rPr>
          <w:rFonts w:ascii="Aptos" w:hAnsi="Aptos"/>
        </w:rPr>
        <w:t xml:space="preserve">on consultations </w:t>
      </w:r>
      <w:r w:rsidRPr="00DB5E03">
        <w:rPr>
          <w:rFonts w:ascii="Aptos" w:hAnsi="Aptos"/>
        </w:rPr>
        <w:t xml:space="preserve">says that </w:t>
      </w:r>
      <w:r w:rsidR="00DE1EC3" w:rsidRPr="00DB5E03">
        <w:rPr>
          <w:rFonts w:ascii="Aptos" w:hAnsi="Aptos"/>
        </w:rPr>
        <w:t xml:space="preserve">not specifying consultation requirements in advance </w:t>
      </w:r>
      <w:r w:rsidRPr="00DB5E03">
        <w:rPr>
          <w:rFonts w:ascii="Aptos" w:hAnsi="Aptos"/>
        </w:rPr>
        <w:t>'allows the required consultation to be flexible and respond to emerging risks</w:t>
      </w:r>
      <w:r w:rsidR="00DE1EC3" w:rsidRPr="00DB5E03">
        <w:rPr>
          <w:rFonts w:ascii="Aptos" w:hAnsi="Aptos"/>
        </w:rPr>
        <w:t>’</w:t>
      </w:r>
      <w:r w:rsidRPr="00DB5E03">
        <w:rPr>
          <w:rFonts w:ascii="Aptos" w:hAnsi="Aptos"/>
        </w:rPr>
        <w:t xml:space="preserve"> </w:t>
      </w:r>
      <w:r w:rsidR="00DE1EC3" w:rsidRPr="00DB5E03">
        <w:rPr>
          <w:rFonts w:ascii="Aptos" w:hAnsi="Aptos"/>
        </w:rPr>
        <w:t>(</w:t>
      </w:r>
      <w:r w:rsidRPr="00DB5E03">
        <w:rPr>
          <w:rFonts w:ascii="Aptos" w:hAnsi="Aptos"/>
        </w:rPr>
        <w:t>p. 62</w:t>
      </w:r>
      <w:r w:rsidR="00DE1EC3" w:rsidRPr="00DB5E03">
        <w:rPr>
          <w:rFonts w:ascii="Aptos" w:hAnsi="Aptos"/>
        </w:rPr>
        <w:t>)</w:t>
      </w:r>
      <w:r w:rsidRPr="00DB5E03">
        <w:rPr>
          <w:rFonts w:ascii="Aptos" w:hAnsi="Aptos"/>
        </w:rPr>
        <w:t xml:space="preserve">. </w:t>
      </w:r>
      <w:r w:rsidR="00522BC6" w:rsidRPr="00DB5E03">
        <w:rPr>
          <w:rFonts w:ascii="Aptos" w:hAnsi="Aptos"/>
        </w:rPr>
        <w:t xml:space="preserve">But it is one thing to say that there should be flexibility </w:t>
      </w:r>
      <w:r w:rsidR="00DF0134">
        <w:rPr>
          <w:rFonts w:ascii="Aptos" w:hAnsi="Aptos"/>
        </w:rPr>
        <w:t xml:space="preserve">to </w:t>
      </w:r>
      <w:proofErr w:type="gramStart"/>
      <w:r w:rsidR="00DF0134">
        <w:rPr>
          <w:rFonts w:ascii="Aptos" w:hAnsi="Aptos"/>
        </w:rPr>
        <w:t xml:space="preserve">add </w:t>
      </w:r>
      <w:r w:rsidR="00522BC6" w:rsidRPr="00DB5E03">
        <w:rPr>
          <w:rFonts w:ascii="Aptos" w:hAnsi="Aptos"/>
        </w:rPr>
        <w:t xml:space="preserve"> organisations</w:t>
      </w:r>
      <w:proofErr w:type="gramEnd"/>
      <w:r w:rsidR="00522BC6" w:rsidRPr="00DB5E03">
        <w:rPr>
          <w:rFonts w:ascii="Aptos" w:hAnsi="Aptos"/>
        </w:rPr>
        <w:t xml:space="preserve"> to </w:t>
      </w:r>
      <w:r w:rsidR="00DF0134">
        <w:rPr>
          <w:rFonts w:ascii="Aptos" w:hAnsi="Aptos"/>
        </w:rPr>
        <w:t>consult</w:t>
      </w:r>
      <w:r w:rsidR="00522BC6" w:rsidRPr="00DB5E03">
        <w:rPr>
          <w:rFonts w:ascii="Aptos" w:hAnsi="Aptos"/>
        </w:rPr>
        <w:t xml:space="preserve"> in specific circumstances – for example to include</w:t>
      </w:r>
      <w:r w:rsidRPr="00DB5E03">
        <w:rPr>
          <w:rFonts w:ascii="Aptos" w:hAnsi="Aptos"/>
        </w:rPr>
        <w:t xml:space="preserve"> </w:t>
      </w:r>
      <w:r w:rsidR="00522BC6" w:rsidRPr="00DB5E03">
        <w:rPr>
          <w:rFonts w:ascii="Aptos" w:hAnsi="Aptos"/>
        </w:rPr>
        <w:t xml:space="preserve">the views of </w:t>
      </w:r>
      <w:r w:rsidRPr="00DB5E03">
        <w:rPr>
          <w:rFonts w:ascii="Aptos" w:hAnsi="Aptos"/>
        </w:rPr>
        <w:t xml:space="preserve">accrediting bodies </w:t>
      </w:r>
      <w:r w:rsidR="00522BC6" w:rsidRPr="00DB5E03">
        <w:rPr>
          <w:rFonts w:ascii="Aptos" w:hAnsi="Aptos"/>
        </w:rPr>
        <w:t>relevant to the class of courses</w:t>
      </w:r>
      <w:r w:rsidR="00B82EEA" w:rsidRPr="00DB5E03">
        <w:rPr>
          <w:rFonts w:ascii="Aptos" w:hAnsi="Aptos"/>
        </w:rPr>
        <w:t xml:space="preserve"> in question </w:t>
      </w:r>
      <w:r w:rsidR="00522BC6" w:rsidRPr="00DB5E03">
        <w:rPr>
          <w:rFonts w:ascii="Aptos" w:hAnsi="Aptos"/>
        </w:rPr>
        <w:t xml:space="preserve">– and another to say that consulting quality regulators should be optional </w:t>
      </w:r>
      <w:r w:rsidR="00B82EEA" w:rsidRPr="00DB5E03">
        <w:rPr>
          <w:rFonts w:ascii="Aptos" w:hAnsi="Aptos"/>
        </w:rPr>
        <w:t xml:space="preserve">when </w:t>
      </w:r>
      <w:r w:rsidR="00DF0134">
        <w:rPr>
          <w:rFonts w:ascii="Aptos" w:hAnsi="Aptos"/>
        </w:rPr>
        <w:t>making decisions on</w:t>
      </w:r>
      <w:r w:rsidR="00B82EEA" w:rsidRPr="00DB5E03">
        <w:rPr>
          <w:rFonts w:ascii="Aptos" w:hAnsi="Aptos"/>
        </w:rPr>
        <w:t xml:space="preserve"> the ‘standard of delivery</w:t>
      </w:r>
      <w:r w:rsidR="00B37413" w:rsidRPr="00DB5E03">
        <w:rPr>
          <w:rFonts w:ascii="Aptos" w:hAnsi="Aptos"/>
        </w:rPr>
        <w:t>’</w:t>
      </w:r>
      <w:r w:rsidR="00B82EEA" w:rsidRPr="00DB5E03">
        <w:rPr>
          <w:rFonts w:ascii="Aptos" w:hAnsi="Aptos"/>
        </w:rPr>
        <w:t>.</w:t>
      </w:r>
    </w:p>
    <w:p w14:paraId="081B2170" w14:textId="4F79D965" w:rsidR="008E1017" w:rsidRPr="00DB5E03" w:rsidRDefault="008E1017" w:rsidP="008E1017">
      <w:pPr>
        <w:pStyle w:val="NormalWeb"/>
        <w:rPr>
          <w:rFonts w:ascii="Aptos" w:hAnsi="Aptos"/>
        </w:rPr>
      </w:pPr>
      <w:r w:rsidRPr="00DB5E03">
        <w:rPr>
          <w:rFonts w:ascii="Aptos" w:hAnsi="Aptos"/>
        </w:rPr>
        <w:t xml:space="preserve">Failure to bring TEQSA and ASQA into the process could also mean that courses cancelled </w:t>
      </w:r>
      <w:r w:rsidR="00B82EEA" w:rsidRPr="00DB5E03">
        <w:rPr>
          <w:rFonts w:ascii="Aptos" w:hAnsi="Aptos"/>
        </w:rPr>
        <w:t xml:space="preserve">by the minister </w:t>
      </w:r>
      <w:r w:rsidRPr="00DB5E03">
        <w:rPr>
          <w:rFonts w:ascii="Aptos" w:hAnsi="Aptos"/>
        </w:rPr>
        <w:t xml:space="preserve">under </w:t>
      </w:r>
      <w:r w:rsidRPr="00172C56">
        <w:rPr>
          <w:rFonts w:ascii="Aptos" w:hAnsi="Aptos"/>
          <w:i/>
          <w:iCs/>
        </w:rPr>
        <w:t xml:space="preserve">ESOS </w:t>
      </w:r>
      <w:r w:rsidR="00172C56" w:rsidRPr="00172C56">
        <w:rPr>
          <w:rFonts w:ascii="Aptos" w:hAnsi="Aptos"/>
          <w:i/>
          <w:iCs/>
        </w:rPr>
        <w:t>Act 2000</w:t>
      </w:r>
      <w:r w:rsidR="00172C56">
        <w:rPr>
          <w:rFonts w:ascii="Aptos" w:hAnsi="Aptos"/>
        </w:rPr>
        <w:t xml:space="preserve"> powers </w:t>
      </w:r>
      <w:r w:rsidRPr="00DB5E03">
        <w:rPr>
          <w:rFonts w:ascii="Aptos" w:hAnsi="Aptos"/>
        </w:rPr>
        <w:t>for alleged 'standard of delivery</w:t>
      </w:r>
      <w:r w:rsidR="00910F67" w:rsidRPr="00DB5E03">
        <w:rPr>
          <w:rFonts w:ascii="Aptos" w:hAnsi="Aptos"/>
        </w:rPr>
        <w:t>’</w:t>
      </w:r>
      <w:r w:rsidRPr="00DB5E03">
        <w:rPr>
          <w:rFonts w:ascii="Aptos" w:hAnsi="Aptos"/>
        </w:rPr>
        <w:t xml:space="preserve"> reasons would still be registered under other legislation for domestic students. That would be a confusing regulatory stance for students. </w:t>
      </w:r>
    </w:p>
    <w:p w14:paraId="7559FB0A" w14:textId="31613E9F" w:rsidR="00383A12" w:rsidRPr="00DB5E03" w:rsidRDefault="00383A12" w:rsidP="008E1017">
      <w:pPr>
        <w:pStyle w:val="NormalWeb"/>
        <w:rPr>
          <w:rFonts w:ascii="Aptos" w:hAnsi="Aptos"/>
        </w:rPr>
      </w:pPr>
      <w:r w:rsidRPr="00DB5E03">
        <w:rPr>
          <w:rFonts w:ascii="Aptos" w:hAnsi="Aptos"/>
        </w:rPr>
        <w:t xml:space="preserve">A further problem with the ‘standard of delivery’ basis for mass course cancellation is that although the claimed problem must be ‘systemic’ </w:t>
      </w:r>
      <w:r w:rsidR="006E4D55" w:rsidRPr="00DB5E03">
        <w:rPr>
          <w:rFonts w:ascii="Aptos" w:hAnsi="Aptos"/>
        </w:rPr>
        <w:t xml:space="preserve">the minister does not need to prove low delivery standards in every course within its class. This could mean that courses with no quality issues are cancelled, with significant injustice to the innocent providers affected. </w:t>
      </w:r>
    </w:p>
    <w:p w14:paraId="78BD9DCE" w14:textId="697F09D1" w:rsidR="00DE1EC3" w:rsidRPr="00172C56" w:rsidRDefault="00DE1EC3" w:rsidP="00DE1EC3">
      <w:pPr>
        <w:pStyle w:val="Heading3"/>
        <w:rPr>
          <w:rFonts w:ascii="Aptos" w:hAnsi="Aptos"/>
          <w:i/>
          <w:iCs/>
        </w:rPr>
      </w:pPr>
      <w:bookmarkStart w:id="8" w:name="_Toc213838204"/>
      <w:r w:rsidRPr="00172C56">
        <w:rPr>
          <w:rFonts w:ascii="Aptos" w:hAnsi="Aptos"/>
          <w:i/>
          <w:iCs/>
        </w:rPr>
        <w:t>Existing rules that achieve the same purpose</w:t>
      </w:r>
      <w:bookmarkEnd w:id="8"/>
    </w:p>
    <w:p w14:paraId="0BB92874" w14:textId="19F94BA0" w:rsidR="00277932" w:rsidRPr="00DB5E03" w:rsidRDefault="00910F67" w:rsidP="008E1017">
      <w:pPr>
        <w:pStyle w:val="NormalWeb"/>
        <w:rPr>
          <w:rFonts w:ascii="Aptos" w:hAnsi="Aptos"/>
        </w:rPr>
      </w:pPr>
      <w:r w:rsidRPr="00DB5E03">
        <w:rPr>
          <w:rFonts w:ascii="Aptos" w:hAnsi="Aptos"/>
        </w:rPr>
        <w:t xml:space="preserve">ASQA </w:t>
      </w:r>
      <w:r w:rsidR="00B37413" w:rsidRPr="00DB5E03">
        <w:rPr>
          <w:rFonts w:ascii="Aptos" w:hAnsi="Aptos"/>
        </w:rPr>
        <w:t xml:space="preserve">already has powers to </w:t>
      </w:r>
      <w:r w:rsidR="00277932" w:rsidRPr="00DB5E03">
        <w:rPr>
          <w:rFonts w:ascii="Aptos" w:hAnsi="Aptos"/>
        </w:rPr>
        <w:t xml:space="preserve">deal with poor quality </w:t>
      </w:r>
      <w:r w:rsidR="00DE1EC3" w:rsidRPr="00DB5E03">
        <w:rPr>
          <w:rFonts w:ascii="Aptos" w:hAnsi="Aptos"/>
        </w:rPr>
        <w:t xml:space="preserve">vocational education </w:t>
      </w:r>
      <w:r w:rsidR="00277932" w:rsidRPr="00DB5E03">
        <w:rPr>
          <w:rFonts w:ascii="Aptos" w:hAnsi="Aptos"/>
        </w:rPr>
        <w:t xml:space="preserve">courses. If </w:t>
      </w:r>
      <w:r w:rsidR="00DE1EC3" w:rsidRPr="00DB5E03">
        <w:rPr>
          <w:rFonts w:ascii="Aptos" w:hAnsi="Aptos"/>
        </w:rPr>
        <w:t xml:space="preserve">ASQA </w:t>
      </w:r>
      <w:r w:rsidR="00277932" w:rsidRPr="00DB5E03">
        <w:rPr>
          <w:rFonts w:ascii="Aptos" w:hAnsi="Aptos"/>
        </w:rPr>
        <w:t xml:space="preserve">believes the </w:t>
      </w:r>
      <w:r w:rsidR="00DE1EC3" w:rsidRPr="00DB5E03">
        <w:rPr>
          <w:rFonts w:ascii="Aptos" w:hAnsi="Aptos"/>
        </w:rPr>
        <w:t>provider is</w:t>
      </w:r>
      <w:r w:rsidR="00277932" w:rsidRPr="00DB5E03">
        <w:rPr>
          <w:rFonts w:ascii="Aptos" w:hAnsi="Aptos"/>
        </w:rPr>
        <w:t xml:space="preserve"> not meeting quality standards in some or all courses it can restrict the provider’s scope of registration under Part 2, Division 3 of the </w:t>
      </w:r>
      <w:r w:rsidR="00277932" w:rsidRPr="00DB5E03">
        <w:rPr>
          <w:rFonts w:ascii="Aptos" w:hAnsi="Aptos"/>
          <w:i/>
          <w:iCs/>
        </w:rPr>
        <w:t>National Vocational Education and Training Regulator Act 2011</w:t>
      </w:r>
      <w:r w:rsidR="00277932" w:rsidRPr="00DB5E03">
        <w:rPr>
          <w:rFonts w:ascii="Aptos" w:hAnsi="Aptos"/>
        </w:rPr>
        <w:t xml:space="preserve">. For VET accredited courses </w:t>
      </w:r>
      <w:r w:rsidR="00DE1EC3" w:rsidRPr="00DB5E03">
        <w:rPr>
          <w:rFonts w:ascii="Aptos" w:hAnsi="Aptos"/>
        </w:rPr>
        <w:t>ASQA</w:t>
      </w:r>
      <w:r w:rsidR="00277932" w:rsidRPr="00DB5E03">
        <w:rPr>
          <w:rFonts w:ascii="Aptos" w:hAnsi="Aptos"/>
        </w:rPr>
        <w:t xml:space="preserve"> can cancel accreditation under Part 3, Division 5 of that legislation. They can do this for multiple providers but with separate processes for each.  This law includes ‘natural justice’ provisions, such as giving providers notice and a chance to respond, </w:t>
      </w:r>
      <w:r w:rsidR="00476405" w:rsidRPr="00DB5E03">
        <w:rPr>
          <w:rFonts w:ascii="Aptos" w:hAnsi="Aptos"/>
        </w:rPr>
        <w:t>that</w:t>
      </w:r>
      <w:r w:rsidR="00277932" w:rsidRPr="00DB5E03">
        <w:rPr>
          <w:rFonts w:ascii="Aptos" w:hAnsi="Aptos"/>
        </w:rPr>
        <w:t xml:space="preserve"> are absent from the proposed ESOS amendments. </w:t>
      </w:r>
      <w:r w:rsidR="00172C56">
        <w:rPr>
          <w:rFonts w:ascii="Aptos" w:hAnsi="Aptos"/>
        </w:rPr>
        <w:t>T</w:t>
      </w:r>
      <w:r w:rsidR="00277932" w:rsidRPr="00DB5E03">
        <w:rPr>
          <w:rFonts w:ascii="Aptos" w:hAnsi="Aptos"/>
        </w:rPr>
        <w:t>h</w:t>
      </w:r>
      <w:r w:rsidR="00DF0134">
        <w:rPr>
          <w:rFonts w:ascii="Aptos" w:hAnsi="Aptos"/>
        </w:rPr>
        <w:t xml:space="preserve">e existing </w:t>
      </w:r>
      <w:r w:rsidR="00277932" w:rsidRPr="00DB5E03">
        <w:rPr>
          <w:rFonts w:ascii="Aptos" w:hAnsi="Aptos"/>
        </w:rPr>
        <w:t xml:space="preserve">method </w:t>
      </w:r>
      <w:r w:rsidR="00DE1EC3" w:rsidRPr="00DB5E03">
        <w:rPr>
          <w:rFonts w:ascii="Aptos" w:hAnsi="Aptos"/>
        </w:rPr>
        <w:t>of managing quality problems</w:t>
      </w:r>
      <w:r w:rsidR="00277932" w:rsidRPr="00DB5E03">
        <w:rPr>
          <w:rFonts w:ascii="Aptos" w:hAnsi="Aptos"/>
        </w:rPr>
        <w:t xml:space="preserve"> </w:t>
      </w:r>
      <w:r w:rsidR="00172C56">
        <w:rPr>
          <w:rFonts w:ascii="Aptos" w:hAnsi="Aptos"/>
        </w:rPr>
        <w:t xml:space="preserve">ensures consistent regulation for international and domestic students. </w:t>
      </w:r>
    </w:p>
    <w:p w14:paraId="3D40FDE6" w14:textId="273B34BA" w:rsidR="00B82EEA" w:rsidRPr="00DB5E03" w:rsidRDefault="00DC62DF" w:rsidP="008E1017">
      <w:pPr>
        <w:pStyle w:val="NormalWeb"/>
        <w:rPr>
          <w:rFonts w:ascii="Aptos" w:hAnsi="Aptos"/>
        </w:rPr>
      </w:pPr>
      <w:r w:rsidRPr="00DB5E03">
        <w:rPr>
          <w:rFonts w:ascii="Aptos" w:hAnsi="Aptos"/>
        </w:rPr>
        <w:t xml:space="preserve">In higher education, TEQSA also has the power to cancel accreditation of a course for both domestic and international students, if it finds non-compliance with the Threshold Standards: section 99 of the </w:t>
      </w:r>
      <w:r w:rsidRPr="00DB5E03">
        <w:rPr>
          <w:rFonts w:ascii="Aptos" w:hAnsi="Aptos"/>
          <w:i/>
          <w:iCs/>
        </w:rPr>
        <w:t>Tertiary Education Quality and Standards Agency Act 2011</w:t>
      </w:r>
      <w:r w:rsidRPr="00DB5E03">
        <w:rPr>
          <w:rFonts w:ascii="Aptos" w:hAnsi="Aptos"/>
        </w:rPr>
        <w:t xml:space="preserve">. </w:t>
      </w:r>
      <w:r w:rsidR="00036914" w:rsidRPr="00DB5E03">
        <w:rPr>
          <w:rFonts w:ascii="Aptos" w:hAnsi="Aptos"/>
        </w:rPr>
        <w:t xml:space="preserve">TEQSA could take this action against multiple providers but it would need to prove non-compliance, not just that the course was the same or similar to a course at another provider with compliance issues. </w:t>
      </w:r>
    </w:p>
    <w:p w14:paraId="336EE716" w14:textId="5DC9701B" w:rsidR="00036914" w:rsidRPr="00DB5E03" w:rsidRDefault="00036914" w:rsidP="008E1017">
      <w:pPr>
        <w:pStyle w:val="NormalWeb"/>
        <w:rPr>
          <w:rFonts w:ascii="Aptos" w:hAnsi="Aptos"/>
        </w:rPr>
      </w:pPr>
      <w:r w:rsidRPr="00DB5E03">
        <w:rPr>
          <w:rFonts w:ascii="Aptos" w:hAnsi="Aptos"/>
        </w:rPr>
        <w:t xml:space="preserve">In the existing </w:t>
      </w:r>
      <w:r w:rsidRPr="00DB5E03">
        <w:rPr>
          <w:rFonts w:ascii="Aptos" w:hAnsi="Aptos"/>
          <w:i/>
          <w:iCs/>
        </w:rPr>
        <w:t>ESOS Act 2000</w:t>
      </w:r>
      <w:r w:rsidR="00DE1EC3" w:rsidRPr="00DB5E03">
        <w:rPr>
          <w:rFonts w:ascii="Aptos" w:hAnsi="Aptos"/>
          <w:i/>
          <w:iCs/>
        </w:rPr>
        <w:t>,</w:t>
      </w:r>
      <w:r w:rsidRPr="00DB5E03">
        <w:rPr>
          <w:rFonts w:ascii="Aptos" w:hAnsi="Aptos"/>
        </w:rPr>
        <w:t xml:space="preserve"> ASQA or TEQSA, as appropriate to the course, </w:t>
      </w:r>
      <w:r w:rsidR="00476405" w:rsidRPr="00DB5E03">
        <w:rPr>
          <w:rFonts w:ascii="Aptos" w:hAnsi="Aptos"/>
        </w:rPr>
        <w:t xml:space="preserve">can suspend or cancel registration of courses if it believes, on reasonable grounds, that the provider ‘does not have the clearly demonstrated capacity to provider education of a satisfactory standard’ </w:t>
      </w:r>
      <w:r w:rsidR="00476405" w:rsidRPr="00DB5E03">
        <w:rPr>
          <w:rFonts w:ascii="Aptos" w:hAnsi="Aptos"/>
        </w:rPr>
        <w:lastRenderedPageBreak/>
        <w:t xml:space="preserve">or ‘has not been providing, or has not provided, education of a satisfactory standard’: section 83(1C) and (3). </w:t>
      </w:r>
      <w:r w:rsidR="004F4235" w:rsidRPr="00DB5E03">
        <w:rPr>
          <w:rFonts w:ascii="Aptos" w:hAnsi="Aptos"/>
        </w:rPr>
        <w:t>ASQA or TEQSA</w:t>
      </w:r>
      <w:r w:rsidR="00DE1EC3" w:rsidRPr="00DB5E03">
        <w:rPr>
          <w:rFonts w:ascii="Aptos" w:hAnsi="Aptos"/>
        </w:rPr>
        <w:t>, as appropriate to sector,</w:t>
      </w:r>
      <w:r w:rsidR="004F4235" w:rsidRPr="00DB5E03">
        <w:rPr>
          <w:rFonts w:ascii="Aptos" w:hAnsi="Aptos"/>
        </w:rPr>
        <w:t xml:space="preserve"> needs to give notice and an opportunity for the provider to respond, normally at least 72 hours but 24 hours in urgent cases: section 93. As with the proposed </w:t>
      </w:r>
      <w:r w:rsidR="00172C56">
        <w:rPr>
          <w:rFonts w:ascii="Aptos" w:hAnsi="Aptos"/>
        </w:rPr>
        <w:t xml:space="preserve">ESOS </w:t>
      </w:r>
      <w:r w:rsidR="004F4235" w:rsidRPr="00DB5E03">
        <w:rPr>
          <w:rFonts w:ascii="Aptos" w:hAnsi="Aptos"/>
        </w:rPr>
        <w:t xml:space="preserve">amendments, there could be a teach-out of existing international students but no new students: section 95. </w:t>
      </w:r>
    </w:p>
    <w:p w14:paraId="1D6B21DD" w14:textId="3D9D942C" w:rsidR="004F4235" w:rsidRPr="00DB5E03" w:rsidRDefault="001B1045" w:rsidP="008E1017">
      <w:pPr>
        <w:pStyle w:val="NormalWeb"/>
        <w:rPr>
          <w:rFonts w:ascii="Aptos" w:hAnsi="Aptos"/>
        </w:rPr>
      </w:pPr>
      <w:r w:rsidRPr="00DB5E03">
        <w:rPr>
          <w:rFonts w:ascii="Aptos" w:hAnsi="Aptos"/>
        </w:rPr>
        <w:t xml:space="preserve">The government has not explained why the existing powers of ASQA and TEQSA, which unlike the proposed amendment comply with basic rule of law principles, are inadequate to the problems faced. </w:t>
      </w:r>
      <w:r w:rsidR="00613922" w:rsidRPr="00DB5E03">
        <w:rPr>
          <w:rFonts w:ascii="Aptos" w:hAnsi="Aptos"/>
        </w:rPr>
        <w:t>There should be clear evidence of failures that cannot be fixed by other means before considering the extreme options</w:t>
      </w:r>
      <w:r w:rsidR="003A6508" w:rsidRPr="00DB5E03">
        <w:rPr>
          <w:rFonts w:ascii="Aptos" w:hAnsi="Aptos"/>
        </w:rPr>
        <w:t xml:space="preserve"> proposed</w:t>
      </w:r>
      <w:r w:rsidR="00613922" w:rsidRPr="00DB5E03">
        <w:rPr>
          <w:rFonts w:ascii="Aptos" w:hAnsi="Aptos"/>
        </w:rPr>
        <w:t xml:space="preserve"> in Division 1AB.</w:t>
      </w:r>
    </w:p>
    <w:p w14:paraId="13DE8C6C" w14:textId="77777777" w:rsidR="008E1017" w:rsidRPr="00DB5E03" w:rsidRDefault="008E1017" w:rsidP="00DE1EC3">
      <w:pPr>
        <w:pStyle w:val="Heading2"/>
        <w:rPr>
          <w:rFonts w:ascii="Aptos" w:hAnsi="Aptos"/>
          <w:sz w:val="28"/>
          <w:szCs w:val="28"/>
        </w:rPr>
      </w:pPr>
      <w:bookmarkStart w:id="9" w:name="_Toc213838205"/>
      <w:r w:rsidRPr="00DB5E03">
        <w:rPr>
          <w:rStyle w:val="Emphasis"/>
          <w:rFonts w:ascii="Aptos" w:hAnsi="Aptos"/>
          <w:sz w:val="28"/>
          <w:szCs w:val="28"/>
        </w:rPr>
        <w:t>Skills needs</w:t>
      </w:r>
      <w:bookmarkEnd w:id="9"/>
    </w:p>
    <w:p w14:paraId="5BBDD0B1" w14:textId="6DD57735" w:rsidR="008E1017" w:rsidRPr="00DB5E03" w:rsidRDefault="008E1017" w:rsidP="008E1017">
      <w:pPr>
        <w:pStyle w:val="NormalWeb"/>
        <w:rPr>
          <w:rFonts w:ascii="Aptos" w:hAnsi="Aptos"/>
        </w:rPr>
      </w:pPr>
      <w:r w:rsidRPr="00DB5E03">
        <w:rPr>
          <w:rFonts w:ascii="Aptos" w:hAnsi="Aptos"/>
        </w:rPr>
        <w:t>A class of courses can be cancelled if they 'provide limited value to Australia’s current, emerging and future skills and training needs and priorities': section 96B(1)(b).</w:t>
      </w:r>
    </w:p>
    <w:p w14:paraId="314B2377" w14:textId="79E01672" w:rsidR="00CE048B" w:rsidRPr="00DB5E03" w:rsidRDefault="00CE048B" w:rsidP="008E1017">
      <w:pPr>
        <w:pStyle w:val="NormalWeb"/>
        <w:rPr>
          <w:rFonts w:ascii="Aptos" w:hAnsi="Aptos"/>
        </w:rPr>
      </w:pPr>
      <w:r w:rsidRPr="00DB5E03">
        <w:rPr>
          <w:rFonts w:ascii="Aptos" w:hAnsi="Aptos"/>
        </w:rPr>
        <w:t xml:space="preserve">This grounds for mass-cancelling courses, while intending to target courses used by temporary migrants to prolong stays in Australia, </w:t>
      </w:r>
      <w:r w:rsidR="00DE1EC3" w:rsidRPr="00DB5E03">
        <w:rPr>
          <w:rFonts w:ascii="Aptos" w:hAnsi="Aptos"/>
        </w:rPr>
        <w:t xml:space="preserve">as stated </w:t>
      </w:r>
      <w:r w:rsidR="00710423">
        <w:rPr>
          <w:rFonts w:ascii="Aptos" w:hAnsi="Aptos"/>
        </w:rPr>
        <w:t>borders on the</w:t>
      </w:r>
      <w:r w:rsidRPr="00DB5E03">
        <w:rPr>
          <w:rFonts w:ascii="Aptos" w:hAnsi="Aptos"/>
        </w:rPr>
        <w:t xml:space="preserve"> ridiculous. </w:t>
      </w:r>
    </w:p>
    <w:p w14:paraId="5EF43D6D" w14:textId="7204A477" w:rsidR="00CE048B" w:rsidRPr="00DB5E03" w:rsidRDefault="00CE048B" w:rsidP="00CE048B">
      <w:pPr>
        <w:pStyle w:val="NormalWeb"/>
        <w:rPr>
          <w:rFonts w:ascii="Aptos" w:hAnsi="Aptos"/>
        </w:rPr>
      </w:pPr>
      <w:r w:rsidRPr="00DB5E03">
        <w:rPr>
          <w:rFonts w:ascii="Aptos" w:hAnsi="Aptos"/>
        </w:rPr>
        <w:t>For international students who go home after their degree Australia’s skills needs are irrelevant. Recent</w:t>
      </w:r>
      <w:r w:rsidR="00A41AF4" w:rsidRPr="00DB5E03">
        <w:rPr>
          <w:rFonts w:ascii="Aptos" w:hAnsi="Aptos"/>
        </w:rPr>
        <w:t xml:space="preserve"> Jobs and Skills Australia analysis indicates that</w:t>
      </w:r>
      <w:r w:rsidRPr="00DB5E03">
        <w:rPr>
          <w:rFonts w:ascii="Aptos" w:hAnsi="Aptos"/>
        </w:rPr>
        <w:t xml:space="preserve"> 60% plus of international students </w:t>
      </w:r>
      <w:r w:rsidR="00A41AF4" w:rsidRPr="00DB5E03">
        <w:rPr>
          <w:rFonts w:ascii="Aptos" w:hAnsi="Aptos"/>
        </w:rPr>
        <w:t>who arrived in the early 2010s returned</w:t>
      </w:r>
      <w:r w:rsidRPr="00DB5E03">
        <w:rPr>
          <w:rFonts w:ascii="Aptos" w:hAnsi="Aptos"/>
        </w:rPr>
        <w:t xml:space="preserve"> home</w:t>
      </w:r>
      <w:r w:rsidR="00710423">
        <w:rPr>
          <w:rFonts w:ascii="Aptos" w:hAnsi="Aptos"/>
        </w:rPr>
        <w:t>,</w:t>
      </w:r>
      <w:r w:rsidR="00A41AF4" w:rsidRPr="00DB5E03">
        <w:rPr>
          <w:rFonts w:ascii="Aptos" w:hAnsi="Aptos"/>
        </w:rPr>
        <w:t xml:space="preserve"> with this likely to be 70%+ for more recent arrivals </w:t>
      </w:r>
      <w:sdt>
        <w:sdtPr>
          <w:rPr>
            <w:rFonts w:ascii="Aptos" w:hAnsi="Aptos"/>
            <w:color w:val="000000"/>
          </w:rPr>
          <w:tag w:val="MENDELEY_CITATION_v3_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"/>
          <w:id w:val="-1520006559"/>
          <w:placeholder>
            <w:docPart w:val="DefaultPlaceholder_-1854013440"/>
          </w:placeholder>
        </w:sdtPr>
        <w:sdtEndPr/>
        <w:sdtContent>
          <w:r w:rsidR="001F6615" w:rsidRPr="001F6615">
            <w:rPr>
              <w:rFonts w:ascii="Aptos" w:hAnsi="Aptos"/>
              <w:color w:val="000000"/>
            </w:rPr>
            <w:t>(JSA, 2025, p. 11)</w:t>
          </w:r>
        </w:sdtContent>
      </w:sdt>
      <w:r w:rsidRPr="00DB5E03">
        <w:rPr>
          <w:rFonts w:ascii="Aptos" w:hAnsi="Aptos"/>
        </w:rPr>
        <w:t>. Why should th</w:t>
      </w:r>
      <w:r w:rsidR="00A41AF4" w:rsidRPr="00DB5E03">
        <w:rPr>
          <w:rFonts w:ascii="Aptos" w:hAnsi="Aptos"/>
        </w:rPr>
        <w:t>e</w:t>
      </w:r>
      <w:r w:rsidRPr="00DB5E03">
        <w:rPr>
          <w:rFonts w:ascii="Aptos" w:hAnsi="Aptos"/>
        </w:rPr>
        <w:t xml:space="preserve"> course choices </w:t>
      </w:r>
      <w:r w:rsidR="00A41AF4" w:rsidRPr="00DB5E03">
        <w:rPr>
          <w:rFonts w:ascii="Aptos" w:hAnsi="Aptos"/>
        </w:rPr>
        <w:t xml:space="preserve">of these students </w:t>
      </w:r>
      <w:r w:rsidRPr="00DB5E03">
        <w:rPr>
          <w:rFonts w:ascii="Aptos" w:hAnsi="Aptos"/>
        </w:rPr>
        <w:t xml:space="preserve">be restricted to the labour market needs of a foreign country? </w:t>
      </w:r>
    </w:p>
    <w:p w14:paraId="7D4D5BEB" w14:textId="7BEB0F25" w:rsidR="001E66C4" w:rsidRPr="00DB5E03" w:rsidRDefault="00216751" w:rsidP="008E1017">
      <w:pPr>
        <w:pStyle w:val="NormalWeb"/>
        <w:rPr>
          <w:rFonts w:ascii="Aptos" w:hAnsi="Aptos"/>
        </w:rPr>
      </w:pPr>
      <w:r w:rsidRPr="00DB5E03">
        <w:rPr>
          <w:rFonts w:ascii="Aptos" w:hAnsi="Aptos"/>
        </w:rPr>
        <w:t>The skill</w:t>
      </w:r>
      <w:r w:rsidR="00BB119C" w:rsidRPr="00DB5E03">
        <w:rPr>
          <w:rFonts w:ascii="Aptos" w:hAnsi="Aptos"/>
        </w:rPr>
        <w:t>-</w:t>
      </w:r>
      <w:r w:rsidRPr="00DB5E03">
        <w:rPr>
          <w:rFonts w:ascii="Aptos" w:hAnsi="Aptos"/>
        </w:rPr>
        <w:t xml:space="preserve">needs provision does not specify how the minister will make a decision. </w:t>
      </w:r>
      <w:r w:rsidR="00985ADE" w:rsidRPr="00DB5E03">
        <w:rPr>
          <w:rFonts w:ascii="Aptos" w:hAnsi="Aptos"/>
        </w:rPr>
        <w:t>The explanatory memorandum suggests that it would be appropriate for the minister to consult with ‘entities with responsibilities relating to Australia’s skills needs’ (p. 62). However this will only be require</w:t>
      </w:r>
      <w:r w:rsidR="00710423">
        <w:rPr>
          <w:rFonts w:ascii="Aptos" w:hAnsi="Aptos"/>
        </w:rPr>
        <w:t>d</w:t>
      </w:r>
      <w:r w:rsidR="00985ADE" w:rsidRPr="00DB5E03">
        <w:rPr>
          <w:rFonts w:ascii="Aptos" w:hAnsi="Aptos"/>
        </w:rPr>
        <w:t xml:space="preserve"> if such a body – for example Jobs and Skills Australia – was listed in a legislative instrument under section 96</w:t>
      </w:r>
      <w:proofErr w:type="gramStart"/>
      <w:r w:rsidR="00985ADE" w:rsidRPr="00DB5E03">
        <w:rPr>
          <w:rFonts w:ascii="Aptos" w:hAnsi="Aptos"/>
        </w:rPr>
        <w:t>B(</w:t>
      </w:r>
      <w:proofErr w:type="gramEnd"/>
      <w:r w:rsidR="00985ADE" w:rsidRPr="00DB5E03">
        <w:rPr>
          <w:rFonts w:ascii="Aptos" w:hAnsi="Aptos"/>
        </w:rPr>
        <w:t xml:space="preserve">6). </w:t>
      </w:r>
      <w:r w:rsidRPr="00DB5E03">
        <w:rPr>
          <w:rFonts w:ascii="Aptos" w:hAnsi="Aptos"/>
        </w:rPr>
        <w:t xml:space="preserve">But as with the quality criterion, the bill </w:t>
      </w:r>
      <w:r w:rsidR="00BB119C" w:rsidRPr="00DB5E03">
        <w:rPr>
          <w:rFonts w:ascii="Aptos" w:hAnsi="Aptos"/>
        </w:rPr>
        <w:t xml:space="preserve">does </w:t>
      </w:r>
      <w:r w:rsidRPr="00DB5E03">
        <w:rPr>
          <w:rFonts w:ascii="Aptos" w:hAnsi="Aptos"/>
        </w:rPr>
        <w:t>not require</w:t>
      </w:r>
      <w:r w:rsidR="00BB119C" w:rsidRPr="00DB5E03">
        <w:rPr>
          <w:rFonts w:ascii="Aptos" w:hAnsi="Aptos"/>
        </w:rPr>
        <w:t xml:space="preserve"> the </w:t>
      </w:r>
      <w:r w:rsidR="00DE1EC3" w:rsidRPr="00DB5E03">
        <w:rPr>
          <w:rFonts w:ascii="Aptos" w:hAnsi="Aptos"/>
        </w:rPr>
        <w:t xml:space="preserve">education </w:t>
      </w:r>
      <w:r w:rsidR="00BB119C" w:rsidRPr="00DB5E03">
        <w:rPr>
          <w:rFonts w:ascii="Aptos" w:hAnsi="Aptos"/>
        </w:rPr>
        <w:t xml:space="preserve">minister </w:t>
      </w:r>
      <w:r w:rsidRPr="00DB5E03">
        <w:rPr>
          <w:rFonts w:ascii="Aptos" w:hAnsi="Aptos"/>
        </w:rPr>
        <w:t xml:space="preserve">to consult with anyone </w:t>
      </w:r>
      <w:r w:rsidR="00DE1EC3" w:rsidRPr="00DB5E03">
        <w:rPr>
          <w:rFonts w:ascii="Aptos" w:hAnsi="Aptos"/>
        </w:rPr>
        <w:t>other than the skills minister</w:t>
      </w:r>
      <w:r w:rsidRPr="00DB5E03">
        <w:rPr>
          <w:rFonts w:ascii="Aptos" w:hAnsi="Aptos"/>
        </w:rPr>
        <w:t xml:space="preserve">. </w:t>
      </w:r>
    </w:p>
    <w:p w14:paraId="587C77D5" w14:textId="01CA5DB1" w:rsidR="001E66C4" w:rsidRPr="00DB5E03" w:rsidRDefault="00216751" w:rsidP="003A6D80">
      <w:pPr>
        <w:pStyle w:val="NormalWeb"/>
        <w:rPr>
          <w:rStyle w:val="Emphasis"/>
          <w:rFonts w:ascii="Aptos" w:hAnsi="Aptos"/>
          <w:i w:val="0"/>
          <w:iCs w:val="0"/>
        </w:rPr>
      </w:pPr>
      <w:r w:rsidRPr="00DB5E03">
        <w:rPr>
          <w:rFonts w:ascii="Aptos" w:hAnsi="Aptos"/>
        </w:rPr>
        <w:t xml:space="preserve">While the bill itself is silent </w:t>
      </w:r>
      <w:r w:rsidR="00BB119C" w:rsidRPr="00DB5E03">
        <w:rPr>
          <w:rFonts w:ascii="Aptos" w:hAnsi="Aptos"/>
        </w:rPr>
        <w:t xml:space="preserve">on how skills needs are defined, </w:t>
      </w:r>
      <w:r w:rsidRPr="00DB5E03">
        <w:rPr>
          <w:rFonts w:ascii="Aptos" w:hAnsi="Aptos"/>
        </w:rPr>
        <w:t>its</w:t>
      </w:r>
      <w:r w:rsidR="008E1017" w:rsidRPr="00DB5E03">
        <w:rPr>
          <w:rFonts w:ascii="Aptos" w:hAnsi="Aptos"/>
        </w:rPr>
        <w:t xml:space="preserve"> explanatory memorandum singles out (p. 60) VET Business Leadership and Management courses as examples of </w:t>
      </w:r>
      <w:r w:rsidRPr="00DB5E03">
        <w:rPr>
          <w:rFonts w:ascii="Aptos" w:hAnsi="Aptos"/>
        </w:rPr>
        <w:t>courses that are ‘generalist in nature and do not address Australia’s skills needs</w:t>
      </w:r>
      <w:r w:rsidR="008E1017" w:rsidRPr="00DB5E03">
        <w:rPr>
          <w:rFonts w:ascii="Aptos" w:hAnsi="Aptos"/>
        </w:rPr>
        <w:t>'.</w:t>
      </w:r>
      <w:r w:rsidR="00D60815" w:rsidRPr="00DB5E03">
        <w:rPr>
          <w:rFonts w:ascii="Aptos" w:hAnsi="Aptos"/>
        </w:rPr>
        <w:t xml:space="preserve"> </w:t>
      </w:r>
      <w:r w:rsidR="00BB119C" w:rsidRPr="00DB5E03">
        <w:rPr>
          <w:rFonts w:ascii="Aptos" w:hAnsi="Aptos"/>
        </w:rPr>
        <w:t>Would all generalist courses be under threat? The difficulty the minister will face is that if he cancels one course as being generalist and not addressing skills needs it will look arbitrary if other courses</w:t>
      </w:r>
      <w:r w:rsidR="001F6615">
        <w:rPr>
          <w:rFonts w:ascii="Aptos" w:hAnsi="Aptos"/>
        </w:rPr>
        <w:t>,</w:t>
      </w:r>
      <w:r w:rsidR="00BB119C" w:rsidRPr="00DB5E03">
        <w:rPr>
          <w:rFonts w:ascii="Aptos" w:hAnsi="Aptos"/>
        </w:rPr>
        <w:t xml:space="preserve"> about which the same could be said</w:t>
      </w:r>
      <w:r w:rsidR="001F6615">
        <w:rPr>
          <w:rFonts w:ascii="Aptos" w:hAnsi="Aptos"/>
        </w:rPr>
        <w:t>,</w:t>
      </w:r>
      <w:r w:rsidR="00BB119C" w:rsidRPr="00DB5E03">
        <w:rPr>
          <w:rFonts w:ascii="Aptos" w:hAnsi="Aptos"/>
        </w:rPr>
        <w:t xml:space="preserve"> are not </w:t>
      </w:r>
      <w:r w:rsidR="00DE1EC3" w:rsidRPr="00DB5E03">
        <w:rPr>
          <w:rFonts w:ascii="Aptos" w:hAnsi="Aptos"/>
        </w:rPr>
        <w:t xml:space="preserve">also </w:t>
      </w:r>
      <w:r w:rsidR="00BB119C" w:rsidRPr="00DB5E03">
        <w:rPr>
          <w:rFonts w:ascii="Aptos" w:hAnsi="Aptos"/>
        </w:rPr>
        <w:t xml:space="preserve">cancelled. But the logic of this could see thousands of courses cancelled as in the class of </w:t>
      </w:r>
      <w:r w:rsidR="00304941" w:rsidRPr="00DB5E03">
        <w:rPr>
          <w:rFonts w:ascii="Aptos" w:hAnsi="Aptos"/>
        </w:rPr>
        <w:t xml:space="preserve">‘generalist and not addressing </w:t>
      </w:r>
      <w:proofErr w:type="gramStart"/>
      <w:r w:rsidR="00304941" w:rsidRPr="00DB5E03">
        <w:rPr>
          <w:rFonts w:ascii="Aptos" w:hAnsi="Aptos"/>
        </w:rPr>
        <w:t>skills needs’</w:t>
      </w:r>
      <w:proofErr w:type="gramEnd"/>
      <w:r w:rsidR="00304941" w:rsidRPr="00DB5E03">
        <w:rPr>
          <w:rFonts w:ascii="Aptos" w:hAnsi="Aptos"/>
        </w:rPr>
        <w:t xml:space="preserve">. </w:t>
      </w:r>
      <w:r w:rsidR="001E66C4" w:rsidRPr="00DB5E03">
        <w:rPr>
          <w:rStyle w:val="Emphasis"/>
          <w:rFonts w:ascii="Aptos" w:hAnsi="Aptos"/>
          <w:i w:val="0"/>
          <w:iCs w:val="0"/>
        </w:rPr>
        <w:t xml:space="preserve"> </w:t>
      </w:r>
    </w:p>
    <w:p w14:paraId="2C79C914" w14:textId="64FCC3F8" w:rsidR="003A6D80" w:rsidRPr="00DB5E03" w:rsidRDefault="003A6D80" w:rsidP="003A6D80">
      <w:pPr>
        <w:pStyle w:val="NormalWeb"/>
        <w:rPr>
          <w:rFonts w:ascii="Aptos" w:hAnsi="Aptos"/>
        </w:rPr>
      </w:pPr>
      <w:r w:rsidRPr="00DB5E03">
        <w:rPr>
          <w:rStyle w:val="Emphasis"/>
          <w:rFonts w:ascii="Aptos" w:hAnsi="Aptos"/>
          <w:i w:val="0"/>
          <w:iCs w:val="0"/>
        </w:rPr>
        <w:t>The credibility of the skills needs criterion is further undermined by the bill’s pre-emptive exclusion of</w:t>
      </w:r>
      <w:r w:rsidRPr="00DB5E03">
        <w:rPr>
          <w:rFonts w:ascii="Aptos" w:hAnsi="Aptos"/>
        </w:rPr>
        <w:t xml:space="preserve"> Table A (public) universities from its effects: sections 96C(1)(a), 96D(1)(a) &amp; 96E(1)(a). It is hard to argue that graduates in the same field are surplus to Australia's skills needs if from a non-Table A provider but within Australia's skills needs if from a Table A provider. </w:t>
      </w:r>
    </w:p>
    <w:p w14:paraId="4FF6F622" w14:textId="47891349" w:rsidR="00DE1EC3" w:rsidRPr="00415C34" w:rsidRDefault="00DE1EC3" w:rsidP="00DE1EC3">
      <w:pPr>
        <w:pStyle w:val="Heading3"/>
        <w:rPr>
          <w:rFonts w:ascii="Aptos" w:hAnsi="Aptos"/>
          <w:i/>
          <w:iCs/>
        </w:rPr>
      </w:pPr>
      <w:bookmarkStart w:id="10" w:name="_Toc213838206"/>
      <w:r w:rsidRPr="00415C34">
        <w:rPr>
          <w:rFonts w:ascii="Aptos" w:hAnsi="Aptos"/>
          <w:i/>
          <w:iCs/>
        </w:rPr>
        <w:lastRenderedPageBreak/>
        <w:t>Existing rules that achieve the same purpose</w:t>
      </w:r>
      <w:bookmarkEnd w:id="10"/>
    </w:p>
    <w:p w14:paraId="54FA5B02" w14:textId="673953C6" w:rsidR="00652A1F" w:rsidRPr="00DB5E03" w:rsidRDefault="00652A1F" w:rsidP="00652A1F">
      <w:pPr>
        <w:pStyle w:val="NormalWeb"/>
        <w:rPr>
          <w:rFonts w:ascii="Aptos" w:hAnsi="Aptos"/>
        </w:rPr>
      </w:pPr>
      <w:r w:rsidRPr="00DB5E03">
        <w:rPr>
          <w:rFonts w:ascii="Aptos" w:hAnsi="Aptos"/>
        </w:rPr>
        <w:t>The government already has, and has long used, migration incentives to steer international students towards courses associated with Australia’s skills needs, but without interfering in the decisions of student</w:t>
      </w:r>
      <w:r w:rsidR="001F6615">
        <w:rPr>
          <w:rFonts w:ascii="Aptos" w:hAnsi="Aptos"/>
        </w:rPr>
        <w:t xml:space="preserve">s, </w:t>
      </w:r>
      <w:r w:rsidRPr="00DB5E03">
        <w:rPr>
          <w:rFonts w:ascii="Aptos" w:hAnsi="Aptos"/>
        </w:rPr>
        <w:t xml:space="preserve">who want to take courses reflecting skills needs in their home countries or their own personal interests. </w:t>
      </w:r>
    </w:p>
    <w:p w14:paraId="413AED45" w14:textId="7BCB1BEE" w:rsidR="00652A1F" w:rsidRPr="00DB5E03" w:rsidRDefault="00652A1F" w:rsidP="00652A1F">
      <w:pPr>
        <w:pStyle w:val="NormalWeb"/>
        <w:rPr>
          <w:rFonts w:ascii="Aptos" w:hAnsi="Aptos"/>
        </w:rPr>
      </w:pPr>
      <w:r w:rsidRPr="00DB5E03">
        <w:rPr>
          <w:rFonts w:ascii="Aptos" w:hAnsi="Aptos"/>
        </w:rPr>
        <w:t xml:space="preserve">For example, former international students with vocational qualifications cannot remain in Australia on a subclass 485 temporary graduate visa </w:t>
      </w:r>
      <w:r w:rsidR="00DE1EC3" w:rsidRPr="00DB5E03">
        <w:rPr>
          <w:rFonts w:ascii="Aptos" w:hAnsi="Aptos"/>
        </w:rPr>
        <w:t>without</w:t>
      </w:r>
      <w:r w:rsidRPr="00DB5E03">
        <w:rPr>
          <w:rFonts w:ascii="Aptos" w:hAnsi="Aptos"/>
        </w:rPr>
        <w:t xml:space="preserve"> a qualification related to an occupation on the skilled occupation list.</w:t>
      </w:r>
    </w:p>
    <w:p w14:paraId="0CAD3D05" w14:textId="3DAB85FC" w:rsidR="00652A1F" w:rsidRPr="00DB5E03" w:rsidRDefault="00652A1F" w:rsidP="00652A1F">
      <w:pPr>
        <w:pStyle w:val="NormalWeb"/>
        <w:rPr>
          <w:rFonts w:ascii="Aptos" w:hAnsi="Aptos"/>
        </w:rPr>
      </w:pPr>
      <w:r w:rsidRPr="00DB5E03">
        <w:rPr>
          <w:rFonts w:ascii="Aptos" w:hAnsi="Aptos"/>
        </w:rPr>
        <w:t xml:space="preserve">Former international students with higher education qualifications don't face this limitation, but </w:t>
      </w:r>
      <w:r w:rsidR="00DE1EC3" w:rsidRPr="00DB5E03">
        <w:rPr>
          <w:rFonts w:ascii="Aptos" w:hAnsi="Aptos"/>
        </w:rPr>
        <w:t xml:space="preserve">their occupation matters </w:t>
      </w:r>
      <w:r w:rsidRPr="00DB5E03">
        <w:rPr>
          <w:rFonts w:ascii="Aptos" w:hAnsi="Aptos"/>
        </w:rPr>
        <w:t>if they want to stay</w:t>
      </w:r>
      <w:r w:rsidR="001F6615">
        <w:rPr>
          <w:rFonts w:ascii="Aptos" w:hAnsi="Aptos"/>
        </w:rPr>
        <w:t xml:space="preserve"> in Australia beyond </w:t>
      </w:r>
      <w:r w:rsidRPr="00DB5E03">
        <w:rPr>
          <w:rFonts w:ascii="Aptos" w:hAnsi="Aptos"/>
        </w:rPr>
        <w:t xml:space="preserve">their 485 </w:t>
      </w:r>
      <w:proofErr w:type="gramStart"/>
      <w:r w:rsidRPr="00DB5E03">
        <w:rPr>
          <w:rFonts w:ascii="Aptos" w:hAnsi="Aptos"/>
        </w:rPr>
        <w:t>visa</w:t>
      </w:r>
      <w:proofErr w:type="gramEnd"/>
      <w:r w:rsidRPr="00DB5E03">
        <w:rPr>
          <w:rFonts w:ascii="Aptos" w:hAnsi="Aptos"/>
        </w:rPr>
        <w:t>. For example, to get a subclass 482 Skills in Demand visa an international graduate needs an occupation on a skills list or to be sponsored by their employer, with labour market testing and salary requirements.</w:t>
      </w:r>
    </w:p>
    <w:p w14:paraId="2060E626" w14:textId="4D23FE4A" w:rsidR="00C43919" w:rsidRPr="00DB5E03" w:rsidRDefault="00326F7A" w:rsidP="00652A1F">
      <w:pPr>
        <w:pStyle w:val="NormalWeb"/>
        <w:rPr>
          <w:rFonts w:ascii="Aptos" w:hAnsi="Aptos"/>
        </w:rPr>
      </w:pPr>
      <w:r w:rsidRPr="00DB5E03">
        <w:rPr>
          <w:rFonts w:ascii="Aptos" w:hAnsi="Aptos"/>
        </w:rPr>
        <w:t xml:space="preserve">For former international students moving to permanent residency the skills-based visas are the most common route, as the chart below shows (this source does not count former students moving from another temporary visa to a permanent visa). </w:t>
      </w:r>
    </w:p>
    <w:p w14:paraId="7A0F4E68" w14:textId="5A9D6B7F" w:rsidR="00AA6A98" w:rsidRPr="00DB5E03" w:rsidRDefault="00AA6A98" w:rsidP="00AA6A98">
      <w:pPr>
        <w:pStyle w:val="Caption"/>
        <w:keepNext/>
        <w:rPr>
          <w:rFonts w:ascii="Aptos" w:hAnsi="Aptos"/>
          <w:szCs w:val="24"/>
        </w:rPr>
      </w:pPr>
      <w:r w:rsidRPr="00DB5E03">
        <w:rPr>
          <w:rFonts w:ascii="Aptos" w:hAnsi="Aptos"/>
          <w:szCs w:val="24"/>
        </w:rPr>
        <w:t xml:space="preserve">Figure </w:t>
      </w:r>
      <w:r w:rsidR="008253F4" w:rsidRPr="00DB5E03">
        <w:rPr>
          <w:rFonts w:ascii="Aptos" w:hAnsi="Aptos"/>
          <w:szCs w:val="24"/>
        </w:rPr>
        <w:fldChar w:fldCharType="begin"/>
      </w:r>
      <w:r w:rsidR="008253F4" w:rsidRPr="00DB5E03">
        <w:rPr>
          <w:rFonts w:ascii="Aptos" w:hAnsi="Aptos"/>
          <w:szCs w:val="24"/>
        </w:rPr>
        <w:instrText xml:space="preserve"> SEQ Figure \* ARABIC </w:instrText>
      </w:r>
      <w:r w:rsidR="008253F4" w:rsidRPr="00DB5E03">
        <w:rPr>
          <w:rFonts w:ascii="Aptos" w:hAnsi="Aptos"/>
          <w:szCs w:val="24"/>
        </w:rPr>
        <w:fldChar w:fldCharType="separate"/>
      </w:r>
      <w:r w:rsidR="005A2C95">
        <w:rPr>
          <w:rFonts w:ascii="Aptos" w:hAnsi="Aptos"/>
          <w:noProof/>
          <w:szCs w:val="24"/>
        </w:rPr>
        <w:t>1</w:t>
      </w:r>
      <w:r w:rsidR="008253F4" w:rsidRPr="00DB5E03">
        <w:rPr>
          <w:rFonts w:ascii="Aptos" w:hAnsi="Aptos"/>
          <w:szCs w:val="24"/>
        </w:rPr>
        <w:fldChar w:fldCharType="end"/>
      </w:r>
      <w:r w:rsidRPr="00DB5E03">
        <w:rPr>
          <w:rFonts w:ascii="Aptos" w:hAnsi="Aptos"/>
          <w:szCs w:val="24"/>
        </w:rPr>
        <w:t xml:space="preserve">: Permanent visa types for former international students </w:t>
      </w:r>
    </w:p>
    <w:p w14:paraId="3DCEC9FF" w14:textId="77777777" w:rsidR="00C43919" w:rsidRPr="00DB5E03" w:rsidRDefault="003413CB" w:rsidP="00652A1F">
      <w:pPr>
        <w:pStyle w:val="NormalWeb"/>
        <w:rPr>
          <w:rFonts w:ascii="Aptos" w:hAnsi="Aptos"/>
        </w:rPr>
      </w:pPr>
      <w:r w:rsidRPr="00DB5E03">
        <w:rPr>
          <w:rFonts w:ascii="Aptos" w:hAnsi="Aptos"/>
          <w:noProof/>
        </w:rPr>
        <w:drawing>
          <wp:inline distT="0" distB="0" distL="0" distR="0" wp14:anchorId="748EA683" wp14:editId="1F96F843">
            <wp:extent cx="5651500" cy="4140200"/>
            <wp:effectExtent l="0" t="0" r="6350" b="12700"/>
            <wp:docPr id="1" name="Chart 1">
              <a:extLst xmlns:a="http://schemas.openxmlformats.org/drawingml/2006/main">
                <a:ext uri="{FF2B5EF4-FFF2-40B4-BE49-F238E27FC236}">
                  <a16:creationId xmlns:a16="http://schemas.microsoft.com/office/drawing/2014/main" id="{AE1567D5-A73B-41F7-8F59-2039185001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E988537" w14:textId="3C3F97AB" w:rsidR="00C43919" w:rsidRPr="00DB5E03" w:rsidRDefault="00326F7A" w:rsidP="003A6D80">
      <w:pPr>
        <w:pStyle w:val="NormalWeb"/>
        <w:rPr>
          <w:rFonts w:ascii="Aptos" w:hAnsi="Aptos"/>
          <w:i/>
          <w:iCs/>
        </w:rPr>
      </w:pPr>
      <w:r w:rsidRPr="00DB5E03">
        <w:rPr>
          <w:rFonts w:ascii="Aptos" w:hAnsi="Aptos"/>
        </w:rPr>
        <w:t xml:space="preserve">Source: Department of Home Affairs, </w:t>
      </w:r>
      <w:r w:rsidRPr="00DB5E03">
        <w:rPr>
          <w:rFonts w:ascii="Aptos" w:hAnsi="Aptos"/>
          <w:i/>
          <w:iCs/>
        </w:rPr>
        <w:t xml:space="preserve">Student and temporary graduate visa report </w:t>
      </w:r>
    </w:p>
    <w:p w14:paraId="2967C1CD" w14:textId="5585562E" w:rsidR="008E1017" w:rsidRPr="00DB5E03" w:rsidRDefault="008E1017" w:rsidP="001832E1">
      <w:pPr>
        <w:pStyle w:val="Heading2"/>
        <w:rPr>
          <w:rFonts w:ascii="Aptos" w:hAnsi="Aptos"/>
          <w:sz w:val="28"/>
          <w:szCs w:val="28"/>
        </w:rPr>
      </w:pPr>
      <w:bookmarkStart w:id="11" w:name="_Toc213838207"/>
      <w:r w:rsidRPr="00DB5E03">
        <w:rPr>
          <w:rStyle w:val="Emphasis"/>
          <w:rFonts w:ascii="Aptos" w:hAnsi="Aptos"/>
          <w:sz w:val="28"/>
          <w:szCs w:val="28"/>
        </w:rPr>
        <w:lastRenderedPageBreak/>
        <w:t>The public interest</w:t>
      </w:r>
      <w:bookmarkEnd w:id="11"/>
      <w:r w:rsidRPr="00DB5E03">
        <w:rPr>
          <w:rStyle w:val="Emphasis"/>
          <w:rFonts w:ascii="Aptos" w:hAnsi="Aptos"/>
          <w:sz w:val="28"/>
          <w:szCs w:val="28"/>
        </w:rPr>
        <w:t xml:space="preserve"> </w:t>
      </w:r>
    </w:p>
    <w:p w14:paraId="0C82B0ED" w14:textId="405535DE" w:rsidR="008E1017" w:rsidRPr="00DB5E03" w:rsidRDefault="008E1017" w:rsidP="008E1017">
      <w:pPr>
        <w:pStyle w:val="NormalWeb"/>
        <w:rPr>
          <w:rFonts w:ascii="Aptos" w:hAnsi="Aptos"/>
        </w:rPr>
      </w:pPr>
      <w:r w:rsidRPr="00DB5E03">
        <w:rPr>
          <w:rFonts w:ascii="Aptos" w:hAnsi="Aptos"/>
        </w:rPr>
        <w:t>If the minister cannot find reasons to cancel a 'class of courses' on standard of delivery or skills grounds there is a broad 'public interest' provision: section 96B(1)(c).</w:t>
      </w:r>
      <w:r w:rsidR="00A72C8D" w:rsidRPr="00DB5E03">
        <w:rPr>
          <w:rFonts w:ascii="Aptos" w:hAnsi="Aptos"/>
        </w:rPr>
        <w:t xml:space="preserve"> </w:t>
      </w:r>
      <w:r w:rsidR="00E17A8D" w:rsidRPr="00DB5E03">
        <w:rPr>
          <w:rFonts w:ascii="Aptos" w:hAnsi="Aptos"/>
        </w:rPr>
        <w:t xml:space="preserve">The ‘public interest’ is not specifically defined, although there is a list of considerations applying to all three of </w:t>
      </w:r>
      <w:r w:rsidR="001F6615">
        <w:rPr>
          <w:rFonts w:ascii="Aptos" w:hAnsi="Aptos"/>
        </w:rPr>
        <w:t xml:space="preserve">the </w:t>
      </w:r>
      <w:r w:rsidR="00E17A8D" w:rsidRPr="00DB5E03">
        <w:rPr>
          <w:rFonts w:ascii="Aptos" w:hAnsi="Aptos"/>
        </w:rPr>
        <w:t xml:space="preserve">standard of delivery, skills needs, and </w:t>
      </w:r>
      <w:r w:rsidR="001F6615">
        <w:rPr>
          <w:rFonts w:ascii="Aptos" w:hAnsi="Aptos"/>
        </w:rPr>
        <w:t>p</w:t>
      </w:r>
      <w:r w:rsidR="00E17A8D" w:rsidRPr="00DB5E03">
        <w:rPr>
          <w:rFonts w:ascii="Aptos" w:hAnsi="Aptos"/>
        </w:rPr>
        <w:t>ublic interest</w:t>
      </w:r>
      <w:r w:rsidR="001F6615">
        <w:rPr>
          <w:rFonts w:ascii="Aptos" w:hAnsi="Aptos"/>
        </w:rPr>
        <w:t xml:space="preserve"> criteria</w:t>
      </w:r>
      <w:r w:rsidR="00E17A8D" w:rsidRPr="00DB5E03">
        <w:rPr>
          <w:rFonts w:ascii="Aptos" w:hAnsi="Aptos"/>
        </w:rPr>
        <w:t>: section 96</w:t>
      </w:r>
      <w:proofErr w:type="gramStart"/>
      <w:r w:rsidR="00E17A8D" w:rsidRPr="00DB5E03">
        <w:rPr>
          <w:rFonts w:ascii="Aptos" w:hAnsi="Aptos"/>
        </w:rPr>
        <w:t>B(</w:t>
      </w:r>
      <w:proofErr w:type="gramEnd"/>
      <w:r w:rsidR="00E17A8D" w:rsidRPr="00DB5E03">
        <w:rPr>
          <w:rFonts w:ascii="Aptos" w:hAnsi="Aptos"/>
        </w:rPr>
        <w:t xml:space="preserve">2). </w:t>
      </w:r>
    </w:p>
    <w:p w14:paraId="50D2EA4C" w14:textId="3A02AB61" w:rsidR="0044273B" w:rsidRPr="00DB5E03" w:rsidRDefault="00C32563" w:rsidP="008E1017">
      <w:pPr>
        <w:pStyle w:val="NormalWeb"/>
        <w:rPr>
          <w:rFonts w:ascii="Aptos" w:hAnsi="Aptos"/>
        </w:rPr>
      </w:pPr>
      <w:r w:rsidRPr="00DB5E03">
        <w:rPr>
          <w:rFonts w:ascii="Aptos" w:hAnsi="Aptos"/>
        </w:rPr>
        <w:t>In a search on the term ‘public interest’ on the legislation.gov.au website I found no examples of the phrase being used</w:t>
      </w:r>
      <w:r w:rsidR="00E17A8D" w:rsidRPr="00DB5E03">
        <w:rPr>
          <w:rFonts w:ascii="Aptos" w:hAnsi="Aptos"/>
        </w:rPr>
        <w:t xml:space="preserve"> without clear guidance for decision making.</w:t>
      </w:r>
      <w:r w:rsidRPr="00DB5E03">
        <w:rPr>
          <w:rFonts w:ascii="Aptos" w:hAnsi="Aptos"/>
        </w:rPr>
        <w:t xml:space="preserve"> </w:t>
      </w:r>
      <w:r w:rsidR="001F6615">
        <w:rPr>
          <w:rFonts w:ascii="Aptos" w:hAnsi="Aptos"/>
        </w:rPr>
        <w:t>L</w:t>
      </w:r>
      <w:r w:rsidRPr="00DB5E03">
        <w:rPr>
          <w:rFonts w:ascii="Aptos" w:hAnsi="Aptos"/>
        </w:rPr>
        <w:t>egislation or legislative instrument</w:t>
      </w:r>
      <w:r w:rsidR="001F6615">
        <w:rPr>
          <w:rFonts w:ascii="Aptos" w:hAnsi="Aptos"/>
        </w:rPr>
        <w:t>s</w:t>
      </w:r>
      <w:r w:rsidRPr="00DB5E03">
        <w:rPr>
          <w:rFonts w:ascii="Aptos" w:hAnsi="Aptos"/>
        </w:rPr>
        <w:t xml:space="preserve"> </w:t>
      </w:r>
      <w:r w:rsidR="001F6615">
        <w:rPr>
          <w:rFonts w:ascii="Aptos" w:hAnsi="Aptos"/>
        </w:rPr>
        <w:t>usually list</w:t>
      </w:r>
      <w:r w:rsidRPr="00DB5E03">
        <w:rPr>
          <w:rFonts w:ascii="Aptos" w:hAnsi="Aptos"/>
        </w:rPr>
        <w:t xml:space="preserve"> matters to be considered when deciding what </w:t>
      </w:r>
      <w:r w:rsidR="006733B0" w:rsidRPr="00DB5E03">
        <w:rPr>
          <w:rFonts w:ascii="Aptos" w:hAnsi="Aptos"/>
        </w:rPr>
        <w:t xml:space="preserve">the ‘public interest’ </w:t>
      </w:r>
      <w:r w:rsidRPr="00DB5E03">
        <w:rPr>
          <w:rFonts w:ascii="Aptos" w:hAnsi="Aptos"/>
        </w:rPr>
        <w:t xml:space="preserve">means in a specific case. If this bill passes with section 96B(1)(c) in place the </w:t>
      </w:r>
      <w:r w:rsidRPr="00DB5E03">
        <w:rPr>
          <w:rFonts w:ascii="Aptos" w:hAnsi="Aptos"/>
          <w:i/>
          <w:iCs/>
        </w:rPr>
        <w:t>ESOS Act 2000</w:t>
      </w:r>
      <w:r w:rsidRPr="00DB5E03">
        <w:rPr>
          <w:rFonts w:ascii="Aptos" w:hAnsi="Aptos"/>
        </w:rPr>
        <w:t xml:space="preserve"> will provide a rare case of giving the minister no guidance on </w:t>
      </w:r>
      <w:r w:rsidR="006733B0" w:rsidRPr="00DB5E03">
        <w:rPr>
          <w:rFonts w:ascii="Aptos" w:hAnsi="Aptos"/>
        </w:rPr>
        <w:t xml:space="preserve">‘public interest’ </w:t>
      </w:r>
      <w:r w:rsidRPr="00DB5E03">
        <w:rPr>
          <w:rFonts w:ascii="Aptos" w:hAnsi="Aptos"/>
        </w:rPr>
        <w:t xml:space="preserve">decision making. </w:t>
      </w:r>
    </w:p>
    <w:p w14:paraId="047137B5" w14:textId="0A3D674D" w:rsidR="00C32563" w:rsidRPr="00DB5E03" w:rsidRDefault="0044273B" w:rsidP="008E1017">
      <w:pPr>
        <w:pStyle w:val="NormalWeb"/>
        <w:rPr>
          <w:rFonts w:ascii="Aptos" w:hAnsi="Aptos"/>
        </w:rPr>
      </w:pPr>
      <w:r w:rsidRPr="00DB5E03">
        <w:rPr>
          <w:rFonts w:ascii="Aptos" w:hAnsi="Aptos"/>
        </w:rPr>
        <w:t xml:space="preserve">The High Court has said that the public interest will be determined with reference to the ‘scope and purpose’ of the Act in which it appears: </w:t>
      </w:r>
      <w:r w:rsidRPr="00DB5E03">
        <w:rPr>
          <w:rFonts w:ascii="Aptos" w:hAnsi="Aptos"/>
          <w:i/>
          <w:iCs/>
        </w:rPr>
        <w:t xml:space="preserve">Hogan v </w:t>
      </w:r>
      <w:proofErr w:type="spellStart"/>
      <w:r w:rsidRPr="00DB5E03">
        <w:rPr>
          <w:rFonts w:ascii="Aptos" w:hAnsi="Aptos"/>
          <w:i/>
          <w:iCs/>
        </w:rPr>
        <w:t>Hinch</w:t>
      </w:r>
      <w:proofErr w:type="spellEnd"/>
      <w:r w:rsidRPr="00DB5E03">
        <w:rPr>
          <w:rFonts w:ascii="Aptos" w:hAnsi="Aptos"/>
        </w:rPr>
        <w:t xml:space="preserve"> [2011), paragraphs 31 and 69. That would </w:t>
      </w:r>
      <w:r w:rsidR="001E66C4" w:rsidRPr="00DB5E03">
        <w:rPr>
          <w:rFonts w:ascii="Aptos" w:hAnsi="Aptos"/>
        </w:rPr>
        <w:t xml:space="preserve">give </w:t>
      </w:r>
      <w:r w:rsidRPr="00DB5E03">
        <w:rPr>
          <w:rFonts w:ascii="Aptos" w:hAnsi="Aptos"/>
        </w:rPr>
        <w:t xml:space="preserve">aggrieved providers grounds for a legal challenge if the minister claimed public interest reasons extraneous to the </w:t>
      </w:r>
      <w:r w:rsidRPr="00DB5E03">
        <w:rPr>
          <w:rFonts w:ascii="Aptos" w:hAnsi="Aptos"/>
          <w:i/>
          <w:iCs/>
        </w:rPr>
        <w:t>ESOS Act 2000</w:t>
      </w:r>
      <w:r w:rsidR="00830EFE" w:rsidRPr="00DB5E03">
        <w:rPr>
          <w:rFonts w:ascii="Aptos" w:hAnsi="Aptos"/>
        </w:rPr>
        <w:t>. But this would not provide any</w:t>
      </w:r>
      <w:r w:rsidRPr="00DB5E03">
        <w:rPr>
          <w:rFonts w:ascii="Aptos" w:hAnsi="Aptos"/>
        </w:rPr>
        <w:t xml:space="preserve"> limits </w:t>
      </w:r>
      <w:r w:rsidR="001E66C4" w:rsidRPr="00DB5E03">
        <w:rPr>
          <w:rFonts w:ascii="Aptos" w:hAnsi="Aptos"/>
        </w:rPr>
        <w:t xml:space="preserve">on decision making within the purposes of the Act. </w:t>
      </w:r>
    </w:p>
    <w:p w14:paraId="0CCA2EF5" w14:textId="5E41ABD8" w:rsidR="008E1017" w:rsidRPr="00DB5E03" w:rsidRDefault="003413CB" w:rsidP="008E1017">
      <w:pPr>
        <w:pStyle w:val="NormalWeb"/>
        <w:rPr>
          <w:rFonts w:ascii="Aptos" w:hAnsi="Aptos"/>
        </w:rPr>
      </w:pPr>
      <w:r w:rsidRPr="00DB5E03">
        <w:rPr>
          <w:rFonts w:ascii="Aptos" w:hAnsi="Aptos"/>
        </w:rPr>
        <w:t>While the legislation itself is silent on the public interest, the explanatory memorandum gives as examples</w:t>
      </w:r>
      <w:r w:rsidR="008E1017" w:rsidRPr="00DB5E03">
        <w:rPr>
          <w:rFonts w:ascii="Aptos" w:hAnsi="Aptos"/>
        </w:rPr>
        <w:t xml:space="preserve"> 'courses which are used by students to subvert immigration and education systems' and 'courses that are exploitative of their students': p. 60 </w:t>
      </w:r>
    </w:p>
    <w:p w14:paraId="43CF35EC" w14:textId="0FF88BF6" w:rsidR="00A80F35" w:rsidRPr="00DB5E03" w:rsidRDefault="001F6615" w:rsidP="00A80F35">
      <w:pPr>
        <w:pStyle w:val="NormalWeb"/>
        <w:rPr>
          <w:rFonts w:ascii="Aptos" w:hAnsi="Aptos"/>
        </w:rPr>
      </w:pPr>
      <w:r>
        <w:rPr>
          <w:rFonts w:ascii="Aptos" w:hAnsi="Aptos"/>
        </w:rPr>
        <w:t xml:space="preserve">While the bill requires the education minister to consult the vocational education minister before cancelling VET courses, it </w:t>
      </w:r>
      <w:r w:rsidR="00A80F35" w:rsidRPr="00DB5E03">
        <w:rPr>
          <w:rFonts w:ascii="Aptos" w:hAnsi="Aptos"/>
        </w:rPr>
        <w:t xml:space="preserve">does not require the education minister to consult with the immigration minister before cancelling a class of courses on migration-related grounds. </w:t>
      </w:r>
    </w:p>
    <w:p w14:paraId="4240D2DF" w14:textId="353DCEF6" w:rsidR="003413CB" w:rsidRPr="00415C34" w:rsidRDefault="003413CB" w:rsidP="003413CB">
      <w:pPr>
        <w:pStyle w:val="Heading3"/>
        <w:rPr>
          <w:rFonts w:ascii="Aptos" w:hAnsi="Aptos"/>
          <w:i/>
          <w:iCs/>
        </w:rPr>
      </w:pPr>
      <w:bookmarkStart w:id="12" w:name="_Toc213838208"/>
      <w:r w:rsidRPr="00415C34">
        <w:rPr>
          <w:rFonts w:ascii="Aptos" w:hAnsi="Aptos"/>
          <w:i/>
          <w:iCs/>
        </w:rPr>
        <w:t xml:space="preserve">Existing </w:t>
      </w:r>
      <w:r w:rsidR="009E3E04" w:rsidRPr="00415C34">
        <w:rPr>
          <w:rFonts w:ascii="Aptos" w:hAnsi="Aptos"/>
          <w:i/>
          <w:iCs/>
        </w:rPr>
        <w:t xml:space="preserve">and proposed </w:t>
      </w:r>
      <w:r w:rsidRPr="00415C34">
        <w:rPr>
          <w:rFonts w:ascii="Aptos" w:hAnsi="Aptos"/>
          <w:i/>
          <w:iCs/>
        </w:rPr>
        <w:t>rules that achieve the same purpose</w:t>
      </w:r>
      <w:bookmarkEnd w:id="12"/>
    </w:p>
    <w:p w14:paraId="2CECA34D" w14:textId="1FA92773" w:rsidR="00F85FA4" w:rsidRPr="00DB5E03" w:rsidRDefault="00F85FA4" w:rsidP="008E1017">
      <w:pPr>
        <w:pStyle w:val="NormalWeb"/>
        <w:rPr>
          <w:rFonts w:ascii="Aptos" w:hAnsi="Aptos"/>
        </w:rPr>
      </w:pPr>
      <w:r w:rsidRPr="00DB5E03">
        <w:rPr>
          <w:rFonts w:ascii="Aptos" w:hAnsi="Aptos"/>
        </w:rPr>
        <w:t xml:space="preserve">The </w:t>
      </w:r>
      <w:r w:rsidRPr="00DB5E03">
        <w:rPr>
          <w:rFonts w:ascii="Aptos" w:hAnsi="Aptos"/>
          <w:i/>
          <w:iCs/>
        </w:rPr>
        <w:t>ESOS Act 2000</w:t>
      </w:r>
      <w:r w:rsidR="008E1017" w:rsidRPr="00DB5E03">
        <w:rPr>
          <w:rFonts w:ascii="Aptos" w:hAnsi="Aptos"/>
        </w:rPr>
        <w:t xml:space="preserve"> already </w:t>
      </w:r>
      <w:r w:rsidRPr="00DB5E03">
        <w:rPr>
          <w:rFonts w:ascii="Aptos" w:hAnsi="Aptos"/>
        </w:rPr>
        <w:t xml:space="preserve">includes </w:t>
      </w:r>
      <w:r w:rsidR="008E1017" w:rsidRPr="00DB5E03">
        <w:rPr>
          <w:rFonts w:ascii="Aptos" w:hAnsi="Aptos"/>
        </w:rPr>
        <w:t xml:space="preserve">a power, held by the immigration minister, to suspend a provider with immigration issues: section 97. </w:t>
      </w:r>
      <w:r w:rsidR="00A84D20" w:rsidRPr="00DB5E03">
        <w:rPr>
          <w:rFonts w:ascii="Aptos" w:hAnsi="Aptos"/>
        </w:rPr>
        <w:t xml:space="preserve">This can occur if a ‘significant number of overseas students or intending overseas students’ at the provider are ‘entering or remaining in Australia for purposes not contemplated by their visas’. Section 97(2) sets out matters that the minister may consider, including visa applications with fraudulent documents, </w:t>
      </w:r>
      <w:r w:rsidR="00A80F35" w:rsidRPr="00DB5E03">
        <w:rPr>
          <w:rFonts w:ascii="Aptos" w:hAnsi="Aptos"/>
        </w:rPr>
        <w:t xml:space="preserve">the </w:t>
      </w:r>
      <w:r w:rsidR="00A84D20" w:rsidRPr="00DB5E03">
        <w:rPr>
          <w:rFonts w:ascii="Aptos" w:hAnsi="Aptos"/>
        </w:rPr>
        <w:t xml:space="preserve">number of students who have breached visa conditions, </w:t>
      </w:r>
      <w:r w:rsidR="00A80F35" w:rsidRPr="00DB5E03">
        <w:rPr>
          <w:rFonts w:ascii="Aptos" w:hAnsi="Aptos"/>
        </w:rPr>
        <w:t xml:space="preserve">the </w:t>
      </w:r>
      <w:r w:rsidR="00A84D20" w:rsidRPr="00DB5E03">
        <w:rPr>
          <w:rFonts w:ascii="Aptos" w:hAnsi="Aptos"/>
        </w:rPr>
        <w:t xml:space="preserve">number of former students who have remained in Australia unlawfully after finishing their courses, and other matters set out in regulations. </w:t>
      </w:r>
      <w:r w:rsidR="00A80F35" w:rsidRPr="00DB5E03">
        <w:rPr>
          <w:rFonts w:ascii="Aptos" w:hAnsi="Aptos"/>
        </w:rPr>
        <w:t xml:space="preserve">These regulations add protection visa applications to this list and create a way of calculating an overall score for a provider: </w:t>
      </w:r>
      <w:r w:rsidR="00A80F35" w:rsidRPr="00DB5E03">
        <w:rPr>
          <w:rFonts w:ascii="Aptos" w:hAnsi="Aptos"/>
          <w:i/>
          <w:iCs/>
        </w:rPr>
        <w:t>Migration (Suspension Certificate Matters) 2024.</w:t>
      </w:r>
      <w:r w:rsidR="00A80F35" w:rsidRPr="00DB5E03">
        <w:rPr>
          <w:rFonts w:ascii="Aptos" w:hAnsi="Aptos"/>
        </w:rPr>
        <w:t xml:space="preserve"> </w:t>
      </w:r>
    </w:p>
    <w:p w14:paraId="1CD0C11F" w14:textId="4D76E283" w:rsidR="00A84D20" w:rsidRPr="00DB5E03" w:rsidRDefault="00A80F35" w:rsidP="008E1017">
      <w:pPr>
        <w:pStyle w:val="NormalWeb"/>
        <w:rPr>
          <w:rFonts w:ascii="Aptos" w:hAnsi="Aptos"/>
        </w:rPr>
      </w:pPr>
      <w:r w:rsidRPr="00DB5E03">
        <w:rPr>
          <w:rFonts w:ascii="Aptos" w:hAnsi="Aptos"/>
        </w:rPr>
        <w:t xml:space="preserve">Under this existing provision there are clear rules. The system does not just rely on the minister’s opinion. </w:t>
      </w:r>
    </w:p>
    <w:p w14:paraId="7659E561" w14:textId="4D7294D8" w:rsidR="00351054" w:rsidRPr="00DB5E03" w:rsidRDefault="008E1017" w:rsidP="008E1017">
      <w:pPr>
        <w:pStyle w:val="NormalWeb"/>
        <w:rPr>
          <w:rFonts w:ascii="Aptos" w:hAnsi="Aptos"/>
        </w:rPr>
      </w:pPr>
      <w:r w:rsidRPr="00DB5E03">
        <w:rPr>
          <w:rFonts w:ascii="Aptos" w:hAnsi="Aptos"/>
        </w:rPr>
        <w:t xml:space="preserve">If students are being exploited by </w:t>
      </w:r>
      <w:r w:rsidR="00C045DF" w:rsidRPr="00DB5E03">
        <w:rPr>
          <w:rFonts w:ascii="Aptos" w:hAnsi="Aptos"/>
        </w:rPr>
        <w:t>a</w:t>
      </w:r>
      <w:r w:rsidRPr="00DB5E03">
        <w:rPr>
          <w:rFonts w:ascii="Aptos" w:hAnsi="Aptos"/>
        </w:rPr>
        <w:t xml:space="preserve"> provider there is an existing provision for the ESOS agency</w:t>
      </w:r>
      <w:r w:rsidR="00C045DF" w:rsidRPr="00DB5E03">
        <w:rPr>
          <w:rFonts w:ascii="Aptos" w:hAnsi="Aptos"/>
        </w:rPr>
        <w:t xml:space="preserve"> – ASQA or TEQSA as appropriate –</w:t>
      </w:r>
      <w:r w:rsidRPr="00DB5E03">
        <w:rPr>
          <w:rFonts w:ascii="Aptos" w:hAnsi="Aptos"/>
        </w:rPr>
        <w:t xml:space="preserve"> to find that the provider </w:t>
      </w:r>
      <w:r w:rsidR="00F03160" w:rsidRPr="00DB5E03">
        <w:rPr>
          <w:rFonts w:ascii="Aptos" w:hAnsi="Aptos"/>
        </w:rPr>
        <w:t xml:space="preserve">or a related person of the provider </w:t>
      </w:r>
      <w:r w:rsidRPr="00DB5E03">
        <w:rPr>
          <w:rFonts w:ascii="Aptos" w:hAnsi="Aptos"/>
        </w:rPr>
        <w:t xml:space="preserve">is no longer 'fit and proper to be registered': section 7A. </w:t>
      </w:r>
      <w:r w:rsidR="00F03160" w:rsidRPr="00DB5E03">
        <w:rPr>
          <w:rFonts w:ascii="Aptos" w:hAnsi="Aptos"/>
        </w:rPr>
        <w:t xml:space="preserve">A related person of the </w:t>
      </w:r>
      <w:r w:rsidR="00F03160" w:rsidRPr="00DB5E03">
        <w:rPr>
          <w:rFonts w:ascii="Aptos" w:hAnsi="Aptos"/>
        </w:rPr>
        <w:lastRenderedPageBreak/>
        <w:t>provider is a ‘high managerial agent of the provider’ or an associate of the provider who has been, or will be, involved in the provision of courses: section 7</w:t>
      </w:r>
      <w:proofErr w:type="gramStart"/>
      <w:r w:rsidR="00F03160" w:rsidRPr="00DB5E03">
        <w:rPr>
          <w:rFonts w:ascii="Aptos" w:hAnsi="Aptos"/>
        </w:rPr>
        <w:t>A(</w:t>
      </w:r>
      <w:proofErr w:type="gramEnd"/>
      <w:r w:rsidR="00F03160" w:rsidRPr="00DB5E03">
        <w:rPr>
          <w:rFonts w:ascii="Aptos" w:hAnsi="Aptos"/>
        </w:rPr>
        <w:t>3).</w:t>
      </w:r>
    </w:p>
    <w:p w14:paraId="3FC4EDEC" w14:textId="2E937AD6" w:rsidR="00F03160" w:rsidRPr="00DB5E03" w:rsidRDefault="00F03160" w:rsidP="008E1017">
      <w:pPr>
        <w:pStyle w:val="NormalWeb"/>
        <w:rPr>
          <w:rFonts w:ascii="Aptos" w:hAnsi="Aptos"/>
        </w:rPr>
      </w:pPr>
      <w:r w:rsidRPr="00DB5E03">
        <w:rPr>
          <w:rFonts w:ascii="Aptos" w:hAnsi="Aptos"/>
        </w:rPr>
        <w:t>One grounds for the provider being found not fit and proper is whether they have ever been convicted of an offence: section 7A(2)(a). The amending bill would extend this to whether the provider or a related person is under investigation for specified offences that are commonly associated with exploitation: proposed section 7A(</w:t>
      </w:r>
      <w:proofErr w:type="gramStart"/>
      <w:r w:rsidRPr="00DB5E03">
        <w:rPr>
          <w:rFonts w:ascii="Aptos" w:hAnsi="Aptos"/>
        </w:rPr>
        <w:t>2)(</w:t>
      </w:r>
      <w:proofErr w:type="gramEnd"/>
      <w:r w:rsidRPr="00DB5E03">
        <w:rPr>
          <w:rFonts w:ascii="Aptos" w:hAnsi="Aptos"/>
        </w:rPr>
        <w:t xml:space="preserve">aa). </w:t>
      </w:r>
    </w:p>
    <w:p w14:paraId="6ADC3CC1" w14:textId="770B2D35" w:rsidR="00F03160" w:rsidRPr="00DB5E03" w:rsidRDefault="00F03160" w:rsidP="008E1017">
      <w:pPr>
        <w:pStyle w:val="NormalWeb"/>
        <w:rPr>
          <w:rFonts w:ascii="Aptos" w:hAnsi="Aptos"/>
        </w:rPr>
      </w:pPr>
      <w:r w:rsidRPr="00DB5E03">
        <w:rPr>
          <w:rFonts w:ascii="Aptos" w:hAnsi="Aptos"/>
        </w:rPr>
        <w:t xml:space="preserve">These are: </w:t>
      </w:r>
    </w:p>
    <w:p w14:paraId="02D2412B" w14:textId="1E5203A2" w:rsidR="00F03160" w:rsidRPr="00DB5E03" w:rsidRDefault="00F03160" w:rsidP="00F03160">
      <w:pPr>
        <w:pStyle w:val="NormalWeb"/>
        <w:numPr>
          <w:ilvl w:val="0"/>
          <w:numId w:val="16"/>
        </w:numPr>
        <w:rPr>
          <w:rFonts w:ascii="Aptos" w:hAnsi="Aptos"/>
        </w:rPr>
      </w:pPr>
      <w:r w:rsidRPr="00DB5E03">
        <w:rPr>
          <w:rFonts w:ascii="Aptos" w:hAnsi="Aptos"/>
        </w:rPr>
        <w:t xml:space="preserve">Division 270 of the </w:t>
      </w:r>
      <w:r w:rsidRPr="00DB5E03">
        <w:rPr>
          <w:rFonts w:ascii="Aptos" w:hAnsi="Aptos"/>
          <w:i/>
          <w:iCs/>
        </w:rPr>
        <w:t>Criminal Code Act 1995</w:t>
      </w:r>
      <w:r w:rsidRPr="00DB5E03">
        <w:rPr>
          <w:rFonts w:ascii="Aptos" w:hAnsi="Aptos"/>
        </w:rPr>
        <w:t xml:space="preserve">, which covers slavery and slavery-like offences. </w:t>
      </w:r>
      <w:r w:rsidR="001E6FAA" w:rsidRPr="00DB5E03">
        <w:rPr>
          <w:rFonts w:ascii="Aptos" w:hAnsi="Aptos"/>
        </w:rPr>
        <w:t>This includes forced labour and debt bondage.</w:t>
      </w:r>
    </w:p>
    <w:p w14:paraId="4B622DCD" w14:textId="58F3D719" w:rsidR="001E6FAA" w:rsidRPr="00DB5E03" w:rsidRDefault="001E6FAA" w:rsidP="00F03160">
      <w:pPr>
        <w:pStyle w:val="NormalWeb"/>
        <w:numPr>
          <w:ilvl w:val="0"/>
          <w:numId w:val="16"/>
        </w:numPr>
        <w:rPr>
          <w:rFonts w:ascii="Aptos" w:hAnsi="Aptos"/>
        </w:rPr>
      </w:pPr>
      <w:r w:rsidRPr="00DB5E03">
        <w:rPr>
          <w:rFonts w:ascii="Aptos" w:hAnsi="Aptos"/>
        </w:rPr>
        <w:t xml:space="preserve">Division 271 of the </w:t>
      </w:r>
      <w:r w:rsidRPr="00DB5E03">
        <w:rPr>
          <w:rFonts w:ascii="Aptos" w:hAnsi="Aptos"/>
          <w:i/>
          <w:iCs/>
        </w:rPr>
        <w:t xml:space="preserve">Criminal Code Act 1995 </w:t>
      </w:r>
      <w:r w:rsidRPr="00DB5E03">
        <w:rPr>
          <w:rFonts w:ascii="Aptos" w:hAnsi="Aptos"/>
        </w:rPr>
        <w:t>which covers trafficking in persons including for the provision of sexual services.</w:t>
      </w:r>
    </w:p>
    <w:p w14:paraId="1D8FCD8D" w14:textId="0C43CF22" w:rsidR="001E6FAA" w:rsidRPr="00DB5E03" w:rsidRDefault="00701FCD" w:rsidP="00E7797A">
      <w:pPr>
        <w:pStyle w:val="NormalWeb"/>
        <w:rPr>
          <w:rFonts w:ascii="Aptos" w:hAnsi="Aptos"/>
        </w:rPr>
      </w:pPr>
      <w:r w:rsidRPr="00DB5E03">
        <w:rPr>
          <w:rFonts w:ascii="Aptos" w:hAnsi="Aptos"/>
        </w:rPr>
        <w:t>Any conviction under these laws would already contribute to the fit and proper person test under existing section 7A(2)(a).</w:t>
      </w:r>
    </w:p>
    <w:p w14:paraId="55375EBE" w14:textId="4D1E0A39" w:rsidR="006D4622" w:rsidRPr="00DB5E03" w:rsidRDefault="00985ADE" w:rsidP="008E1017">
      <w:pPr>
        <w:pStyle w:val="NormalWeb"/>
        <w:rPr>
          <w:rFonts w:ascii="Aptos" w:hAnsi="Aptos"/>
        </w:rPr>
      </w:pPr>
      <w:r w:rsidRPr="00DB5E03">
        <w:rPr>
          <w:rFonts w:ascii="Aptos" w:hAnsi="Aptos"/>
        </w:rPr>
        <w:t>If the provider is found not to be fit and proper its</w:t>
      </w:r>
      <w:r w:rsidR="008E1017" w:rsidRPr="00DB5E03">
        <w:rPr>
          <w:rFonts w:ascii="Aptos" w:hAnsi="Aptos"/>
        </w:rPr>
        <w:t xml:space="preserve"> registration is automatically suspended: section 89.</w:t>
      </w:r>
    </w:p>
    <w:p w14:paraId="5E77D4CA" w14:textId="7F5ACF15" w:rsidR="008F45FB" w:rsidRPr="00DB5E03" w:rsidRDefault="00C045DF" w:rsidP="00C045DF">
      <w:pPr>
        <w:pStyle w:val="Heading2"/>
        <w:rPr>
          <w:rFonts w:ascii="Aptos" w:hAnsi="Aptos"/>
          <w:sz w:val="28"/>
          <w:szCs w:val="28"/>
        </w:rPr>
      </w:pPr>
      <w:bookmarkStart w:id="13" w:name="_Toc213838209"/>
      <w:r w:rsidRPr="00DB5E03">
        <w:rPr>
          <w:rFonts w:ascii="Aptos" w:hAnsi="Aptos"/>
          <w:sz w:val="28"/>
          <w:szCs w:val="28"/>
        </w:rPr>
        <w:t>The rule of law</w:t>
      </w:r>
      <w:bookmarkEnd w:id="13"/>
    </w:p>
    <w:p w14:paraId="1BCB47EF" w14:textId="77777777" w:rsidR="00A92E32" w:rsidRPr="00DB5E03" w:rsidRDefault="00A92E32" w:rsidP="00D76C71">
      <w:pPr>
        <w:pStyle w:val="NormalWeb"/>
        <w:rPr>
          <w:rFonts w:ascii="Aptos" w:hAnsi="Aptos"/>
        </w:rPr>
      </w:pPr>
      <w:r w:rsidRPr="00DB5E03">
        <w:rPr>
          <w:rFonts w:ascii="Aptos" w:hAnsi="Aptos"/>
        </w:rPr>
        <w:t>The reasons given for division 1AB in the bill’s explanatory memorandum can largely be achieved by other means, most of which are already law.  What division 1AB does over-and-above existing provisions – within the important constraint of disallowance by the Senate or House of Representatives – is suspend the rule of law.</w:t>
      </w:r>
    </w:p>
    <w:p w14:paraId="0D01C928" w14:textId="434FDF2C" w:rsidR="00701FCD" w:rsidRPr="00DB5E03" w:rsidRDefault="00167CEA" w:rsidP="00D76C71">
      <w:pPr>
        <w:pStyle w:val="NormalWeb"/>
        <w:rPr>
          <w:rFonts w:ascii="Aptos" w:hAnsi="Aptos"/>
        </w:rPr>
      </w:pPr>
      <w:r w:rsidRPr="00DB5E03">
        <w:rPr>
          <w:rFonts w:ascii="Aptos" w:hAnsi="Aptos"/>
        </w:rPr>
        <w:t>Laws should be knowable and predictable, but t</w:t>
      </w:r>
      <w:r w:rsidR="00A92E32" w:rsidRPr="00DB5E03">
        <w:rPr>
          <w:rFonts w:ascii="Aptos" w:hAnsi="Aptos"/>
        </w:rPr>
        <w:t xml:space="preserve">he bill gives the </w:t>
      </w:r>
      <w:r w:rsidR="006C6046" w:rsidRPr="00DB5E03">
        <w:rPr>
          <w:rFonts w:ascii="Aptos" w:hAnsi="Aptos"/>
        </w:rPr>
        <w:t xml:space="preserve">education </w:t>
      </w:r>
      <w:r w:rsidR="00A92E32" w:rsidRPr="00DB5E03">
        <w:rPr>
          <w:rFonts w:ascii="Aptos" w:hAnsi="Aptos"/>
        </w:rPr>
        <w:t xml:space="preserve">minister wide discretion to decide for himself </w:t>
      </w:r>
      <w:r w:rsidR="006C6046" w:rsidRPr="00DB5E03">
        <w:rPr>
          <w:rFonts w:ascii="Aptos" w:hAnsi="Aptos"/>
        </w:rPr>
        <w:t xml:space="preserve">or herself </w:t>
      </w:r>
      <w:r w:rsidR="00A92E32" w:rsidRPr="00DB5E03">
        <w:rPr>
          <w:rFonts w:ascii="Aptos" w:hAnsi="Aptos"/>
        </w:rPr>
        <w:t>what is meant by a standard of delivery issue, skills needs or the public interest</w:t>
      </w:r>
      <w:r w:rsidRPr="00DB5E03">
        <w:rPr>
          <w:rFonts w:ascii="Aptos" w:hAnsi="Aptos"/>
        </w:rPr>
        <w:t xml:space="preserve">. </w:t>
      </w:r>
    </w:p>
    <w:p w14:paraId="1402DF0B" w14:textId="28D6D310" w:rsidR="00167CEA" w:rsidRPr="00DB5E03" w:rsidRDefault="00167CEA" w:rsidP="00D76C71">
      <w:pPr>
        <w:pStyle w:val="NormalWeb"/>
        <w:rPr>
          <w:rFonts w:ascii="Aptos" w:hAnsi="Aptos"/>
        </w:rPr>
      </w:pPr>
      <w:r w:rsidRPr="00DB5E03">
        <w:rPr>
          <w:rFonts w:ascii="Aptos" w:hAnsi="Aptos"/>
        </w:rPr>
        <w:t xml:space="preserve">As drafted, division 1AB would see all courses in a ‘class of courses’ cancelled even for providers not individually guilty of the problems identified as frequent in the class. It is a form of collective punishment. </w:t>
      </w:r>
    </w:p>
    <w:p w14:paraId="4805CA7E" w14:textId="13542FD6" w:rsidR="00167CEA" w:rsidRPr="00DB5E03" w:rsidRDefault="00167CEA" w:rsidP="00D76C71">
      <w:pPr>
        <w:pStyle w:val="NormalWeb"/>
        <w:rPr>
          <w:rFonts w:ascii="Aptos" w:hAnsi="Aptos"/>
        </w:rPr>
      </w:pPr>
      <w:r w:rsidRPr="00DB5E03">
        <w:rPr>
          <w:rFonts w:ascii="Aptos" w:hAnsi="Aptos"/>
        </w:rPr>
        <w:t>It may be the case that th</w:t>
      </w:r>
      <w:r w:rsidR="006C6046" w:rsidRPr="00DB5E03">
        <w:rPr>
          <w:rFonts w:ascii="Aptos" w:hAnsi="Aptos"/>
        </w:rPr>
        <w:t>e current</w:t>
      </w:r>
      <w:r w:rsidRPr="00DB5E03">
        <w:rPr>
          <w:rFonts w:ascii="Aptos" w:hAnsi="Aptos"/>
        </w:rPr>
        <w:t xml:space="preserve"> minister would use these powers occasionally, if at all. But recent experience in the United States highlights how powers, once granted, can be used by future leaders in ways that were not intended. </w:t>
      </w:r>
    </w:p>
    <w:p w14:paraId="3D9ED567" w14:textId="69C8147F" w:rsidR="00A92E32" w:rsidRPr="00DB5E03" w:rsidRDefault="00167CEA" w:rsidP="00D76C71">
      <w:pPr>
        <w:pStyle w:val="NormalWeb"/>
        <w:rPr>
          <w:rFonts w:ascii="Aptos" w:hAnsi="Aptos"/>
        </w:rPr>
      </w:pPr>
      <w:r w:rsidRPr="00DB5E03">
        <w:rPr>
          <w:rFonts w:ascii="Aptos" w:hAnsi="Aptos"/>
        </w:rPr>
        <w:t xml:space="preserve">The safest thing to do is to remove division 1AB from the bill. </w:t>
      </w:r>
    </w:p>
    <w:p w14:paraId="4A40BBFF" w14:textId="77777777" w:rsidR="001F6615" w:rsidRPr="001F6615" w:rsidRDefault="001F6615" w:rsidP="001F6615">
      <w:pPr>
        <w:pStyle w:val="Heading3"/>
        <w:rPr>
          <w:rFonts w:ascii="Aptos" w:hAnsi="Aptos"/>
          <w:sz w:val="28"/>
          <w:szCs w:val="28"/>
        </w:rPr>
      </w:pPr>
      <w:bookmarkStart w:id="14" w:name="_Toc213838210"/>
      <w:r w:rsidRPr="001F6615">
        <w:rPr>
          <w:rFonts w:ascii="Aptos" w:hAnsi="Aptos"/>
          <w:sz w:val="28"/>
          <w:szCs w:val="28"/>
        </w:rPr>
        <w:t>Recommendations</w:t>
      </w:r>
      <w:bookmarkEnd w:id="14"/>
    </w:p>
    <w:p w14:paraId="712F1C93" w14:textId="77777777" w:rsidR="001F6615" w:rsidRDefault="001F6615" w:rsidP="001F6615"/>
    <w:p w14:paraId="37683195" w14:textId="77777777" w:rsidR="001F6615" w:rsidRDefault="001F6615" w:rsidP="001F6615">
      <w:pPr>
        <w:rPr>
          <w:rFonts w:ascii="Aptos" w:hAnsi="Aptos"/>
        </w:rPr>
      </w:pPr>
      <w:r w:rsidRPr="001F6615">
        <w:rPr>
          <w:rFonts w:ascii="Aptos" w:hAnsi="Aptos"/>
        </w:rPr>
        <w:t>Remove division 1AB from the bill</w:t>
      </w:r>
      <w:r>
        <w:rPr>
          <w:rFonts w:ascii="Aptos" w:hAnsi="Aptos"/>
        </w:rPr>
        <w:t xml:space="preserve">. </w:t>
      </w:r>
    </w:p>
    <w:p w14:paraId="3342F679" w14:textId="77777777" w:rsidR="001F6615" w:rsidRDefault="001F6615" w:rsidP="001F6615">
      <w:pPr>
        <w:rPr>
          <w:rFonts w:ascii="Aptos" w:hAnsi="Aptos"/>
        </w:rPr>
      </w:pPr>
    </w:p>
    <w:p w14:paraId="73F600D6" w14:textId="00BD7977" w:rsidR="00172C56" w:rsidRDefault="00172C56" w:rsidP="00172C56">
      <w:pPr>
        <w:pStyle w:val="NormalWeb"/>
        <w:rPr>
          <w:rFonts w:ascii="Aptos" w:hAnsi="Aptos"/>
        </w:rPr>
      </w:pPr>
      <w:r w:rsidRPr="00DB5E03">
        <w:rPr>
          <w:rFonts w:ascii="Aptos" w:hAnsi="Aptos"/>
        </w:rPr>
        <w:lastRenderedPageBreak/>
        <w:t xml:space="preserve">If Division 1AB is not removed from the bill entirely, the minister should be required, when exercising cancelling powers on ‘standard of delivery’ grounds, to take into account whether the relevant quality regulations have been adhered to and to consult with the relevant regulator. </w:t>
      </w:r>
    </w:p>
    <w:p w14:paraId="3C4611E4" w14:textId="7C74A4B2" w:rsidR="00172C56" w:rsidRDefault="00172C56" w:rsidP="00172C56">
      <w:pPr>
        <w:pStyle w:val="NormalWeb"/>
        <w:rPr>
          <w:rFonts w:ascii="Aptos" w:hAnsi="Aptos"/>
        </w:rPr>
      </w:pPr>
      <w:r w:rsidRPr="00DB5E03">
        <w:rPr>
          <w:rFonts w:ascii="Aptos" w:hAnsi="Aptos"/>
        </w:rPr>
        <w:t>Recommendation: If division 1AB is not removed entirely,</w:t>
      </w:r>
      <w:r>
        <w:rPr>
          <w:rFonts w:ascii="Aptos" w:hAnsi="Aptos"/>
        </w:rPr>
        <w:t xml:space="preserve"> the power to cancel courses on skills needs grounds </w:t>
      </w:r>
      <w:r w:rsidRPr="00DB5E03">
        <w:rPr>
          <w:rFonts w:ascii="Aptos" w:hAnsi="Aptos"/>
        </w:rPr>
        <w:t xml:space="preserve">should be deleted. </w:t>
      </w:r>
    </w:p>
    <w:p w14:paraId="0E5AC44B" w14:textId="77777777" w:rsidR="00E7797A" w:rsidRDefault="00E7797A" w:rsidP="00E7797A">
      <w:pPr>
        <w:rPr>
          <w:rFonts w:ascii="Aptos" w:hAnsi="Aptos"/>
          <w:szCs w:val="24"/>
        </w:rPr>
      </w:pPr>
      <w:r w:rsidRPr="001F6615">
        <w:rPr>
          <w:rFonts w:ascii="Aptos" w:hAnsi="Aptos"/>
          <w:szCs w:val="24"/>
        </w:rPr>
        <w:t>If division 1AB is not removed entirely, the public interest should be narrowed down to specific matters.</w:t>
      </w:r>
    </w:p>
    <w:p w14:paraId="473BE027" w14:textId="77777777" w:rsidR="001F6615" w:rsidRPr="001F6615" w:rsidRDefault="001F6615" w:rsidP="001F6615">
      <w:pPr>
        <w:pStyle w:val="NormalWeb"/>
        <w:rPr>
          <w:rFonts w:ascii="Aptos" w:hAnsi="Aptos"/>
        </w:rPr>
      </w:pPr>
      <w:r w:rsidRPr="001F6615">
        <w:rPr>
          <w:rFonts w:ascii="Aptos" w:hAnsi="Aptos"/>
        </w:rPr>
        <w:t>If division 1AB is not removed entirely, the education minister should be required to consult with the immigration minister before making migration-related decisions.</w:t>
      </w:r>
    </w:p>
    <w:p w14:paraId="7D64B2B0" w14:textId="3034C0FE" w:rsidR="00F16FB8" w:rsidRPr="00DB5E03" w:rsidRDefault="00F16FB8">
      <w:pPr>
        <w:rPr>
          <w:rFonts w:ascii="Aptos" w:eastAsia="Times New Roman" w:hAnsi="Aptos" w:cs="Times New Roman"/>
          <w:szCs w:val="24"/>
          <w:lang w:eastAsia="en-AU"/>
        </w:rPr>
      </w:pPr>
      <w:r w:rsidRPr="00DB5E03">
        <w:rPr>
          <w:rFonts w:ascii="Aptos" w:hAnsi="Aptos"/>
          <w:szCs w:val="24"/>
        </w:rPr>
        <w:br w:type="page"/>
      </w:r>
    </w:p>
    <w:p w14:paraId="7CEAFFCB" w14:textId="509DD9D8" w:rsidR="00F16FB8" w:rsidRPr="00DB5E03" w:rsidRDefault="00F16FB8" w:rsidP="00F16FB8">
      <w:pPr>
        <w:pStyle w:val="Heading1"/>
        <w:numPr>
          <w:ilvl w:val="0"/>
          <w:numId w:val="7"/>
        </w:numPr>
        <w:ind w:left="357" w:hanging="357"/>
        <w:rPr>
          <w:rFonts w:ascii="Aptos" w:hAnsi="Aptos" w:cstheme="minorHAnsi"/>
          <w:sz w:val="32"/>
          <w:szCs w:val="32"/>
        </w:rPr>
      </w:pPr>
      <w:bookmarkStart w:id="15" w:name="_Toc213838211"/>
      <w:r w:rsidRPr="00DB5E03">
        <w:rPr>
          <w:rFonts w:ascii="Aptos" w:hAnsi="Aptos" w:cstheme="minorHAnsi"/>
          <w:color w:val="4F81BD" w:themeColor="accent1"/>
          <w:sz w:val="32"/>
          <w:szCs w:val="32"/>
        </w:rPr>
        <w:lastRenderedPageBreak/>
        <w:t>De facto ban on new higher education providers</w:t>
      </w:r>
      <w:bookmarkEnd w:id="15"/>
      <w:r w:rsidRPr="00DB5E03">
        <w:rPr>
          <w:rFonts w:ascii="Aptos" w:hAnsi="Aptos" w:cstheme="minorHAnsi"/>
          <w:color w:val="4F81BD" w:themeColor="accent1"/>
          <w:sz w:val="32"/>
          <w:szCs w:val="32"/>
        </w:rPr>
        <w:t xml:space="preserve"> </w:t>
      </w:r>
    </w:p>
    <w:p w14:paraId="754BD12E" w14:textId="4433D180" w:rsidR="003E00EC" w:rsidRPr="00DB5E03" w:rsidRDefault="0040708D" w:rsidP="00341E0E">
      <w:pPr>
        <w:pStyle w:val="NormalWeb"/>
        <w:rPr>
          <w:rFonts w:ascii="Aptos" w:hAnsi="Aptos"/>
        </w:rPr>
      </w:pPr>
      <w:r w:rsidRPr="00DB5E03">
        <w:rPr>
          <w:rFonts w:ascii="Aptos" w:hAnsi="Aptos"/>
        </w:rPr>
        <w:t xml:space="preserve">The government wants to slow the creation of new education providers serving the international market. </w:t>
      </w:r>
      <w:r w:rsidR="00341E0E" w:rsidRPr="00DB5E03">
        <w:rPr>
          <w:rFonts w:ascii="Aptos" w:hAnsi="Aptos"/>
        </w:rPr>
        <w:t xml:space="preserve">The consequence of this, however, is likely to be a de facto ban on new higher education providers. This would happen because, under the proposed ESOS amendments, </w:t>
      </w:r>
      <w:r w:rsidR="003E00EC" w:rsidRPr="00DB5E03">
        <w:rPr>
          <w:rFonts w:ascii="Aptos" w:hAnsi="Aptos"/>
        </w:rPr>
        <w:t>providers could not offer courses to international students without first delivering courses to domestic students, but providers are generally not competitive in the domestic market without offering FEE-HELP loans. But to get access to FEE-HELP, providers must demonstrate experience in delivering higher education - in practice usually by teaching the international students the ESOS bill would stop them recruiting.</w:t>
      </w:r>
    </w:p>
    <w:p w14:paraId="66AB4907" w14:textId="77777777" w:rsidR="003E00EC" w:rsidRPr="00DB5E03" w:rsidRDefault="003E00EC" w:rsidP="00341E0E">
      <w:pPr>
        <w:pStyle w:val="Heading2"/>
        <w:rPr>
          <w:rFonts w:ascii="Aptos" w:hAnsi="Aptos"/>
          <w:sz w:val="28"/>
          <w:szCs w:val="28"/>
        </w:rPr>
      </w:pPr>
      <w:bookmarkStart w:id="16" w:name="_Toc213838212"/>
      <w:r w:rsidRPr="00DB5E03">
        <w:rPr>
          <w:rStyle w:val="Emphasis"/>
          <w:rFonts w:ascii="Aptos" w:hAnsi="Aptos"/>
          <w:sz w:val="28"/>
          <w:szCs w:val="28"/>
        </w:rPr>
        <w:t>The proposed changes</w:t>
      </w:r>
      <w:bookmarkEnd w:id="16"/>
      <w:r w:rsidRPr="00DB5E03">
        <w:rPr>
          <w:rStyle w:val="Emphasis"/>
          <w:rFonts w:ascii="Aptos" w:hAnsi="Aptos"/>
          <w:sz w:val="28"/>
          <w:szCs w:val="28"/>
        </w:rPr>
        <w:t xml:space="preserve"> </w:t>
      </w:r>
    </w:p>
    <w:p w14:paraId="541D81DC" w14:textId="77777777" w:rsidR="003E00EC" w:rsidRPr="00DB5E03" w:rsidRDefault="003E00EC" w:rsidP="003E00EC">
      <w:pPr>
        <w:pStyle w:val="NormalWeb"/>
        <w:rPr>
          <w:rFonts w:ascii="Aptos" w:hAnsi="Aptos"/>
        </w:rPr>
      </w:pPr>
      <w:r w:rsidRPr="00DB5E03">
        <w:rPr>
          <w:rFonts w:ascii="Aptos" w:hAnsi="Aptos"/>
        </w:rPr>
        <w:t xml:space="preserve">The ESOS amendment bill would give the minister the power to suspend, for up to 12 months, applications and processing of applications for course and provider registration: sections 14C to 14F. </w:t>
      </w:r>
    </w:p>
    <w:p w14:paraId="0B0BB97B" w14:textId="77777777" w:rsidR="003E00EC" w:rsidRPr="00DB5E03" w:rsidRDefault="003E00EC" w:rsidP="003E00EC">
      <w:pPr>
        <w:pStyle w:val="NormalWeb"/>
        <w:rPr>
          <w:rFonts w:ascii="Aptos" w:hAnsi="Aptos"/>
        </w:rPr>
      </w:pPr>
      <w:r w:rsidRPr="00DB5E03">
        <w:rPr>
          <w:rFonts w:ascii="Aptos" w:hAnsi="Aptos"/>
        </w:rPr>
        <w:t>To be registered on CRICOS to offer courses to international students the provider must have delivered courses for consecutive study periods over at least two years to domestic students in Australia: section 11(2).</w:t>
      </w:r>
    </w:p>
    <w:p w14:paraId="5BD74E04" w14:textId="3B908FB1" w:rsidR="003E00EC" w:rsidRPr="00DB5E03" w:rsidRDefault="00341E0E" w:rsidP="003E00EC">
      <w:pPr>
        <w:pStyle w:val="NormalWeb"/>
        <w:rPr>
          <w:rFonts w:ascii="Aptos" w:hAnsi="Aptos"/>
        </w:rPr>
      </w:pPr>
      <w:r w:rsidRPr="00DB5E03">
        <w:rPr>
          <w:rFonts w:ascii="Aptos" w:hAnsi="Aptos"/>
        </w:rPr>
        <w:t xml:space="preserve">The explanatory memorandum indicates (p. 37) that suspension of processing would not be routine. </w:t>
      </w:r>
      <w:r w:rsidR="003E00EC" w:rsidRPr="00DB5E03">
        <w:rPr>
          <w:rFonts w:ascii="Aptos" w:hAnsi="Aptos"/>
        </w:rPr>
        <w:t xml:space="preserve">This post focuses on the section 11(2) </w:t>
      </w:r>
      <w:r w:rsidR="002216F7" w:rsidRPr="00DB5E03">
        <w:rPr>
          <w:rFonts w:ascii="Aptos" w:hAnsi="Aptos"/>
        </w:rPr>
        <w:t xml:space="preserve">two-years domestic provision </w:t>
      </w:r>
      <w:r w:rsidR="003E00EC" w:rsidRPr="00DB5E03">
        <w:rPr>
          <w:rFonts w:ascii="Aptos" w:hAnsi="Aptos"/>
        </w:rPr>
        <w:t>change by looking at how providers have entered the international and domestic markets in recent years.</w:t>
      </w:r>
    </w:p>
    <w:p w14:paraId="6E739463" w14:textId="77777777" w:rsidR="0039166B" w:rsidRPr="00DB5E03" w:rsidRDefault="0039166B" w:rsidP="0039166B">
      <w:pPr>
        <w:pStyle w:val="Heading2"/>
        <w:rPr>
          <w:rFonts w:ascii="Aptos" w:hAnsi="Aptos"/>
          <w:i/>
          <w:iCs/>
          <w:sz w:val="28"/>
          <w:szCs w:val="28"/>
        </w:rPr>
      </w:pPr>
      <w:bookmarkStart w:id="17" w:name="_Toc213838213"/>
      <w:r w:rsidRPr="00DB5E03">
        <w:rPr>
          <w:rFonts w:ascii="Aptos" w:hAnsi="Aptos"/>
          <w:i/>
          <w:iCs/>
          <w:sz w:val="28"/>
          <w:szCs w:val="28"/>
        </w:rPr>
        <w:t>Collective punishment of new providers</w:t>
      </w:r>
      <w:bookmarkEnd w:id="17"/>
      <w:r w:rsidRPr="00DB5E03">
        <w:rPr>
          <w:rFonts w:ascii="Aptos" w:hAnsi="Aptos"/>
          <w:i/>
          <w:iCs/>
          <w:sz w:val="28"/>
          <w:szCs w:val="28"/>
        </w:rPr>
        <w:t xml:space="preserve"> </w:t>
      </w:r>
    </w:p>
    <w:p w14:paraId="6931BFB7" w14:textId="77777777" w:rsidR="002216F7" w:rsidRPr="00DB5E03" w:rsidRDefault="0039166B" w:rsidP="002216F7">
      <w:pPr>
        <w:rPr>
          <w:rFonts w:ascii="Aptos" w:hAnsi="Aptos"/>
          <w:szCs w:val="24"/>
        </w:rPr>
      </w:pPr>
      <w:r w:rsidRPr="00DB5E03">
        <w:rPr>
          <w:rFonts w:ascii="Aptos" w:hAnsi="Aptos"/>
          <w:szCs w:val="24"/>
        </w:rPr>
        <w:t>The government’s stated reason for the two-year ban on international students is that it will deter providers that ‘enter the international education sector purely to facilitate migration outcomes’ (explanatory memorandum, p. 49</w:t>
      </w:r>
      <w:r w:rsidR="002216F7" w:rsidRPr="00DB5E03">
        <w:rPr>
          <w:rFonts w:ascii="Aptos" w:hAnsi="Aptos"/>
          <w:szCs w:val="24"/>
        </w:rPr>
        <w:t>).</w:t>
      </w:r>
    </w:p>
    <w:p w14:paraId="4A18D375" w14:textId="77777777" w:rsidR="002216F7" w:rsidRPr="00DB5E03" w:rsidRDefault="002216F7" w:rsidP="002216F7">
      <w:pPr>
        <w:rPr>
          <w:rFonts w:ascii="Aptos" w:hAnsi="Aptos"/>
          <w:szCs w:val="24"/>
        </w:rPr>
      </w:pPr>
    </w:p>
    <w:p w14:paraId="462F0EAD" w14:textId="3CC89C4C" w:rsidR="00E7797A" w:rsidRDefault="002216F7" w:rsidP="002216F7">
      <w:pPr>
        <w:rPr>
          <w:rFonts w:ascii="Aptos" w:hAnsi="Aptos"/>
          <w:szCs w:val="24"/>
        </w:rPr>
      </w:pPr>
      <w:r w:rsidRPr="00DB5E03">
        <w:rPr>
          <w:rFonts w:ascii="Aptos" w:hAnsi="Aptos"/>
          <w:szCs w:val="24"/>
        </w:rPr>
        <w:t xml:space="preserve">It is not improper for migration outcomes to be an international education selling point for Australian education providers. </w:t>
      </w:r>
      <w:r w:rsidR="0039166B" w:rsidRPr="00DB5E03">
        <w:rPr>
          <w:rFonts w:ascii="Aptos" w:hAnsi="Aptos"/>
          <w:szCs w:val="24"/>
        </w:rPr>
        <w:t>It is the government’s policy to offer within-semester work rights for international students</w:t>
      </w:r>
      <w:r w:rsidRPr="00DB5E03">
        <w:rPr>
          <w:rFonts w:ascii="Aptos" w:hAnsi="Aptos"/>
          <w:szCs w:val="24"/>
        </w:rPr>
        <w:t xml:space="preserve">. It is the government’s policy to offer </w:t>
      </w:r>
      <w:r w:rsidR="0039166B" w:rsidRPr="00DB5E03">
        <w:rPr>
          <w:rFonts w:ascii="Aptos" w:hAnsi="Aptos"/>
          <w:szCs w:val="24"/>
        </w:rPr>
        <w:t>temporary graduate visa</w:t>
      </w:r>
      <w:r w:rsidRPr="00DB5E03">
        <w:rPr>
          <w:rFonts w:ascii="Aptos" w:hAnsi="Aptos"/>
          <w:szCs w:val="24"/>
        </w:rPr>
        <w:t xml:space="preserve">s to vocational education graduates with </w:t>
      </w:r>
      <w:r w:rsidR="002466D2" w:rsidRPr="00DB5E03">
        <w:rPr>
          <w:rFonts w:ascii="Aptos" w:hAnsi="Aptos"/>
          <w:szCs w:val="24"/>
        </w:rPr>
        <w:t>qualifications related to occupations on a government list. It is the government’s policy</w:t>
      </w:r>
      <w:r w:rsidR="0039166B" w:rsidRPr="00DB5E03">
        <w:rPr>
          <w:rFonts w:ascii="Aptos" w:hAnsi="Aptos"/>
          <w:szCs w:val="24"/>
        </w:rPr>
        <w:t xml:space="preserve"> </w:t>
      </w:r>
      <w:r w:rsidR="002466D2" w:rsidRPr="00DB5E03">
        <w:rPr>
          <w:rFonts w:ascii="Aptos" w:hAnsi="Aptos"/>
          <w:szCs w:val="24"/>
        </w:rPr>
        <w:t>to offer</w:t>
      </w:r>
      <w:r w:rsidR="0039166B" w:rsidRPr="00DB5E03">
        <w:rPr>
          <w:rFonts w:ascii="Aptos" w:hAnsi="Aptos"/>
          <w:szCs w:val="24"/>
        </w:rPr>
        <w:t xml:space="preserve"> at least two years of unrestricted work rights</w:t>
      </w:r>
      <w:r w:rsidR="002466D2" w:rsidRPr="00DB5E03">
        <w:rPr>
          <w:rFonts w:ascii="Aptos" w:hAnsi="Aptos"/>
          <w:szCs w:val="24"/>
        </w:rPr>
        <w:t xml:space="preserve"> to international graduates with</w:t>
      </w:r>
      <w:r w:rsidR="0039166B" w:rsidRPr="00DB5E03">
        <w:rPr>
          <w:rFonts w:ascii="Aptos" w:hAnsi="Aptos"/>
          <w:szCs w:val="24"/>
        </w:rPr>
        <w:t xml:space="preserve"> a bachelor degree or above.</w:t>
      </w:r>
      <w:r w:rsidR="00A84B10" w:rsidRPr="00DB5E03">
        <w:rPr>
          <w:rFonts w:ascii="Aptos" w:hAnsi="Aptos"/>
          <w:szCs w:val="24"/>
        </w:rPr>
        <w:t xml:space="preserve"> </w:t>
      </w:r>
      <w:r w:rsidR="00E7797A">
        <w:rPr>
          <w:rFonts w:ascii="Aptos" w:hAnsi="Aptos"/>
          <w:szCs w:val="24"/>
        </w:rPr>
        <w:t xml:space="preserve">In March 2024 the government replaced the ‘genuine temporary entrant’ test for student visas with the ‘genuine student’ test, </w:t>
      </w:r>
      <w:r w:rsidR="00B15942">
        <w:rPr>
          <w:rFonts w:ascii="Aptos" w:hAnsi="Aptos"/>
          <w:szCs w:val="24"/>
        </w:rPr>
        <w:t xml:space="preserve">removing the inconsistency of requiring prospective students to deny wanting to remain in Australia post-study while other policies encouraged them to do just that. </w:t>
      </w:r>
      <w:r w:rsidR="002466D2" w:rsidRPr="00DB5E03">
        <w:rPr>
          <w:rFonts w:ascii="Aptos" w:hAnsi="Aptos"/>
          <w:szCs w:val="24"/>
        </w:rPr>
        <w:t>The ESOS amendment bill</w:t>
      </w:r>
      <w:r w:rsidRPr="00DB5E03">
        <w:rPr>
          <w:rFonts w:ascii="Aptos" w:hAnsi="Aptos"/>
          <w:szCs w:val="24"/>
        </w:rPr>
        <w:t xml:space="preserve"> </w:t>
      </w:r>
      <w:r w:rsidR="00B15942">
        <w:rPr>
          <w:rFonts w:ascii="Aptos" w:hAnsi="Aptos"/>
          <w:szCs w:val="24"/>
        </w:rPr>
        <w:t xml:space="preserve">itself </w:t>
      </w:r>
      <w:r w:rsidRPr="00DB5E03">
        <w:rPr>
          <w:rFonts w:ascii="Aptos" w:hAnsi="Aptos"/>
          <w:szCs w:val="24"/>
        </w:rPr>
        <w:t xml:space="preserve">reinforces </w:t>
      </w:r>
      <w:r w:rsidR="002466D2" w:rsidRPr="00DB5E03">
        <w:rPr>
          <w:rFonts w:ascii="Aptos" w:hAnsi="Aptos"/>
          <w:szCs w:val="24"/>
        </w:rPr>
        <w:t>the idea of migration as a desirable outcome by giving the minister the power to close down courses that don’t match Australia’s skills needs.</w:t>
      </w:r>
      <w:r w:rsidR="006733B0" w:rsidRPr="00DB5E03">
        <w:rPr>
          <w:rFonts w:ascii="Aptos" w:hAnsi="Aptos"/>
          <w:szCs w:val="24"/>
        </w:rPr>
        <w:t xml:space="preserve"> </w:t>
      </w:r>
    </w:p>
    <w:p w14:paraId="18DC1E1C" w14:textId="77777777" w:rsidR="00B15942" w:rsidRDefault="00B15942" w:rsidP="002216F7">
      <w:pPr>
        <w:rPr>
          <w:rFonts w:ascii="Aptos" w:hAnsi="Aptos"/>
          <w:szCs w:val="24"/>
        </w:rPr>
      </w:pPr>
    </w:p>
    <w:p w14:paraId="68F9D182" w14:textId="687DE608" w:rsidR="002216F7" w:rsidRPr="00DB5E03" w:rsidRDefault="006C6046" w:rsidP="002216F7">
      <w:pPr>
        <w:rPr>
          <w:rFonts w:ascii="Aptos" w:hAnsi="Aptos"/>
          <w:szCs w:val="24"/>
        </w:rPr>
      </w:pPr>
      <w:r w:rsidRPr="00DB5E03">
        <w:rPr>
          <w:rFonts w:ascii="Aptos" w:hAnsi="Aptos"/>
          <w:szCs w:val="24"/>
        </w:rPr>
        <w:t>This blending of migration and education is</w:t>
      </w:r>
      <w:r w:rsidR="006733B0" w:rsidRPr="00DB5E03">
        <w:rPr>
          <w:rFonts w:ascii="Aptos" w:hAnsi="Aptos"/>
          <w:szCs w:val="24"/>
        </w:rPr>
        <w:t xml:space="preserve"> a successful </w:t>
      </w:r>
      <w:r w:rsidRPr="00DB5E03">
        <w:rPr>
          <w:rFonts w:ascii="Aptos" w:hAnsi="Aptos"/>
          <w:szCs w:val="24"/>
        </w:rPr>
        <w:t xml:space="preserve">international student recruitment </w:t>
      </w:r>
      <w:r w:rsidR="006733B0" w:rsidRPr="00DB5E03">
        <w:rPr>
          <w:rFonts w:ascii="Aptos" w:hAnsi="Aptos"/>
          <w:szCs w:val="24"/>
        </w:rPr>
        <w:t xml:space="preserve">policy, with 7 in 10 international graduates saying the possibility of migration to Australia is one reason for choosing Australia, as seen in </w:t>
      </w:r>
      <w:r w:rsidR="006733B0" w:rsidRPr="00DB5E03">
        <w:rPr>
          <w:rFonts w:ascii="Aptos" w:hAnsi="Aptos"/>
          <w:szCs w:val="24"/>
        </w:rPr>
        <w:fldChar w:fldCharType="begin"/>
      </w:r>
      <w:r w:rsidR="006733B0" w:rsidRPr="00DB5E03">
        <w:rPr>
          <w:rFonts w:ascii="Aptos" w:hAnsi="Aptos"/>
          <w:szCs w:val="24"/>
        </w:rPr>
        <w:instrText xml:space="preserve"> REF _Ref213428480 \h  \* MERGEFORMAT </w:instrText>
      </w:r>
      <w:r w:rsidR="006733B0" w:rsidRPr="00DB5E03">
        <w:rPr>
          <w:rFonts w:ascii="Aptos" w:hAnsi="Aptos"/>
          <w:szCs w:val="24"/>
        </w:rPr>
      </w:r>
      <w:r w:rsidR="006733B0" w:rsidRPr="00DB5E03">
        <w:rPr>
          <w:rFonts w:ascii="Aptos" w:hAnsi="Aptos"/>
          <w:szCs w:val="24"/>
        </w:rPr>
        <w:fldChar w:fldCharType="separate"/>
      </w:r>
      <w:r w:rsidR="005A2C95" w:rsidRPr="00DB5E03">
        <w:rPr>
          <w:rFonts w:ascii="Aptos" w:hAnsi="Aptos"/>
          <w:szCs w:val="24"/>
        </w:rPr>
        <w:t xml:space="preserve">Figure </w:t>
      </w:r>
      <w:r w:rsidR="005A2C95">
        <w:rPr>
          <w:rFonts w:ascii="Aptos" w:hAnsi="Aptos"/>
          <w:noProof/>
          <w:szCs w:val="24"/>
        </w:rPr>
        <w:t>2</w:t>
      </w:r>
      <w:r w:rsidR="006733B0" w:rsidRPr="00DB5E03">
        <w:rPr>
          <w:rFonts w:ascii="Aptos" w:hAnsi="Aptos"/>
          <w:szCs w:val="24"/>
        </w:rPr>
        <w:fldChar w:fldCharType="end"/>
      </w:r>
      <w:r w:rsidR="006733B0" w:rsidRPr="00DB5E03">
        <w:rPr>
          <w:rFonts w:ascii="Aptos" w:hAnsi="Aptos"/>
          <w:szCs w:val="24"/>
        </w:rPr>
        <w:t xml:space="preserve"> (students can give </w:t>
      </w:r>
      <w:r w:rsidR="006733B0" w:rsidRPr="00DB5E03">
        <w:rPr>
          <w:rFonts w:ascii="Aptos" w:hAnsi="Aptos"/>
          <w:szCs w:val="24"/>
        </w:rPr>
        <w:lastRenderedPageBreak/>
        <w:t>multiple answers</w:t>
      </w:r>
      <w:r w:rsidR="00B15942">
        <w:rPr>
          <w:rFonts w:ascii="Aptos" w:hAnsi="Aptos"/>
          <w:szCs w:val="24"/>
        </w:rPr>
        <w:t xml:space="preserve">; migration possibilities </w:t>
      </w:r>
      <w:proofErr w:type="gramStart"/>
      <w:r w:rsidR="00B15942">
        <w:rPr>
          <w:rFonts w:ascii="Aptos" w:hAnsi="Aptos"/>
          <w:szCs w:val="24"/>
        </w:rPr>
        <w:t>is</w:t>
      </w:r>
      <w:proofErr w:type="gramEnd"/>
      <w:r w:rsidR="00B15942">
        <w:rPr>
          <w:rFonts w:ascii="Aptos" w:hAnsi="Aptos"/>
          <w:szCs w:val="24"/>
        </w:rPr>
        <w:t xml:space="preserve"> the eighth most common response of the nine options given</w:t>
      </w:r>
      <w:r w:rsidR="006733B0" w:rsidRPr="00DB5E03">
        <w:rPr>
          <w:rFonts w:ascii="Aptos" w:hAnsi="Aptos"/>
          <w:szCs w:val="24"/>
        </w:rPr>
        <w:t xml:space="preserve">). </w:t>
      </w:r>
    </w:p>
    <w:p w14:paraId="1E25E4A6" w14:textId="77777777" w:rsidR="002466D2" w:rsidRPr="00DB5E03" w:rsidRDefault="002466D2" w:rsidP="002216F7">
      <w:pPr>
        <w:rPr>
          <w:rFonts w:ascii="Aptos" w:hAnsi="Aptos"/>
          <w:szCs w:val="24"/>
        </w:rPr>
      </w:pPr>
    </w:p>
    <w:p w14:paraId="0CEEECDB" w14:textId="77777777" w:rsidR="0039166B" w:rsidRPr="00DB5E03" w:rsidRDefault="0039166B" w:rsidP="002216F7">
      <w:pPr>
        <w:rPr>
          <w:rFonts w:ascii="Aptos" w:hAnsi="Aptos"/>
          <w:szCs w:val="24"/>
        </w:rPr>
      </w:pPr>
    </w:p>
    <w:p w14:paraId="4501392B" w14:textId="1BEC9A46" w:rsidR="0039166B" w:rsidRPr="00DB5E03" w:rsidRDefault="0039166B" w:rsidP="0039166B">
      <w:pPr>
        <w:pStyle w:val="Caption"/>
        <w:keepNext/>
        <w:rPr>
          <w:rFonts w:ascii="Aptos" w:hAnsi="Aptos"/>
          <w:szCs w:val="24"/>
        </w:rPr>
      </w:pPr>
      <w:bookmarkStart w:id="18" w:name="_Ref213428480"/>
      <w:r w:rsidRPr="00DB5E03">
        <w:rPr>
          <w:rFonts w:ascii="Aptos" w:hAnsi="Aptos"/>
          <w:szCs w:val="24"/>
        </w:rPr>
        <w:t xml:space="preserve">Figure </w:t>
      </w:r>
      <w:r w:rsidR="008253F4" w:rsidRPr="00DB5E03">
        <w:rPr>
          <w:rFonts w:ascii="Aptos" w:hAnsi="Aptos"/>
          <w:szCs w:val="24"/>
        </w:rPr>
        <w:fldChar w:fldCharType="begin"/>
      </w:r>
      <w:r w:rsidR="008253F4" w:rsidRPr="00DB5E03">
        <w:rPr>
          <w:rFonts w:ascii="Aptos" w:hAnsi="Aptos"/>
          <w:szCs w:val="24"/>
        </w:rPr>
        <w:instrText xml:space="preserve"> SEQ Figure \* ARABIC </w:instrText>
      </w:r>
      <w:r w:rsidR="008253F4" w:rsidRPr="00DB5E03">
        <w:rPr>
          <w:rFonts w:ascii="Aptos" w:hAnsi="Aptos"/>
          <w:szCs w:val="24"/>
        </w:rPr>
        <w:fldChar w:fldCharType="separate"/>
      </w:r>
      <w:r w:rsidR="005A2C95">
        <w:rPr>
          <w:rFonts w:ascii="Aptos" w:hAnsi="Aptos"/>
          <w:noProof/>
          <w:szCs w:val="24"/>
        </w:rPr>
        <w:t>2</w:t>
      </w:r>
      <w:r w:rsidR="008253F4" w:rsidRPr="00DB5E03">
        <w:rPr>
          <w:rFonts w:ascii="Aptos" w:hAnsi="Aptos"/>
          <w:szCs w:val="24"/>
        </w:rPr>
        <w:fldChar w:fldCharType="end"/>
      </w:r>
      <w:bookmarkEnd w:id="18"/>
      <w:r w:rsidRPr="00DB5E03">
        <w:rPr>
          <w:rFonts w:ascii="Aptos" w:hAnsi="Aptos"/>
          <w:szCs w:val="24"/>
        </w:rPr>
        <w:t>: Migration as a reason for choosing Australia, by country of origin</w:t>
      </w:r>
    </w:p>
    <w:p w14:paraId="5AFAF585" w14:textId="77777777" w:rsidR="0039166B" w:rsidRPr="00DB5E03" w:rsidRDefault="0039166B" w:rsidP="0039166B">
      <w:pPr>
        <w:rPr>
          <w:rFonts w:ascii="Aptos" w:hAnsi="Aptos"/>
          <w:szCs w:val="24"/>
        </w:rPr>
      </w:pPr>
      <w:r w:rsidRPr="00DB5E03">
        <w:rPr>
          <w:rFonts w:ascii="Aptos" w:hAnsi="Aptos"/>
          <w:noProof/>
          <w:szCs w:val="24"/>
        </w:rPr>
        <w:drawing>
          <wp:inline distT="0" distB="0" distL="0" distR="0" wp14:anchorId="33CDBA57" wp14:editId="76726615">
            <wp:extent cx="5486400" cy="32004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8A9D36B" w14:textId="77777777" w:rsidR="0039166B" w:rsidRPr="00675ADB" w:rsidRDefault="0039166B" w:rsidP="0039166B">
      <w:pPr>
        <w:rPr>
          <w:rFonts w:ascii="Aptos" w:hAnsi="Aptos"/>
          <w:sz w:val="22"/>
        </w:rPr>
      </w:pPr>
      <w:r w:rsidRPr="00675ADB">
        <w:rPr>
          <w:rFonts w:ascii="Aptos" w:hAnsi="Aptos"/>
          <w:sz w:val="22"/>
        </w:rPr>
        <w:t>Source: Social Research Centre, International Student Experience Survey 2024</w:t>
      </w:r>
    </w:p>
    <w:p w14:paraId="059A8107" w14:textId="77777777" w:rsidR="006C6046" w:rsidRPr="00DB5E03" w:rsidRDefault="006C6046" w:rsidP="006C6046">
      <w:pPr>
        <w:rPr>
          <w:rFonts w:ascii="Aptos" w:hAnsi="Aptos"/>
          <w:szCs w:val="24"/>
        </w:rPr>
      </w:pPr>
    </w:p>
    <w:p w14:paraId="7927A800" w14:textId="4307E1CD" w:rsidR="006733B0" w:rsidRPr="00DB5E03" w:rsidRDefault="0047773F" w:rsidP="006C6046">
      <w:pPr>
        <w:rPr>
          <w:rFonts w:ascii="Aptos" w:hAnsi="Aptos"/>
          <w:szCs w:val="24"/>
        </w:rPr>
      </w:pPr>
      <w:r w:rsidRPr="00DB5E03">
        <w:rPr>
          <w:rFonts w:ascii="Aptos" w:hAnsi="Aptos"/>
          <w:szCs w:val="24"/>
        </w:rPr>
        <w:t>While</w:t>
      </w:r>
      <w:r w:rsidR="006C6046" w:rsidRPr="00DB5E03">
        <w:rPr>
          <w:rFonts w:ascii="Aptos" w:hAnsi="Aptos"/>
          <w:szCs w:val="24"/>
        </w:rPr>
        <w:t xml:space="preserve"> the government continues to offer migration incentives it can hardly </w:t>
      </w:r>
      <w:r w:rsidR="006733B0" w:rsidRPr="00DB5E03">
        <w:rPr>
          <w:rFonts w:ascii="Aptos" w:hAnsi="Aptos"/>
          <w:szCs w:val="24"/>
        </w:rPr>
        <w:t xml:space="preserve">be surprised that </w:t>
      </w:r>
      <w:r w:rsidR="006C6046" w:rsidRPr="00DB5E03">
        <w:rPr>
          <w:rFonts w:ascii="Aptos" w:hAnsi="Aptos"/>
          <w:szCs w:val="24"/>
        </w:rPr>
        <w:t>these</w:t>
      </w:r>
      <w:r w:rsidR="006733B0" w:rsidRPr="00DB5E03">
        <w:rPr>
          <w:rFonts w:ascii="Aptos" w:hAnsi="Aptos"/>
          <w:szCs w:val="24"/>
        </w:rPr>
        <w:t xml:space="preserve"> generate student demand that education providers, current and prospective</w:t>
      </w:r>
      <w:r w:rsidRPr="00DB5E03">
        <w:rPr>
          <w:rFonts w:ascii="Aptos" w:hAnsi="Aptos"/>
          <w:szCs w:val="24"/>
        </w:rPr>
        <w:t>,</w:t>
      </w:r>
      <w:r w:rsidR="006733B0" w:rsidRPr="00DB5E03">
        <w:rPr>
          <w:rFonts w:ascii="Aptos" w:hAnsi="Aptos"/>
          <w:szCs w:val="24"/>
        </w:rPr>
        <w:t xml:space="preserve"> are willing to meet. The ‘purely’ in the explanatory memorandum is doing a lot of </w:t>
      </w:r>
      <w:r w:rsidRPr="00DB5E03">
        <w:rPr>
          <w:rFonts w:ascii="Aptos" w:hAnsi="Aptos"/>
          <w:szCs w:val="24"/>
        </w:rPr>
        <w:t>work. E</w:t>
      </w:r>
      <w:r w:rsidR="006C6046" w:rsidRPr="00DB5E03">
        <w:rPr>
          <w:rFonts w:ascii="Aptos" w:hAnsi="Aptos"/>
          <w:szCs w:val="24"/>
        </w:rPr>
        <w:t>ducation provider</w:t>
      </w:r>
      <w:r w:rsidRPr="00DB5E03">
        <w:rPr>
          <w:rFonts w:ascii="Aptos" w:hAnsi="Aptos"/>
          <w:szCs w:val="24"/>
        </w:rPr>
        <w:t>s</w:t>
      </w:r>
      <w:r w:rsidR="006C6046" w:rsidRPr="00DB5E03">
        <w:rPr>
          <w:rFonts w:ascii="Aptos" w:hAnsi="Aptos"/>
          <w:szCs w:val="24"/>
        </w:rPr>
        <w:t xml:space="preserve"> </w:t>
      </w:r>
      <w:r w:rsidRPr="00DB5E03">
        <w:rPr>
          <w:rFonts w:ascii="Aptos" w:hAnsi="Aptos"/>
          <w:szCs w:val="24"/>
        </w:rPr>
        <w:t>are only corrupt when not</w:t>
      </w:r>
      <w:r w:rsidR="006C6046" w:rsidRPr="00DB5E03">
        <w:rPr>
          <w:rFonts w:ascii="Aptos" w:hAnsi="Aptos"/>
          <w:szCs w:val="24"/>
        </w:rPr>
        <w:t xml:space="preserve"> genuinely offering education (</w:t>
      </w:r>
      <w:r w:rsidRPr="00DB5E03">
        <w:rPr>
          <w:rFonts w:ascii="Aptos" w:hAnsi="Aptos"/>
          <w:szCs w:val="24"/>
        </w:rPr>
        <w:t>‘</w:t>
      </w:r>
      <w:r w:rsidR="006C6046" w:rsidRPr="00DB5E03">
        <w:rPr>
          <w:rFonts w:ascii="Aptos" w:hAnsi="Aptos"/>
          <w:szCs w:val="24"/>
        </w:rPr>
        <w:t>ghost colleges</w:t>
      </w:r>
      <w:r w:rsidRPr="00DB5E03">
        <w:rPr>
          <w:rFonts w:ascii="Aptos" w:hAnsi="Aptos"/>
          <w:szCs w:val="24"/>
        </w:rPr>
        <w:t>’</w:t>
      </w:r>
      <w:r w:rsidR="006C6046" w:rsidRPr="00DB5E03">
        <w:rPr>
          <w:rFonts w:ascii="Aptos" w:hAnsi="Aptos"/>
          <w:szCs w:val="24"/>
        </w:rPr>
        <w:t xml:space="preserve">) or </w:t>
      </w:r>
      <w:r w:rsidRPr="00DB5E03">
        <w:rPr>
          <w:rFonts w:ascii="Aptos" w:hAnsi="Aptos"/>
          <w:szCs w:val="24"/>
        </w:rPr>
        <w:t xml:space="preserve">when turning a blind eye to the misconduct of students only using their student visa for access to the Australian labour market. </w:t>
      </w:r>
    </w:p>
    <w:p w14:paraId="206E5D1A" w14:textId="2414ED79" w:rsidR="00737953" w:rsidRPr="00DB5E03" w:rsidRDefault="00737953" w:rsidP="006C6046">
      <w:pPr>
        <w:rPr>
          <w:rFonts w:ascii="Aptos" w:hAnsi="Aptos"/>
          <w:szCs w:val="24"/>
        </w:rPr>
      </w:pPr>
    </w:p>
    <w:p w14:paraId="51E70AE8" w14:textId="6665F462" w:rsidR="00737953" w:rsidRPr="00415C34" w:rsidRDefault="00737953" w:rsidP="00737953">
      <w:pPr>
        <w:pStyle w:val="Heading2"/>
        <w:rPr>
          <w:rFonts w:ascii="Aptos" w:hAnsi="Aptos"/>
          <w:i/>
          <w:iCs/>
          <w:sz w:val="24"/>
          <w:szCs w:val="24"/>
        </w:rPr>
      </w:pPr>
      <w:bookmarkStart w:id="19" w:name="_Toc213838214"/>
      <w:r w:rsidRPr="00415C34">
        <w:rPr>
          <w:rFonts w:ascii="Aptos" w:hAnsi="Aptos"/>
          <w:i/>
          <w:iCs/>
          <w:sz w:val="24"/>
          <w:szCs w:val="24"/>
        </w:rPr>
        <w:t>Existing and proposed rules that limit provider risk</w:t>
      </w:r>
      <w:bookmarkEnd w:id="19"/>
      <w:r w:rsidRPr="00415C34">
        <w:rPr>
          <w:rFonts w:ascii="Aptos" w:hAnsi="Aptos"/>
          <w:i/>
          <w:iCs/>
          <w:sz w:val="24"/>
          <w:szCs w:val="24"/>
        </w:rPr>
        <w:t xml:space="preserve"> </w:t>
      </w:r>
    </w:p>
    <w:p w14:paraId="30C6AF36" w14:textId="07964095" w:rsidR="0047773F" w:rsidRPr="00DB5E03" w:rsidRDefault="0047773F" w:rsidP="006C6046">
      <w:pPr>
        <w:rPr>
          <w:rFonts w:ascii="Aptos" w:hAnsi="Aptos"/>
          <w:szCs w:val="24"/>
        </w:rPr>
      </w:pPr>
    </w:p>
    <w:p w14:paraId="21462033" w14:textId="5626F247" w:rsidR="006733B0" w:rsidRPr="00DB5E03" w:rsidRDefault="0047773F" w:rsidP="006C6046">
      <w:pPr>
        <w:rPr>
          <w:rFonts w:ascii="Aptos" w:hAnsi="Aptos"/>
          <w:szCs w:val="24"/>
        </w:rPr>
      </w:pPr>
      <w:r w:rsidRPr="00DB5E03">
        <w:rPr>
          <w:rFonts w:ascii="Aptos" w:hAnsi="Aptos"/>
          <w:szCs w:val="24"/>
        </w:rPr>
        <w:t xml:space="preserve">As the previous section showed, with the existing immigration power to suspend providers with immigration issues, and an existing ‘fit and proper’ person power that would be strengthened by other provisions of the ESOS bill, the government is far from powerless in these circumstances. </w:t>
      </w:r>
    </w:p>
    <w:p w14:paraId="2F2984C8" w14:textId="66D7B137" w:rsidR="005A1B84" w:rsidRPr="00DB5E03" w:rsidRDefault="005A1B84" w:rsidP="006C6046">
      <w:pPr>
        <w:rPr>
          <w:rFonts w:ascii="Aptos" w:hAnsi="Aptos"/>
          <w:szCs w:val="24"/>
        </w:rPr>
      </w:pPr>
    </w:p>
    <w:p w14:paraId="7BB66C89" w14:textId="72459377" w:rsidR="005A1B84" w:rsidRPr="00DB5E03" w:rsidRDefault="005A1B84" w:rsidP="006C6046">
      <w:pPr>
        <w:rPr>
          <w:rFonts w:ascii="Aptos" w:hAnsi="Aptos"/>
          <w:szCs w:val="24"/>
        </w:rPr>
      </w:pPr>
      <w:r w:rsidRPr="00DB5E03">
        <w:rPr>
          <w:rFonts w:ascii="Aptos" w:hAnsi="Aptos"/>
          <w:szCs w:val="24"/>
        </w:rPr>
        <w:t xml:space="preserve">The new provisions in the ESOS bill on education provider/education agent cross-ownerships and education agent commissions should also reduce the entry of high-risk providers into the system. </w:t>
      </w:r>
    </w:p>
    <w:p w14:paraId="42DE6BA0" w14:textId="77777777" w:rsidR="00737953" w:rsidRPr="00DB5E03" w:rsidRDefault="00737953" w:rsidP="00000722">
      <w:pPr>
        <w:rPr>
          <w:rFonts w:ascii="Aptos" w:hAnsi="Aptos"/>
          <w:szCs w:val="24"/>
        </w:rPr>
      </w:pPr>
    </w:p>
    <w:p w14:paraId="3E08A69F" w14:textId="77777777" w:rsidR="005A2C95" w:rsidRDefault="00000722" w:rsidP="005A2C95">
      <w:pPr>
        <w:rPr>
          <w:rFonts w:ascii="Aptos" w:hAnsi="Aptos"/>
          <w:szCs w:val="24"/>
        </w:rPr>
      </w:pPr>
      <w:r w:rsidRPr="00DB5E03">
        <w:rPr>
          <w:rFonts w:ascii="Aptos" w:hAnsi="Aptos"/>
          <w:szCs w:val="24"/>
        </w:rPr>
        <w:t>At least in higher education (I am not sufficiently knowledgeable about VET) the conditions TEQSA imposes on new providers (</w:t>
      </w:r>
      <w:r w:rsidRPr="00DB5E03">
        <w:rPr>
          <w:rFonts w:ascii="Aptos" w:hAnsi="Aptos"/>
          <w:szCs w:val="24"/>
        </w:rPr>
        <w:fldChar w:fldCharType="begin"/>
      </w:r>
      <w:r w:rsidRPr="00DB5E03">
        <w:rPr>
          <w:rFonts w:ascii="Aptos" w:hAnsi="Aptos"/>
          <w:szCs w:val="24"/>
        </w:rPr>
        <w:instrText xml:space="preserve"> REF _Ref213424456 \h  \* MERGEFORMAT </w:instrText>
      </w:r>
      <w:r w:rsidRPr="00DB5E03">
        <w:rPr>
          <w:rFonts w:ascii="Aptos" w:hAnsi="Aptos"/>
          <w:szCs w:val="24"/>
        </w:rPr>
      </w:r>
      <w:r w:rsidRPr="00DB5E03">
        <w:rPr>
          <w:rFonts w:ascii="Aptos" w:hAnsi="Aptos"/>
          <w:szCs w:val="24"/>
        </w:rPr>
        <w:fldChar w:fldCharType="separate"/>
      </w:r>
    </w:p>
    <w:p w14:paraId="5C7662D2" w14:textId="5C154240" w:rsidR="00000722" w:rsidRPr="00DB5E03" w:rsidRDefault="005A2C95" w:rsidP="00000722">
      <w:pPr>
        <w:rPr>
          <w:rFonts w:ascii="Aptos" w:hAnsi="Aptos"/>
          <w:szCs w:val="24"/>
        </w:rPr>
      </w:pPr>
      <w:r w:rsidRPr="00DB5E03">
        <w:rPr>
          <w:rFonts w:ascii="Aptos" w:hAnsi="Aptos"/>
          <w:szCs w:val="24"/>
        </w:rPr>
        <w:t>Table</w:t>
      </w:r>
      <w:r w:rsidRPr="00DB5E03">
        <w:rPr>
          <w:rFonts w:ascii="Aptos" w:hAnsi="Aptos"/>
          <w:noProof/>
          <w:szCs w:val="24"/>
        </w:rPr>
        <w:t xml:space="preserve"> </w:t>
      </w:r>
      <w:r>
        <w:rPr>
          <w:rFonts w:ascii="Aptos" w:hAnsi="Aptos"/>
          <w:noProof/>
          <w:szCs w:val="24"/>
        </w:rPr>
        <w:t>1</w:t>
      </w:r>
      <w:r w:rsidR="00000722" w:rsidRPr="00DB5E03">
        <w:rPr>
          <w:rFonts w:ascii="Aptos" w:hAnsi="Aptos"/>
          <w:szCs w:val="24"/>
        </w:rPr>
        <w:fldChar w:fldCharType="end"/>
      </w:r>
      <w:r w:rsidR="00000722" w:rsidRPr="00DB5E03">
        <w:rPr>
          <w:rFonts w:ascii="Aptos" w:hAnsi="Aptos"/>
          <w:szCs w:val="24"/>
        </w:rPr>
        <w:t xml:space="preserve">) shows that it is aware of and responds to risks, although this can include the financial risk of too few as well as too many international students. The CRICOS system </w:t>
      </w:r>
      <w:r w:rsidR="00000722" w:rsidRPr="00DB5E03">
        <w:rPr>
          <w:rFonts w:ascii="Aptos" w:hAnsi="Aptos"/>
          <w:szCs w:val="24"/>
        </w:rPr>
        <w:lastRenderedPageBreak/>
        <w:t xml:space="preserve">also imposes enrolment limits, although these are based on educational capacity rather than migration risks. </w:t>
      </w:r>
    </w:p>
    <w:p w14:paraId="20A0E0B1" w14:textId="77777777" w:rsidR="00A76870" w:rsidRDefault="00A76870" w:rsidP="00000722">
      <w:pPr>
        <w:pStyle w:val="Caption"/>
        <w:keepNext/>
        <w:rPr>
          <w:rFonts w:ascii="Aptos" w:hAnsi="Aptos"/>
          <w:szCs w:val="24"/>
        </w:rPr>
      </w:pPr>
      <w:bookmarkStart w:id="20" w:name="_Ref213424456"/>
    </w:p>
    <w:p w14:paraId="44B9EC0E" w14:textId="65D8DA6B" w:rsidR="00000722" w:rsidRPr="00DB5E03" w:rsidRDefault="00000722" w:rsidP="00000722">
      <w:pPr>
        <w:pStyle w:val="Caption"/>
        <w:keepNext/>
        <w:rPr>
          <w:rFonts w:ascii="Aptos" w:hAnsi="Aptos"/>
          <w:szCs w:val="24"/>
        </w:rPr>
      </w:pPr>
      <w:r w:rsidRPr="00DB5E03">
        <w:rPr>
          <w:rFonts w:ascii="Aptos" w:hAnsi="Aptos"/>
          <w:szCs w:val="24"/>
        </w:rPr>
        <w:t xml:space="preserve">Table </w:t>
      </w:r>
      <w:r w:rsidRPr="00DB5E03">
        <w:rPr>
          <w:rFonts w:ascii="Aptos" w:hAnsi="Aptos"/>
          <w:szCs w:val="24"/>
        </w:rPr>
        <w:fldChar w:fldCharType="begin"/>
      </w:r>
      <w:r w:rsidRPr="00DB5E03">
        <w:rPr>
          <w:rFonts w:ascii="Aptos" w:hAnsi="Aptos"/>
          <w:szCs w:val="24"/>
        </w:rPr>
        <w:instrText xml:space="preserve"> SEQ Table \* ARABIC </w:instrText>
      </w:r>
      <w:r w:rsidRPr="00DB5E03">
        <w:rPr>
          <w:rFonts w:ascii="Aptos" w:hAnsi="Aptos"/>
          <w:szCs w:val="24"/>
        </w:rPr>
        <w:fldChar w:fldCharType="separate"/>
      </w:r>
      <w:r w:rsidR="005A2C95">
        <w:rPr>
          <w:rFonts w:ascii="Aptos" w:hAnsi="Aptos"/>
          <w:noProof/>
          <w:szCs w:val="24"/>
        </w:rPr>
        <w:t>1</w:t>
      </w:r>
      <w:r w:rsidRPr="00DB5E03">
        <w:rPr>
          <w:rFonts w:ascii="Aptos" w:hAnsi="Aptos"/>
          <w:szCs w:val="24"/>
        </w:rPr>
        <w:fldChar w:fldCharType="end"/>
      </w:r>
      <w:bookmarkEnd w:id="20"/>
      <w:r w:rsidRPr="00DB5E03">
        <w:rPr>
          <w:rFonts w:ascii="Aptos" w:hAnsi="Aptos"/>
          <w:szCs w:val="24"/>
        </w:rPr>
        <w:t xml:space="preserve">: Prudential constraints on new higher education providers </w:t>
      </w:r>
    </w:p>
    <w:p w14:paraId="2BA19FCA" w14:textId="40204ADE" w:rsidR="00000722" w:rsidRPr="00DB5E03" w:rsidRDefault="00A76870" w:rsidP="00000722">
      <w:pPr>
        <w:rPr>
          <w:rFonts w:ascii="Aptos" w:hAnsi="Aptos"/>
          <w:szCs w:val="24"/>
        </w:rPr>
      </w:pPr>
      <w:r w:rsidRPr="00A76870">
        <w:rPr>
          <w:rFonts w:ascii="Aptos" w:hAnsi="Aptos"/>
          <w:szCs w:val="24"/>
        </w:rPr>
        <w:drawing>
          <wp:inline distT="0" distB="0" distL="0" distR="0" wp14:anchorId="31E4F027" wp14:editId="60A49975">
            <wp:extent cx="5731510" cy="337820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3378200"/>
                    </a:xfrm>
                    <a:prstGeom prst="rect">
                      <a:avLst/>
                    </a:prstGeom>
                  </pic:spPr>
                </pic:pic>
              </a:graphicData>
            </a:graphic>
          </wp:inline>
        </w:drawing>
      </w:r>
    </w:p>
    <w:p w14:paraId="508D6C09" w14:textId="590D6C3E" w:rsidR="00000722" w:rsidRPr="00B82B9B" w:rsidRDefault="00000722" w:rsidP="006C6046">
      <w:pPr>
        <w:rPr>
          <w:rFonts w:ascii="Aptos" w:hAnsi="Aptos"/>
          <w:sz w:val="22"/>
        </w:rPr>
      </w:pPr>
      <w:r w:rsidRPr="00B82B9B">
        <w:rPr>
          <w:rFonts w:ascii="Aptos" w:hAnsi="Aptos"/>
          <w:sz w:val="22"/>
        </w:rPr>
        <w:t>Note: New providers since mid-2023, information from TEQSA National Register and the CRICOS list of providers, courses and locations available at data.gov.au</w:t>
      </w:r>
    </w:p>
    <w:p w14:paraId="6EDFBB56" w14:textId="77777777" w:rsidR="00000722" w:rsidRPr="00DB5E03" w:rsidRDefault="00000722" w:rsidP="006C6046">
      <w:pPr>
        <w:rPr>
          <w:rFonts w:ascii="Aptos" w:hAnsi="Aptos"/>
          <w:szCs w:val="24"/>
        </w:rPr>
      </w:pPr>
    </w:p>
    <w:p w14:paraId="7E06D0E9" w14:textId="47BD201B" w:rsidR="006733B0" w:rsidRPr="00DB5E03" w:rsidRDefault="006733B0" w:rsidP="006C6046">
      <w:pPr>
        <w:rPr>
          <w:rFonts w:ascii="Aptos" w:hAnsi="Aptos"/>
          <w:szCs w:val="24"/>
        </w:rPr>
      </w:pPr>
      <w:r w:rsidRPr="00DB5E03">
        <w:rPr>
          <w:rFonts w:ascii="Aptos" w:hAnsi="Aptos"/>
          <w:szCs w:val="24"/>
        </w:rPr>
        <w:t xml:space="preserve">As with the proposal to cancel the registration of ‘classes of courses’, </w:t>
      </w:r>
      <w:r w:rsidR="00000722" w:rsidRPr="00DB5E03">
        <w:rPr>
          <w:rFonts w:ascii="Aptos" w:hAnsi="Aptos"/>
          <w:szCs w:val="24"/>
        </w:rPr>
        <w:t>the two-year delay on access to the international student market amounts to c</w:t>
      </w:r>
      <w:r w:rsidRPr="00DB5E03">
        <w:rPr>
          <w:rFonts w:ascii="Aptos" w:hAnsi="Aptos"/>
          <w:szCs w:val="24"/>
        </w:rPr>
        <w:t>ollective punishment of all prospective or new providers</w:t>
      </w:r>
      <w:r w:rsidR="00E55C4C" w:rsidRPr="00DB5E03">
        <w:rPr>
          <w:rFonts w:ascii="Aptos" w:hAnsi="Aptos"/>
          <w:szCs w:val="24"/>
        </w:rPr>
        <w:t>.</w:t>
      </w:r>
    </w:p>
    <w:p w14:paraId="3D8579A9" w14:textId="449917AB" w:rsidR="00E55C4C" w:rsidRPr="00DB5E03" w:rsidRDefault="00E55C4C" w:rsidP="006C6046">
      <w:pPr>
        <w:rPr>
          <w:rFonts w:ascii="Aptos" w:hAnsi="Aptos"/>
          <w:szCs w:val="24"/>
        </w:rPr>
      </w:pPr>
    </w:p>
    <w:p w14:paraId="43E5726F" w14:textId="029026C3" w:rsidR="00E55C4C" w:rsidRPr="00DB5E03" w:rsidRDefault="00E55C4C" w:rsidP="006C6046">
      <w:pPr>
        <w:rPr>
          <w:rFonts w:ascii="Aptos" w:hAnsi="Aptos"/>
          <w:szCs w:val="24"/>
        </w:rPr>
      </w:pPr>
      <w:r w:rsidRPr="00DB5E03">
        <w:rPr>
          <w:rFonts w:ascii="Aptos" w:hAnsi="Aptos"/>
          <w:szCs w:val="24"/>
        </w:rPr>
        <w:t xml:space="preserve">It could also lead to a block on the creation of new higher education providers. The subsequent sections explore how new providers enter the market. </w:t>
      </w:r>
    </w:p>
    <w:p w14:paraId="532B00E2" w14:textId="77777777" w:rsidR="0039166B" w:rsidRPr="00DB5E03" w:rsidRDefault="0039166B" w:rsidP="006C6046">
      <w:pPr>
        <w:rPr>
          <w:rFonts w:ascii="Aptos" w:hAnsi="Aptos"/>
          <w:szCs w:val="24"/>
        </w:rPr>
      </w:pPr>
    </w:p>
    <w:p w14:paraId="6DD8E157" w14:textId="77777777" w:rsidR="003E00EC" w:rsidRPr="00DB5E03" w:rsidRDefault="003E00EC" w:rsidP="00341E0E">
      <w:pPr>
        <w:pStyle w:val="Heading2"/>
        <w:rPr>
          <w:rFonts w:ascii="Aptos" w:hAnsi="Aptos"/>
          <w:sz w:val="28"/>
          <w:szCs w:val="28"/>
        </w:rPr>
      </w:pPr>
      <w:bookmarkStart w:id="21" w:name="_Toc213838215"/>
      <w:r w:rsidRPr="00DB5E03">
        <w:rPr>
          <w:rStyle w:val="Emphasis"/>
          <w:rFonts w:ascii="Aptos" w:hAnsi="Aptos"/>
          <w:sz w:val="28"/>
          <w:szCs w:val="28"/>
        </w:rPr>
        <w:t>How reliant are new higher education providers on CRICOS registration?</w:t>
      </w:r>
      <w:bookmarkEnd w:id="21"/>
    </w:p>
    <w:p w14:paraId="3449CA68" w14:textId="7079BF44" w:rsidR="003E00EC" w:rsidRPr="00DB5E03" w:rsidRDefault="003E00EC" w:rsidP="003E00EC">
      <w:pPr>
        <w:pStyle w:val="NormalWeb"/>
        <w:rPr>
          <w:rFonts w:ascii="Aptos" w:hAnsi="Aptos"/>
        </w:rPr>
      </w:pPr>
      <w:r w:rsidRPr="00DB5E03">
        <w:rPr>
          <w:rFonts w:ascii="Aptos" w:hAnsi="Aptos"/>
        </w:rPr>
        <w:t xml:space="preserve">To </w:t>
      </w:r>
      <w:r w:rsidR="00E55C4C" w:rsidRPr="00DB5E03">
        <w:rPr>
          <w:rFonts w:ascii="Aptos" w:hAnsi="Aptos"/>
        </w:rPr>
        <w:t>investigate</w:t>
      </w:r>
      <w:r w:rsidRPr="00DB5E03">
        <w:rPr>
          <w:rFonts w:ascii="Aptos" w:hAnsi="Aptos"/>
        </w:rPr>
        <w:t xml:space="preserve"> new provider reliance on international students I examined new additions to the TEQSA </w:t>
      </w:r>
      <w:r w:rsidR="00341E0E" w:rsidRPr="00DB5E03">
        <w:rPr>
          <w:rFonts w:ascii="Aptos" w:hAnsi="Aptos"/>
        </w:rPr>
        <w:t>National R</w:t>
      </w:r>
      <w:r w:rsidRPr="00DB5E03">
        <w:rPr>
          <w:rFonts w:ascii="Aptos" w:hAnsi="Aptos"/>
        </w:rPr>
        <w:t>egister since mid-2023</w:t>
      </w:r>
      <w:r w:rsidR="00E55C4C" w:rsidRPr="00DB5E03">
        <w:rPr>
          <w:rFonts w:ascii="Aptos" w:hAnsi="Aptos"/>
        </w:rPr>
        <w:t xml:space="preserve"> </w:t>
      </w:r>
      <w:r w:rsidR="00E34DF4" w:rsidRPr="00DB5E03">
        <w:rPr>
          <w:rFonts w:ascii="Aptos" w:hAnsi="Aptos"/>
        </w:rPr>
        <w:t>according to whether they were CROCOS registered to offer course</w:t>
      </w:r>
      <w:r w:rsidR="00B82B9B">
        <w:rPr>
          <w:rFonts w:ascii="Aptos" w:hAnsi="Aptos"/>
        </w:rPr>
        <w:t>s</w:t>
      </w:r>
      <w:r w:rsidR="00E34DF4" w:rsidRPr="00DB5E03">
        <w:rPr>
          <w:rFonts w:ascii="Aptos" w:hAnsi="Aptos"/>
        </w:rPr>
        <w:t xml:space="preserve"> to international students and, if so, when this happened (</w:t>
      </w:r>
      <w:r w:rsidR="00E34DF4" w:rsidRPr="00DB5E03">
        <w:rPr>
          <w:rFonts w:ascii="Aptos" w:hAnsi="Aptos"/>
        </w:rPr>
        <w:fldChar w:fldCharType="begin"/>
      </w:r>
      <w:r w:rsidR="00E34DF4" w:rsidRPr="00DB5E03">
        <w:rPr>
          <w:rFonts w:ascii="Aptos" w:hAnsi="Aptos"/>
        </w:rPr>
        <w:instrText xml:space="preserve"> REF _Ref213661257 \h </w:instrText>
      </w:r>
      <w:r w:rsidR="00DB5E03" w:rsidRPr="00DB5E03">
        <w:rPr>
          <w:rFonts w:ascii="Aptos" w:hAnsi="Aptos"/>
        </w:rPr>
        <w:instrText xml:space="preserve"> \* MERGEFORMAT </w:instrText>
      </w:r>
      <w:r w:rsidR="00E34DF4" w:rsidRPr="00DB5E03">
        <w:rPr>
          <w:rFonts w:ascii="Aptos" w:hAnsi="Aptos"/>
        </w:rPr>
      </w:r>
      <w:r w:rsidR="00E34DF4" w:rsidRPr="00DB5E03">
        <w:rPr>
          <w:rFonts w:ascii="Aptos" w:hAnsi="Aptos"/>
        </w:rPr>
        <w:fldChar w:fldCharType="separate"/>
      </w:r>
      <w:r w:rsidR="005A2C95" w:rsidRPr="00DB5E03">
        <w:rPr>
          <w:rFonts w:ascii="Aptos" w:hAnsi="Aptos"/>
        </w:rPr>
        <w:t xml:space="preserve">Table </w:t>
      </w:r>
      <w:r w:rsidR="005A2C95">
        <w:rPr>
          <w:rFonts w:ascii="Aptos" w:hAnsi="Aptos"/>
          <w:noProof/>
        </w:rPr>
        <w:t>2</w:t>
      </w:r>
      <w:r w:rsidR="00E34DF4" w:rsidRPr="00DB5E03">
        <w:rPr>
          <w:rFonts w:ascii="Aptos" w:hAnsi="Aptos"/>
        </w:rPr>
        <w:fldChar w:fldCharType="end"/>
      </w:r>
      <w:r w:rsidR="00E34DF4" w:rsidRPr="00DB5E03">
        <w:rPr>
          <w:rFonts w:ascii="Aptos" w:hAnsi="Aptos"/>
        </w:rPr>
        <w:t>).</w:t>
      </w:r>
    </w:p>
    <w:p w14:paraId="0DE6BEBE" w14:textId="42B52E2A" w:rsidR="003E00EC" w:rsidRPr="00DB5E03" w:rsidRDefault="003E00EC" w:rsidP="003E00EC">
      <w:pPr>
        <w:pStyle w:val="NormalWeb"/>
        <w:rPr>
          <w:rFonts w:ascii="Aptos" w:hAnsi="Aptos"/>
        </w:rPr>
      </w:pPr>
      <w:r w:rsidRPr="00DB5E03">
        <w:rPr>
          <w:rFonts w:ascii="Aptos" w:hAnsi="Aptos"/>
        </w:rPr>
        <w:t xml:space="preserve">Of the 20 </w:t>
      </w:r>
      <w:r w:rsidR="00E34DF4" w:rsidRPr="00DB5E03">
        <w:rPr>
          <w:rFonts w:ascii="Aptos" w:hAnsi="Aptos"/>
        </w:rPr>
        <w:t>new</w:t>
      </w:r>
      <w:r w:rsidRPr="00DB5E03">
        <w:rPr>
          <w:rFonts w:ascii="Aptos" w:hAnsi="Aptos"/>
        </w:rPr>
        <w:t xml:space="preserve"> providers, 1</w:t>
      </w:r>
      <w:r w:rsidR="00A76870">
        <w:rPr>
          <w:rFonts w:ascii="Aptos" w:hAnsi="Aptos"/>
        </w:rPr>
        <w:t>5</w:t>
      </w:r>
      <w:r w:rsidRPr="00DB5E03">
        <w:rPr>
          <w:rFonts w:ascii="Aptos" w:hAnsi="Aptos"/>
        </w:rPr>
        <w:t xml:space="preserve"> are CRICOS registered,</w:t>
      </w:r>
      <w:r w:rsidR="00A76870">
        <w:rPr>
          <w:rFonts w:ascii="Aptos" w:hAnsi="Aptos"/>
        </w:rPr>
        <w:t xml:space="preserve"> and </w:t>
      </w:r>
      <w:r w:rsidRPr="00DB5E03">
        <w:rPr>
          <w:rFonts w:ascii="Aptos" w:hAnsi="Aptos"/>
        </w:rPr>
        <w:t>1 says CRICOS registration is pending. Three more are recently TEQSA approved, two with 'international' in their registered names and the other offering IT courses</w:t>
      </w:r>
      <w:r w:rsidR="00341E0E" w:rsidRPr="00DB5E03">
        <w:rPr>
          <w:rFonts w:ascii="Aptos" w:hAnsi="Aptos"/>
        </w:rPr>
        <w:t>, which are popular with international students</w:t>
      </w:r>
      <w:r w:rsidRPr="00DB5E03">
        <w:rPr>
          <w:rFonts w:ascii="Aptos" w:hAnsi="Aptos"/>
        </w:rPr>
        <w:t xml:space="preserve">. I expect that these three </w:t>
      </w:r>
      <w:r w:rsidR="00341E0E" w:rsidRPr="00DB5E03">
        <w:rPr>
          <w:rFonts w:ascii="Aptos" w:hAnsi="Aptos"/>
        </w:rPr>
        <w:t xml:space="preserve">providers </w:t>
      </w:r>
      <w:r w:rsidRPr="00DB5E03">
        <w:rPr>
          <w:rFonts w:ascii="Aptos" w:hAnsi="Aptos"/>
        </w:rPr>
        <w:t>have CRICOS applications in the system. The one new provider with no apparent interest in international students is the Australia Institute of Future Education, which is aimed at academics.</w:t>
      </w:r>
    </w:p>
    <w:p w14:paraId="3496FF02" w14:textId="320458E1" w:rsidR="00357B9F" w:rsidRPr="00DB5E03" w:rsidRDefault="003E00EC" w:rsidP="003E00EC">
      <w:pPr>
        <w:pStyle w:val="NormalWeb"/>
        <w:rPr>
          <w:rFonts w:ascii="Aptos" w:hAnsi="Aptos"/>
        </w:rPr>
      </w:pPr>
      <w:r w:rsidRPr="00DB5E03">
        <w:rPr>
          <w:rFonts w:ascii="Aptos" w:hAnsi="Aptos"/>
        </w:rPr>
        <w:lastRenderedPageBreak/>
        <w:t>Of the 1</w:t>
      </w:r>
      <w:r w:rsidR="00A76870">
        <w:rPr>
          <w:rFonts w:ascii="Aptos" w:hAnsi="Aptos"/>
        </w:rPr>
        <w:t>5</w:t>
      </w:r>
      <w:r w:rsidRPr="00DB5E03">
        <w:rPr>
          <w:rFonts w:ascii="Aptos" w:hAnsi="Aptos"/>
        </w:rPr>
        <w:t xml:space="preserve"> CRICOS-registered providers all but one w</w:t>
      </w:r>
      <w:r w:rsidR="00E55C4C" w:rsidRPr="00DB5E03">
        <w:rPr>
          <w:rFonts w:ascii="Aptos" w:hAnsi="Aptos"/>
        </w:rPr>
        <w:t>as</w:t>
      </w:r>
      <w:r w:rsidRPr="00DB5E03">
        <w:rPr>
          <w:rFonts w:ascii="Aptos" w:hAnsi="Aptos"/>
        </w:rPr>
        <w:t xml:space="preserve"> registered in less than a year after TEQSA approved them as providers. CRICOS registration looks like an important part of the business model for the vast majority. Making new providers wait at least two years for CRICOS registration </w:t>
      </w:r>
      <w:r w:rsidR="00B82B9B">
        <w:rPr>
          <w:rFonts w:ascii="Aptos" w:hAnsi="Aptos"/>
        </w:rPr>
        <w:t>–</w:t>
      </w:r>
      <w:r w:rsidRPr="00DB5E03">
        <w:rPr>
          <w:rFonts w:ascii="Aptos" w:hAnsi="Aptos"/>
        </w:rPr>
        <w:t xml:space="preserve"> presuming they can attract domestic students </w:t>
      </w:r>
      <w:r w:rsidR="00B82B9B">
        <w:rPr>
          <w:rFonts w:ascii="Aptos" w:hAnsi="Aptos"/>
        </w:rPr>
        <w:t xml:space="preserve">– </w:t>
      </w:r>
      <w:r w:rsidRPr="00DB5E03">
        <w:rPr>
          <w:rFonts w:ascii="Aptos" w:hAnsi="Aptos"/>
        </w:rPr>
        <w:t>would be a significant business deterrent.</w:t>
      </w:r>
    </w:p>
    <w:p w14:paraId="420FF124" w14:textId="3FE730F3" w:rsidR="00134586" w:rsidRPr="00DB5E03" w:rsidRDefault="00134586" w:rsidP="00134586">
      <w:pPr>
        <w:pStyle w:val="Caption"/>
        <w:keepNext/>
        <w:rPr>
          <w:rFonts w:ascii="Aptos" w:hAnsi="Aptos"/>
          <w:szCs w:val="24"/>
        </w:rPr>
      </w:pPr>
      <w:bookmarkStart w:id="22" w:name="_Ref213661257"/>
      <w:r w:rsidRPr="00DB5E03">
        <w:rPr>
          <w:rFonts w:ascii="Aptos" w:hAnsi="Aptos"/>
          <w:szCs w:val="24"/>
        </w:rPr>
        <w:t xml:space="preserve">Table </w:t>
      </w:r>
      <w:r w:rsidRPr="00DB5E03">
        <w:rPr>
          <w:rFonts w:ascii="Aptos" w:hAnsi="Aptos"/>
          <w:szCs w:val="24"/>
        </w:rPr>
        <w:fldChar w:fldCharType="begin"/>
      </w:r>
      <w:r w:rsidRPr="00DB5E03">
        <w:rPr>
          <w:rFonts w:ascii="Aptos" w:hAnsi="Aptos"/>
          <w:szCs w:val="24"/>
        </w:rPr>
        <w:instrText xml:space="preserve"> SEQ Table \* ARABIC </w:instrText>
      </w:r>
      <w:r w:rsidRPr="00DB5E03">
        <w:rPr>
          <w:rFonts w:ascii="Aptos" w:hAnsi="Aptos"/>
          <w:szCs w:val="24"/>
        </w:rPr>
        <w:fldChar w:fldCharType="separate"/>
      </w:r>
      <w:r w:rsidR="005A2C95">
        <w:rPr>
          <w:rFonts w:ascii="Aptos" w:hAnsi="Aptos"/>
          <w:noProof/>
          <w:szCs w:val="24"/>
        </w:rPr>
        <w:t>2</w:t>
      </w:r>
      <w:r w:rsidRPr="00DB5E03">
        <w:rPr>
          <w:rFonts w:ascii="Aptos" w:hAnsi="Aptos"/>
          <w:szCs w:val="24"/>
        </w:rPr>
        <w:fldChar w:fldCharType="end"/>
      </w:r>
      <w:bookmarkEnd w:id="22"/>
      <w:r w:rsidRPr="00DB5E03">
        <w:rPr>
          <w:rFonts w:ascii="Aptos" w:hAnsi="Aptos"/>
          <w:szCs w:val="24"/>
        </w:rPr>
        <w:t xml:space="preserve">: CRICOS status of newly TEQSA-registered higher education providers, 2023-2025 </w:t>
      </w:r>
    </w:p>
    <w:tbl>
      <w:tblPr>
        <w:tblW w:w="9100" w:type="dxa"/>
        <w:tblLook w:val="04A0" w:firstRow="1" w:lastRow="0" w:firstColumn="1" w:lastColumn="0" w:noHBand="0" w:noVBand="1"/>
      </w:tblPr>
      <w:tblGrid>
        <w:gridCol w:w="4400"/>
        <w:gridCol w:w="1500"/>
        <w:gridCol w:w="1600"/>
        <w:gridCol w:w="1600"/>
      </w:tblGrid>
      <w:tr w:rsidR="00357B9F" w:rsidRPr="00DB5E03" w14:paraId="6E8D1CA8" w14:textId="77777777" w:rsidTr="00357B9F">
        <w:trPr>
          <w:trHeight w:val="300"/>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3C4824" w14:textId="77777777" w:rsidR="00357B9F" w:rsidRPr="00DB5E03" w:rsidRDefault="00357B9F" w:rsidP="00357B9F">
            <w:pPr>
              <w:ind w:right="0"/>
              <w:rPr>
                <w:rFonts w:ascii="Aptos" w:eastAsia="Times New Roman" w:hAnsi="Aptos" w:cs="Times New Roman"/>
                <w:b/>
                <w:bCs/>
                <w:color w:val="000000"/>
                <w:szCs w:val="24"/>
                <w:lang w:eastAsia="en-AU"/>
              </w:rPr>
            </w:pPr>
            <w:r w:rsidRPr="00DB5E03">
              <w:rPr>
                <w:rFonts w:ascii="Aptos" w:eastAsia="Times New Roman" w:hAnsi="Aptos" w:cs="Times New Roman"/>
                <w:b/>
                <w:bCs/>
                <w:color w:val="000000"/>
                <w:szCs w:val="24"/>
                <w:lang w:eastAsia="en-AU"/>
              </w:rPr>
              <w:t xml:space="preserve">New providers </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14:paraId="28A86366" w14:textId="77777777" w:rsidR="00357B9F" w:rsidRPr="00DB5E03" w:rsidRDefault="00357B9F" w:rsidP="00357B9F">
            <w:pPr>
              <w:ind w:right="0"/>
              <w:rPr>
                <w:rFonts w:ascii="Aptos" w:eastAsia="Times New Roman" w:hAnsi="Aptos" w:cs="Times New Roman"/>
                <w:b/>
                <w:bCs/>
                <w:color w:val="000000"/>
                <w:szCs w:val="24"/>
                <w:lang w:eastAsia="en-AU"/>
              </w:rPr>
            </w:pPr>
            <w:r w:rsidRPr="00DB5E03">
              <w:rPr>
                <w:rFonts w:ascii="Aptos" w:eastAsia="Times New Roman" w:hAnsi="Aptos" w:cs="Times New Roman"/>
                <w:b/>
                <w:bCs/>
                <w:color w:val="000000"/>
                <w:szCs w:val="24"/>
                <w:lang w:eastAsia="en-AU"/>
              </w:rPr>
              <w:t xml:space="preserve">TEQSA register </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14:paraId="5EF9FD1F" w14:textId="77777777" w:rsidR="00357B9F" w:rsidRPr="00DB5E03" w:rsidRDefault="00357B9F" w:rsidP="00357B9F">
            <w:pPr>
              <w:ind w:right="0"/>
              <w:jc w:val="center"/>
              <w:rPr>
                <w:rFonts w:ascii="Aptos" w:eastAsia="Times New Roman" w:hAnsi="Aptos" w:cs="Times New Roman"/>
                <w:b/>
                <w:bCs/>
                <w:color w:val="000000"/>
                <w:szCs w:val="24"/>
                <w:lang w:eastAsia="en-AU"/>
              </w:rPr>
            </w:pPr>
            <w:r w:rsidRPr="00DB5E03">
              <w:rPr>
                <w:rFonts w:ascii="Aptos" w:eastAsia="Times New Roman" w:hAnsi="Aptos" w:cs="Times New Roman"/>
                <w:b/>
                <w:bCs/>
                <w:color w:val="000000"/>
                <w:szCs w:val="24"/>
                <w:lang w:eastAsia="en-AU"/>
              </w:rPr>
              <w:t>CRICOS</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14:paraId="37706986" w14:textId="77777777" w:rsidR="00357B9F" w:rsidRPr="00DB5E03" w:rsidRDefault="00357B9F" w:rsidP="00357B9F">
            <w:pPr>
              <w:ind w:right="0"/>
              <w:rPr>
                <w:rFonts w:ascii="Aptos" w:eastAsia="Times New Roman" w:hAnsi="Aptos" w:cs="Times New Roman"/>
                <w:b/>
                <w:bCs/>
                <w:color w:val="000000"/>
                <w:szCs w:val="24"/>
                <w:lang w:eastAsia="en-AU"/>
              </w:rPr>
            </w:pPr>
            <w:r w:rsidRPr="00DB5E03">
              <w:rPr>
                <w:rFonts w:ascii="Aptos" w:eastAsia="Times New Roman" w:hAnsi="Aptos" w:cs="Times New Roman"/>
                <w:b/>
                <w:bCs/>
                <w:color w:val="000000"/>
                <w:szCs w:val="24"/>
                <w:lang w:eastAsia="en-AU"/>
              </w:rPr>
              <w:t xml:space="preserve">Years to CRICOS </w:t>
            </w:r>
          </w:p>
        </w:tc>
      </w:tr>
      <w:tr w:rsidR="00357B9F" w:rsidRPr="00DB5E03" w14:paraId="5A6EA138"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36915736"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Global Leadership Institute </w:t>
            </w:r>
          </w:p>
        </w:tc>
        <w:tc>
          <w:tcPr>
            <w:tcW w:w="1500" w:type="dxa"/>
            <w:tcBorders>
              <w:top w:val="nil"/>
              <w:left w:val="nil"/>
              <w:bottom w:val="single" w:sz="4" w:space="0" w:color="auto"/>
              <w:right w:val="single" w:sz="4" w:space="0" w:color="auto"/>
            </w:tcBorders>
            <w:shd w:val="clear" w:color="auto" w:fill="auto"/>
            <w:noWrap/>
            <w:vAlign w:val="bottom"/>
            <w:hideMark/>
          </w:tcPr>
          <w:p w14:paraId="00CB87F7"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18/07/2023</w:t>
            </w:r>
          </w:p>
        </w:tc>
        <w:tc>
          <w:tcPr>
            <w:tcW w:w="1600" w:type="dxa"/>
            <w:tcBorders>
              <w:top w:val="nil"/>
              <w:left w:val="nil"/>
              <w:bottom w:val="single" w:sz="4" w:space="0" w:color="auto"/>
              <w:right w:val="single" w:sz="4" w:space="0" w:color="auto"/>
            </w:tcBorders>
            <w:shd w:val="clear" w:color="auto" w:fill="auto"/>
            <w:noWrap/>
            <w:vAlign w:val="bottom"/>
            <w:hideMark/>
          </w:tcPr>
          <w:p w14:paraId="1B2BBDF0"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12/03/2024</w:t>
            </w:r>
          </w:p>
        </w:tc>
        <w:tc>
          <w:tcPr>
            <w:tcW w:w="1600" w:type="dxa"/>
            <w:tcBorders>
              <w:top w:val="nil"/>
              <w:left w:val="nil"/>
              <w:bottom w:val="single" w:sz="4" w:space="0" w:color="auto"/>
              <w:right w:val="single" w:sz="4" w:space="0" w:color="auto"/>
            </w:tcBorders>
            <w:shd w:val="clear" w:color="auto" w:fill="auto"/>
            <w:noWrap/>
            <w:vAlign w:val="bottom"/>
            <w:hideMark/>
          </w:tcPr>
          <w:p w14:paraId="7822644C"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0.65</w:t>
            </w:r>
          </w:p>
        </w:tc>
      </w:tr>
      <w:tr w:rsidR="00357B9F" w:rsidRPr="00DB5E03" w14:paraId="63197FF5"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612BCF43"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Skyline Higher Education Australia </w:t>
            </w:r>
          </w:p>
        </w:tc>
        <w:tc>
          <w:tcPr>
            <w:tcW w:w="1500" w:type="dxa"/>
            <w:tcBorders>
              <w:top w:val="nil"/>
              <w:left w:val="nil"/>
              <w:bottom w:val="single" w:sz="4" w:space="0" w:color="auto"/>
              <w:right w:val="single" w:sz="4" w:space="0" w:color="auto"/>
            </w:tcBorders>
            <w:shd w:val="clear" w:color="auto" w:fill="auto"/>
            <w:noWrap/>
            <w:vAlign w:val="bottom"/>
            <w:hideMark/>
          </w:tcPr>
          <w:p w14:paraId="68BB2916"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13/09/2023</w:t>
            </w:r>
          </w:p>
        </w:tc>
        <w:tc>
          <w:tcPr>
            <w:tcW w:w="1600" w:type="dxa"/>
            <w:tcBorders>
              <w:top w:val="nil"/>
              <w:left w:val="nil"/>
              <w:bottom w:val="single" w:sz="4" w:space="0" w:color="auto"/>
              <w:right w:val="single" w:sz="4" w:space="0" w:color="auto"/>
            </w:tcBorders>
            <w:shd w:val="clear" w:color="auto" w:fill="auto"/>
            <w:noWrap/>
            <w:vAlign w:val="bottom"/>
            <w:hideMark/>
          </w:tcPr>
          <w:p w14:paraId="6F241279"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13/02/2024</w:t>
            </w:r>
          </w:p>
        </w:tc>
        <w:tc>
          <w:tcPr>
            <w:tcW w:w="1600" w:type="dxa"/>
            <w:tcBorders>
              <w:top w:val="nil"/>
              <w:left w:val="nil"/>
              <w:bottom w:val="single" w:sz="4" w:space="0" w:color="auto"/>
              <w:right w:val="single" w:sz="4" w:space="0" w:color="auto"/>
            </w:tcBorders>
            <w:shd w:val="clear" w:color="auto" w:fill="auto"/>
            <w:noWrap/>
            <w:vAlign w:val="bottom"/>
            <w:hideMark/>
          </w:tcPr>
          <w:p w14:paraId="55E591DC"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0.42</w:t>
            </w:r>
          </w:p>
        </w:tc>
      </w:tr>
      <w:tr w:rsidR="00357B9F" w:rsidRPr="00DB5E03" w14:paraId="06FBB20A"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644ECE71"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Astra Institute of Higher Education</w:t>
            </w:r>
          </w:p>
        </w:tc>
        <w:tc>
          <w:tcPr>
            <w:tcW w:w="1500" w:type="dxa"/>
            <w:tcBorders>
              <w:top w:val="nil"/>
              <w:left w:val="nil"/>
              <w:bottom w:val="single" w:sz="4" w:space="0" w:color="auto"/>
              <w:right w:val="single" w:sz="4" w:space="0" w:color="auto"/>
            </w:tcBorders>
            <w:shd w:val="clear" w:color="auto" w:fill="auto"/>
            <w:noWrap/>
            <w:vAlign w:val="bottom"/>
            <w:hideMark/>
          </w:tcPr>
          <w:p w14:paraId="3E52A93B"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27/09/2023</w:t>
            </w:r>
          </w:p>
        </w:tc>
        <w:tc>
          <w:tcPr>
            <w:tcW w:w="1600" w:type="dxa"/>
            <w:tcBorders>
              <w:top w:val="nil"/>
              <w:left w:val="nil"/>
              <w:bottom w:val="single" w:sz="4" w:space="0" w:color="auto"/>
              <w:right w:val="single" w:sz="4" w:space="0" w:color="auto"/>
            </w:tcBorders>
            <w:shd w:val="clear" w:color="auto" w:fill="auto"/>
            <w:noWrap/>
            <w:vAlign w:val="bottom"/>
            <w:hideMark/>
          </w:tcPr>
          <w:p w14:paraId="043310A8"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16/04/2024</w:t>
            </w:r>
          </w:p>
        </w:tc>
        <w:tc>
          <w:tcPr>
            <w:tcW w:w="1600" w:type="dxa"/>
            <w:tcBorders>
              <w:top w:val="nil"/>
              <w:left w:val="nil"/>
              <w:bottom w:val="single" w:sz="4" w:space="0" w:color="auto"/>
              <w:right w:val="single" w:sz="4" w:space="0" w:color="auto"/>
            </w:tcBorders>
            <w:shd w:val="clear" w:color="auto" w:fill="auto"/>
            <w:noWrap/>
            <w:vAlign w:val="bottom"/>
            <w:hideMark/>
          </w:tcPr>
          <w:p w14:paraId="3612B6CD"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0.55</w:t>
            </w:r>
          </w:p>
        </w:tc>
      </w:tr>
      <w:tr w:rsidR="00357B9F" w:rsidRPr="00DB5E03" w14:paraId="53222E1A"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00E9DBC4"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Iona Trinity College</w:t>
            </w:r>
          </w:p>
        </w:tc>
        <w:tc>
          <w:tcPr>
            <w:tcW w:w="1500" w:type="dxa"/>
            <w:tcBorders>
              <w:top w:val="nil"/>
              <w:left w:val="nil"/>
              <w:bottom w:val="single" w:sz="4" w:space="0" w:color="auto"/>
              <w:right w:val="single" w:sz="4" w:space="0" w:color="auto"/>
            </w:tcBorders>
            <w:shd w:val="clear" w:color="auto" w:fill="auto"/>
            <w:noWrap/>
            <w:vAlign w:val="bottom"/>
            <w:hideMark/>
          </w:tcPr>
          <w:p w14:paraId="26A08F2C"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23/10/2023</w:t>
            </w:r>
          </w:p>
        </w:tc>
        <w:tc>
          <w:tcPr>
            <w:tcW w:w="1600" w:type="dxa"/>
            <w:tcBorders>
              <w:top w:val="nil"/>
              <w:left w:val="nil"/>
              <w:bottom w:val="single" w:sz="4" w:space="0" w:color="auto"/>
              <w:right w:val="single" w:sz="4" w:space="0" w:color="auto"/>
            </w:tcBorders>
            <w:shd w:val="clear" w:color="auto" w:fill="auto"/>
            <w:noWrap/>
            <w:vAlign w:val="bottom"/>
            <w:hideMark/>
          </w:tcPr>
          <w:p w14:paraId="78A161D3"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8/10/2024</w:t>
            </w:r>
          </w:p>
        </w:tc>
        <w:tc>
          <w:tcPr>
            <w:tcW w:w="1600" w:type="dxa"/>
            <w:tcBorders>
              <w:top w:val="nil"/>
              <w:left w:val="nil"/>
              <w:bottom w:val="single" w:sz="4" w:space="0" w:color="auto"/>
              <w:right w:val="single" w:sz="4" w:space="0" w:color="auto"/>
            </w:tcBorders>
            <w:shd w:val="clear" w:color="auto" w:fill="auto"/>
            <w:noWrap/>
            <w:vAlign w:val="bottom"/>
            <w:hideMark/>
          </w:tcPr>
          <w:p w14:paraId="6232D4FF"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0.96</w:t>
            </w:r>
          </w:p>
        </w:tc>
      </w:tr>
      <w:tr w:rsidR="00357B9F" w:rsidRPr="00DB5E03" w14:paraId="787BE3F3"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614F71C3"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Imperial Engineering Institute </w:t>
            </w:r>
          </w:p>
        </w:tc>
        <w:tc>
          <w:tcPr>
            <w:tcW w:w="1500" w:type="dxa"/>
            <w:tcBorders>
              <w:top w:val="nil"/>
              <w:left w:val="nil"/>
              <w:bottom w:val="single" w:sz="4" w:space="0" w:color="auto"/>
              <w:right w:val="single" w:sz="4" w:space="0" w:color="auto"/>
            </w:tcBorders>
            <w:shd w:val="clear" w:color="auto" w:fill="auto"/>
            <w:noWrap/>
            <w:vAlign w:val="bottom"/>
            <w:hideMark/>
          </w:tcPr>
          <w:p w14:paraId="3FCC2945"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15/11/2023</w:t>
            </w:r>
          </w:p>
        </w:tc>
        <w:tc>
          <w:tcPr>
            <w:tcW w:w="1600" w:type="dxa"/>
            <w:tcBorders>
              <w:top w:val="nil"/>
              <w:left w:val="nil"/>
              <w:bottom w:val="single" w:sz="4" w:space="0" w:color="auto"/>
              <w:right w:val="single" w:sz="4" w:space="0" w:color="auto"/>
            </w:tcBorders>
            <w:shd w:val="clear" w:color="auto" w:fill="auto"/>
            <w:noWrap/>
            <w:vAlign w:val="bottom"/>
            <w:hideMark/>
          </w:tcPr>
          <w:p w14:paraId="16581755"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12/04/2024</w:t>
            </w:r>
          </w:p>
        </w:tc>
        <w:tc>
          <w:tcPr>
            <w:tcW w:w="1600" w:type="dxa"/>
            <w:tcBorders>
              <w:top w:val="nil"/>
              <w:left w:val="nil"/>
              <w:bottom w:val="single" w:sz="4" w:space="0" w:color="auto"/>
              <w:right w:val="single" w:sz="4" w:space="0" w:color="auto"/>
            </w:tcBorders>
            <w:shd w:val="clear" w:color="auto" w:fill="auto"/>
            <w:noWrap/>
            <w:vAlign w:val="bottom"/>
            <w:hideMark/>
          </w:tcPr>
          <w:p w14:paraId="4C83D47F"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0.41</w:t>
            </w:r>
          </w:p>
        </w:tc>
      </w:tr>
      <w:tr w:rsidR="00357B9F" w:rsidRPr="00DB5E03" w14:paraId="0F62B72F"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43E4DCFC"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Australia Institute of Future Education </w:t>
            </w:r>
          </w:p>
        </w:tc>
        <w:tc>
          <w:tcPr>
            <w:tcW w:w="1500" w:type="dxa"/>
            <w:tcBorders>
              <w:top w:val="nil"/>
              <w:left w:val="nil"/>
              <w:bottom w:val="single" w:sz="4" w:space="0" w:color="auto"/>
              <w:right w:val="single" w:sz="4" w:space="0" w:color="auto"/>
            </w:tcBorders>
            <w:shd w:val="clear" w:color="auto" w:fill="auto"/>
            <w:noWrap/>
            <w:vAlign w:val="bottom"/>
            <w:hideMark/>
          </w:tcPr>
          <w:p w14:paraId="3DFE8531"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19/12/2023</w:t>
            </w:r>
          </w:p>
        </w:tc>
        <w:tc>
          <w:tcPr>
            <w:tcW w:w="1600" w:type="dxa"/>
            <w:tcBorders>
              <w:top w:val="nil"/>
              <w:left w:val="nil"/>
              <w:bottom w:val="single" w:sz="4" w:space="0" w:color="auto"/>
              <w:right w:val="single" w:sz="4" w:space="0" w:color="auto"/>
            </w:tcBorders>
            <w:shd w:val="clear" w:color="auto" w:fill="auto"/>
            <w:noWrap/>
            <w:vAlign w:val="bottom"/>
            <w:hideMark/>
          </w:tcPr>
          <w:p w14:paraId="684873E0"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c>
          <w:tcPr>
            <w:tcW w:w="1600" w:type="dxa"/>
            <w:tcBorders>
              <w:top w:val="nil"/>
              <w:left w:val="nil"/>
              <w:bottom w:val="single" w:sz="4" w:space="0" w:color="auto"/>
              <w:right w:val="single" w:sz="4" w:space="0" w:color="auto"/>
            </w:tcBorders>
            <w:shd w:val="clear" w:color="auto" w:fill="auto"/>
            <w:noWrap/>
            <w:vAlign w:val="bottom"/>
            <w:hideMark/>
          </w:tcPr>
          <w:p w14:paraId="3E9258BA"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r>
      <w:tr w:rsidR="00357B9F" w:rsidRPr="00DB5E03" w14:paraId="1B236F03"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591A30DB"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Nova Anglia College </w:t>
            </w:r>
          </w:p>
        </w:tc>
        <w:tc>
          <w:tcPr>
            <w:tcW w:w="1500" w:type="dxa"/>
            <w:tcBorders>
              <w:top w:val="nil"/>
              <w:left w:val="nil"/>
              <w:bottom w:val="single" w:sz="4" w:space="0" w:color="auto"/>
              <w:right w:val="single" w:sz="4" w:space="0" w:color="auto"/>
            </w:tcBorders>
            <w:shd w:val="clear" w:color="auto" w:fill="auto"/>
            <w:noWrap/>
            <w:vAlign w:val="bottom"/>
            <w:hideMark/>
          </w:tcPr>
          <w:p w14:paraId="5CD136E5"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21/02/2024</w:t>
            </w:r>
          </w:p>
        </w:tc>
        <w:tc>
          <w:tcPr>
            <w:tcW w:w="1600" w:type="dxa"/>
            <w:tcBorders>
              <w:top w:val="nil"/>
              <w:left w:val="nil"/>
              <w:bottom w:val="single" w:sz="4" w:space="0" w:color="auto"/>
              <w:right w:val="single" w:sz="4" w:space="0" w:color="auto"/>
            </w:tcBorders>
            <w:shd w:val="clear" w:color="auto" w:fill="auto"/>
            <w:noWrap/>
            <w:vAlign w:val="bottom"/>
            <w:hideMark/>
          </w:tcPr>
          <w:p w14:paraId="6133DA43"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25/06/2025</w:t>
            </w:r>
          </w:p>
        </w:tc>
        <w:tc>
          <w:tcPr>
            <w:tcW w:w="1600" w:type="dxa"/>
            <w:tcBorders>
              <w:top w:val="nil"/>
              <w:left w:val="nil"/>
              <w:bottom w:val="single" w:sz="4" w:space="0" w:color="auto"/>
              <w:right w:val="single" w:sz="4" w:space="0" w:color="auto"/>
            </w:tcBorders>
            <w:shd w:val="clear" w:color="auto" w:fill="auto"/>
            <w:noWrap/>
            <w:vAlign w:val="bottom"/>
            <w:hideMark/>
          </w:tcPr>
          <w:p w14:paraId="1D492BD6"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1.34</w:t>
            </w:r>
          </w:p>
        </w:tc>
      </w:tr>
      <w:tr w:rsidR="00357B9F" w:rsidRPr="00DB5E03" w14:paraId="0A4E7F61"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39667765"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Lead Institute of Higher Education </w:t>
            </w:r>
          </w:p>
        </w:tc>
        <w:tc>
          <w:tcPr>
            <w:tcW w:w="1500" w:type="dxa"/>
            <w:tcBorders>
              <w:top w:val="nil"/>
              <w:left w:val="nil"/>
              <w:bottom w:val="single" w:sz="4" w:space="0" w:color="auto"/>
              <w:right w:val="single" w:sz="4" w:space="0" w:color="auto"/>
            </w:tcBorders>
            <w:shd w:val="clear" w:color="auto" w:fill="auto"/>
            <w:noWrap/>
            <w:vAlign w:val="bottom"/>
            <w:hideMark/>
          </w:tcPr>
          <w:p w14:paraId="2AFF251A"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24/04/2024</w:t>
            </w:r>
          </w:p>
        </w:tc>
        <w:tc>
          <w:tcPr>
            <w:tcW w:w="1600" w:type="dxa"/>
            <w:tcBorders>
              <w:top w:val="nil"/>
              <w:left w:val="nil"/>
              <w:bottom w:val="single" w:sz="4" w:space="0" w:color="auto"/>
              <w:right w:val="single" w:sz="4" w:space="0" w:color="auto"/>
            </w:tcBorders>
            <w:shd w:val="clear" w:color="auto" w:fill="auto"/>
            <w:noWrap/>
            <w:vAlign w:val="bottom"/>
            <w:hideMark/>
          </w:tcPr>
          <w:p w14:paraId="193F0DE5"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20/03/2025</w:t>
            </w:r>
          </w:p>
        </w:tc>
        <w:tc>
          <w:tcPr>
            <w:tcW w:w="1600" w:type="dxa"/>
            <w:tcBorders>
              <w:top w:val="nil"/>
              <w:left w:val="nil"/>
              <w:bottom w:val="single" w:sz="4" w:space="0" w:color="auto"/>
              <w:right w:val="single" w:sz="4" w:space="0" w:color="auto"/>
            </w:tcBorders>
            <w:shd w:val="clear" w:color="auto" w:fill="auto"/>
            <w:noWrap/>
            <w:vAlign w:val="bottom"/>
            <w:hideMark/>
          </w:tcPr>
          <w:p w14:paraId="2304CD8E"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0.90</w:t>
            </w:r>
          </w:p>
        </w:tc>
      </w:tr>
      <w:tr w:rsidR="00357B9F" w:rsidRPr="00DB5E03" w14:paraId="2E226AE7"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007967F6"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Australian School of Business </w:t>
            </w:r>
          </w:p>
        </w:tc>
        <w:tc>
          <w:tcPr>
            <w:tcW w:w="1500" w:type="dxa"/>
            <w:tcBorders>
              <w:top w:val="nil"/>
              <w:left w:val="nil"/>
              <w:bottom w:val="single" w:sz="4" w:space="0" w:color="auto"/>
              <w:right w:val="single" w:sz="4" w:space="0" w:color="auto"/>
            </w:tcBorders>
            <w:shd w:val="clear" w:color="auto" w:fill="auto"/>
            <w:noWrap/>
            <w:vAlign w:val="bottom"/>
            <w:hideMark/>
          </w:tcPr>
          <w:p w14:paraId="4C95F2ED"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2/07/2024</w:t>
            </w:r>
          </w:p>
        </w:tc>
        <w:tc>
          <w:tcPr>
            <w:tcW w:w="1600" w:type="dxa"/>
            <w:tcBorders>
              <w:top w:val="nil"/>
              <w:left w:val="nil"/>
              <w:bottom w:val="single" w:sz="4" w:space="0" w:color="auto"/>
              <w:right w:val="single" w:sz="4" w:space="0" w:color="auto"/>
            </w:tcBorders>
            <w:shd w:val="clear" w:color="auto" w:fill="auto"/>
            <w:noWrap/>
            <w:vAlign w:val="bottom"/>
            <w:hideMark/>
          </w:tcPr>
          <w:p w14:paraId="2F954E88"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2/10/2024</w:t>
            </w:r>
          </w:p>
        </w:tc>
        <w:tc>
          <w:tcPr>
            <w:tcW w:w="1600" w:type="dxa"/>
            <w:tcBorders>
              <w:top w:val="nil"/>
              <w:left w:val="nil"/>
              <w:bottom w:val="single" w:sz="4" w:space="0" w:color="auto"/>
              <w:right w:val="single" w:sz="4" w:space="0" w:color="auto"/>
            </w:tcBorders>
            <w:shd w:val="clear" w:color="auto" w:fill="auto"/>
            <w:noWrap/>
            <w:vAlign w:val="bottom"/>
            <w:hideMark/>
          </w:tcPr>
          <w:p w14:paraId="0DF293F2"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0.25</w:t>
            </w:r>
          </w:p>
        </w:tc>
      </w:tr>
      <w:tr w:rsidR="00357B9F" w:rsidRPr="00DB5E03" w14:paraId="172C6CF6"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796BFE66"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Monaro Higher Education </w:t>
            </w:r>
          </w:p>
        </w:tc>
        <w:tc>
          <w:tcPr>
            <w:tcW w:w="1500" w:type="dxa"/>
            <w:tcBorders>
              <w:top w:val="nil"/>
              <w:left w:val="nil"/>
              <w:bottom w:val="single" w:sz="4" w:space="0" w:color="auto"/>
              <w:right w:val="single" w:sz="4" w:space="0" w:color="auto"/>
            </w:tcBorders>
            <w:shd w:val="clear" w:color="auto" w:fill="auto"/>
            <w:noWrap/>
            <w:vAlign w:val="bottom"/>
            <w:hideMark/>
          </w:tcPr>
          <w:p w14:paraId="3F0B9121"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5/08/2024</w:t>
            </w:r>
          </w:p>
        </w:tc>
        <w:tc>
          <w:tcPr>
            <w:tcW w:w="1600" w:type="dxa"/>
            <w:tcBorders>
              <w:top w:val="nil"/>
              <w:left w:val="nil"/>
              <w:bottom w:val="single" w:sz="4" w:space="0" w:color="auto"/>
              <w:right w:val="single" w:sz="4" w:space="0" w:color="auto"/>
            </w:tcBorders>
            <w:shd w:val="clear" w:color="auto" w:fill="auto"/>
            <w:noWrap/>
            <w:vAlign w:val="bottom"/>
            <w:hideMark/>
          </w:tcPr>
          <w:p w14:paraId="39CB856A"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6/12/2024</w:t>
            </w:r>
          </w:p>
        </w:tc>
        <w:tc>
          <w:tcPr>
            <w:tcW w:w="1600" w:type="dxa"/>
            <w:tcBorders>
              <w:top w:val="nil"/>
              <w:left w:val="nil"/>
              <w:bottom w:val="single" w:sz="4" w:space="0" w:color="auto"/>
              <w:right w:val="single" w:sz="4" w:space="0" w:color="auto"/>
            </w:tcBorders>
            <w:shd w:val="clear" w:color="auto" w:fill="auto"/>
            <w:noWrap/>
            <w:vAlign w:val="bottom"/>
            <w:hideMark/>
          </w:tcPr>
          <w:p w14:paraId="4FCA18F6"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0.34</w:t>
            </w:r>
          </w:p>
        </w:tc>
      </w:tr>
      <w:tr w:rsidR="00357B9F" w:rsidRPr="00DB5E03" w14:paraId="0239BDA0"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1E5CD9CF"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Barton Business School </w:t>
            </w:r>
          </w:p>
        </w:tc>
        <w:tc>
          <w:tcPr>
            <w:tcW w:w="1500" w:type="dxa"/>
            <w:tcBorders>
              <w:top w:val="nil"/>
              <w:left w:val="nil"/>
              <w:bottom w:val="single" w:sz="4" w:space="0" w:color="auto"/>
              <w:right w:val="single" w:sz="4" w:space="0" w:color="auto"/>
            </w:tcBorders>
            <w:shd w:val="clear" w:color="auto" w:fill="auto"/>
            <w:noWrap/>
            <w:vAlign w:val="bottom"/>
            <w:hideMark/>
          </w:tcPr>
          <w:p w14:paraId="6B1C95C4"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11/09/2024</w:t>
            </w:r>
          </w:p>
        </w:tc>
        <w:tc>
          <w:tcPr>
            <w:tcW w:w="1600" w:type="dxa"/>
            <w:tcBorders>
              <w:top w:val="nil"/>
              <w:left w:val="nil"/>
              <w:bottom w:val="single" w:sz="4" w:space="0" w:color="auto"/>
              <w:right w:val="single" w:sz="4" w:space="0" w:color="auto"/>
            </w:tcBorders>
            <w:shd w:val="clear" w:color="auto" w:fill="auto"/>
            <w:noWrap/>
            <w:vAlign w:val="bottom"/>
            <w:hideMark/>
          </w:tcPr>
          <w:p w14:paraId="42AA698D"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20/03/2025</w:t>
            </w:r>
          </w:p>
        </w:tc>
        <w:tc>
          <w:tcPr>
            <w:tcW w:w="1600" w:type="dxa"/>
            <w:tcBorders>
              <w:top w:val="nil"/>
              <w:left w:val="nil"/>
              <w:bottom w:val="single" w:sz="4" w:space="0" w:color="auto"/>
              <w:right w:val="single" w:sz="4" w:space="0" w:color="auto"/>
            </w:tcBorders>
            <w:shd w:val="clear" w:color="auto" w:fill="auto"/>
            <w:noWrap/>
            <w:vAlign w:val="bottom"/>
            <w:hideMark/>
          </w:tcPr>
          <w:p w14:paraId="1EA02F0D"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0.52</w:t>
            </w:r>
          </w:p>
        </w:tc>
      </w:tr>
      <w:tr w:rsidR="00357B9F" w:rsidRPr="00DB5E03" w14:paraId="00C0AF07"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7C2C4391"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Sydney Institute of Technology Innovation </w:t>
            </w:r>
          </w:p>
        </w:tc>
        <w:tc>
          <w:tcPr>
            <w:tcW w:w="1500" w:type="dxa"/>
            <w:tcBorders>
              <w:top w:val="nil"/>
              <w:left w:val="nil"/>
              <w:bottom w:val="single" w:sz="4" w:space="0" w:color="auto"/>
              <w:right w:val="single" w:sz="4" w:space="0" w:color="auto"/>
            </w:tcBorders>
            <w:shd w:val="clear" w:color="auto" w:fill="auto"/>
            <w:noWrap/>
            <w:vAlign w:val="bottom"/>
            <w:hideMark/>
          </w:tcPr>
          <w:p w14:paraId="49290478"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22/10/2024</w:t>
            </w:r>
          </w:p>
        </w:tc>
        <w:tc>
          <w:tcPr>
            <w:tcW w:w="1600" w:type="dxa"/>
            <w:tcBorders>
              <w:top w:val="nil"/>
              <w:left w:val="nil"/>
              <w:bottom w:val="single" w:sz="4" w:space="0" w:color="auto"/>
              <w:right w:val="single" w:sz="4" w:space="0" w:color="auto"/>
            </w:tcBorders>
            <w:shd w:val="clear" w:color="auto" w:fill="auto"/>
            <w:noWrap/>
            <w:vAlign w:val="bottom"/>
            <w:hideMark/>
          </w:tcPr>
          <w:p w14:paraId="459D44A3"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14/02/2025</w:t>
            </w:r>
          </w:p>
        </w:tc>
        <w:tc>
          <w:tcPr>
            <w:tcW w:w="1600" w:type="dxa"/>
            <w:tcBorders>
              <w:top w:val="nil"/>
              <w:left w:val="nil"/>
              <w:bottom w:val="single" w:sz="4" w:space="0" w:color="auto"/>
              <w:right w:val="single" w:sz="4" w:space="0" w:color="auto"/>
            </w:tcBorders>
            <w:shd w:val="clear" w:color="auto" w:fill="auto"/>
            <w:noWrap/>
            <w:vAlign w:val="bottom"/>
            <w:hideMark/>
          </w:tcPr>
          <w:p w14:paraId="3D5F0146"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0.32</w:t>
            </w:r>
          </w:p>
        </w:tc>
      </w:tr>
      <w:tr w:rsidR="00357B9F" w:rsidRPr="00DB5E03" w14:paraId="18B7567D"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7B0755CA"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Kingsford Institute of Higher Education </w:t>
            </w:r>
          </w:p>
        </w:tc>
        <w:tc>
          <w:tcPr>
            <w:tcW w:w="1500" w:type="dxa"/>
            <w:tcBorders>
              <w:top w:val="nil"/>
              <w:left w:val="nil"/>
              <w:bottom w:val="single" w:sz="4" w:space="0" w:color="auto"/>
              <w:right w:val="single" w:sz="4" w:space="0" w:color="auto"/>
            </w:tcBorders>
            <w:shd w:val="clear" w:color="auto" w:fill="auto"/>
            <w:noWrap/>
            <w:vAlign w:val="bottom"/>
            <w:hideMark/>
          </w:tcPr>
          <w:p w14:paraId="637313B4"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11/11/2024</w:t>
            </w:r>
          </w:p>
        </w:tc>
        <w:tc>
          <w:tcPr>
            <w:tcW w:w="1600" w:type="dxa"/>
            <w:tcBorders>
              <w:top w:val="nil"/>
              <w:left w:val="nil"/>
              <w:bottom w:val="single" w:sz="4" w:space="0" w:color="auto"/>
              <w:right w:val="single" w:sz="4" w:space="0" w:color="auto"/>
            </w:tcBorders>
            <w:shd w:val="clear" w:color="auto" w:fill="auto"/>
            <w:noWrap/>
            <w:vAlign w:val="bottom"/>
            <w:hideMark/>
          </w:tcPr>
          <w:p w14:paraId="50C7C65E"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9/04/2025</w:t>
            </w:r>
          </w:p>
        </w:tc>
        <w:tc>
          <w:tcPr>
            <w:tcW w:w="1600" w:type="dxa"/>
            <w:tcBorders>
              <w:top w:val="nil"/>
              <w:left w:val="nil"/>
              <w:bottom w:val="single" w:sz="4" w:space="0" w:color="auto"/>
              <w:right w:val="single" w:sz="4" w:space="0" w:color="auto"/>
            </w:tcBorders>
            <w:shd w:val="clear" w:color="auto" w:fill="auto"/>
            <w:noWrap/>
            <w:vAlign w:val="bottom"/>
            <w:hideMark/>
          </w:tcPr>
          <w:p w14:paraId="1B11E628"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0.41</w:t>
            </w:r>
          </w:p>
        </w:tc>
      </w:tr>
      <w:tr w:rsidR="00357B9F" w:rsidRPr="00DB5E03" w14:paraId="2D3616CA" w14:textId="77777777" w:rsidTr="00357B9F">
        <w:trPr>
          <w:trHeight w:val="6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4C7DB79A"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Greystone Institute </w:t>
            </w:r>
          </w:p>
        </w:tc>
        <w:tc>
          <w:tcPr>
            <w:tcW w:w="1500" w:type="dxa"/>
            <w:tcBorders>
              <w:top w:val="nil"/>
              <w:left w:val="nil"/>
              <w:bottom w:val="single" w:sz="4" w:space="0" w:color="auto"/>
              <w:right w:val="single" w:sz="4" w:space="0" w:color="auto"/>
            </w:tcBorders>
            <w:shd w:val="clear" w:color="auto" w:fill="auto"/>
            <w:noWrap/>
            <w:vAlign w:val="bottom"/>
            <w:hideMark/>
          </w:tcPr>
          <w:p w14:paraId="0DF95FA5"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16/04/2025</w:t>
            </w:r>
          </w:p>
        </w:tc>
        <w:tc>
          <w:tcPr>
            <w:tcW w:w="1600" w:type="dxa"/>
            <w:tcBorders>
              <w:top w:val="nil"/>
              <w:left w:val="nil"/>
              <w:bottom w:val="single" w:sz="4" w:space="0" w:color="auto"/>
              <w:right w:val="single" w:sz="4" w:space="0" w:color="auto"/>
            </w:tcBorders>
            <w:shd w:val="clear" w:color="auto" w:fill="auto"/>
            <w:vAlign w:val="bottom"/>
            <w:hideMark/>
          </w:tcPr>
          <w:p w14:paraId="32D70878"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Website says pending </w:t>
            </w:r>
          </w:p>
        </w:tc>
        <w:tc>
          <w:tcPr>
            <w:tcW w:w="1600" w:type="dxa"/>
            <w:tcBorders>
              <w:top w:val="nil"/>
              <w:left w:val="nil"/>
              <w:bottom w:val="single" w:sz="4" w:space="0" w:color="auto"/>
              <w:right w:val="single" w:sz="4" w:space="0" w:color="auto"/>
            </w:tcBorders>
            <w:shd w:val="clear" w:color="auto" w:fill="auto"/>
            <w:noWrap/>
            <w:vAlign w:val="bottom"/>
            <w:hideMark/>
          </w:tcPr>
          <w:p w14:paraId="7E6CC107"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r>
      <w:tr w:rsidR="00357B9F" w:rsidRPr="00DB5E03" w14:paraId="5E2C6E3C"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0F1516EE"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Laurus Higher Education </w:t>
            </w:r>
          </w:p>
        </w:tc>
        <w:tc>
          <w:tcPr>
            <w:tcW w:w="1500" w:type="dxa"/>
            <w:tcBorders>
              <w:top w:val="nil"/>
              <w:left w:val="nil"/>
              <w:bottom w:val="single" w:sz="4" w:space="0" w:color="auto"/>
              <w:right w:val="single" w:sz="4" w:space="0" w:color="auto"/>
            </w:tcBorders>
            <w:shd w:val="clear" w:color="auto" w:fill="auto"/>
            <w:noWrap/>
            <w:vAlign w:val="bottom"/>
            <w:hideMark/>
          </w:tcPr>
          <w:p w14:paraId="371D703E"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16/04/2025</w:t>
            </w:r>
          </w:p>
        </w:tc>
        <w:tc>
          <w:tcPr>
            <w:tcW w:w="1600" w:type="dxa"/>
            <w:tcBorders>
              <w:top w:val="nil"/>
              <w:left w:val="nil"/>
              <w:bottom w:val="single" w:sz="4" w:space="0" w:color="auto"/>
              <w:right w:val="single" w:sz="4" w:space="0" w:color="auto"/>
            </w:tcBorders>
            <w:shd w:val="clear" w:color="auto" w:fill="auto"/>
            <w:noWrap/>
            <w:vAlign w:val="bottom"/>
            <w:hideMark/>
          </w:tcPr>
          <w:p w14:paraId="7F67D4CF"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16/09/2025</w:t>
            </w:r>
          </w:p>
        </w:tc>
        <w:tc>
          <w:tcPr>
            <w:tcW w:w="1600" w:type="dxa"/>
            <w:tcBorders>
              <w:top w:val="nil"/>
              <w:left w:val="nil"/>
              <w:bottom w:val="single" w:sz="4" w:space="0" w:color="auto"/>
              <w:right w:val="single" w:sz="4" w:space="0" w:color="auto"/>
            </w:tcBorders>
            <w:shd w:val="clear" w:color="auto" w:fill="auto"/>
            <w:noWrap/>
            <w:vAlign w:val="bottom"/>
            <w:hideMark/>
          </w:tcPr>
          <w:p w14:paraId="4D5C04AE"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0.42</w:t>
            </w:r>
          </w:p>
        </w:tc>
      </w:tr>
      <w:tr w:rsidR="00357B9F" w:rsidRPr="00DB5E03" w14:paraId="2DDB5993"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698DEAA2"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International Health and Science Institute </w:t>
            </w:r>
          </w:p>
        </w:tc>
        <w:tc>
          <w:tcPr>
            <w:tcW w:w="1500" w:type="dxa"/>
            <w:tcBorders>
              <w:top w:val="nil"/>
              <w:left w:val="nil"/>
              <w:bottom w:val="single" w:sz="4" w:space="0" w:color="auto"/>
              <w:right w:val="single" w:sz="4" w:space="0" w:color="auto"/>
            </w:tcBorders>
            <w:shd w:val="clear" w:color="auto" w:fill="auto"/>
            <w:noWrap/>
            <w:vAlign w:val="bottom"/>
            <w:hideMark/>
          </w:tcPr>
          <w:p w14:paraId="046F25D7"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28/05/2025</w:t>
            </w:r>
          </w:p>
        </w:tc>
        <w:tc>
          <w:tcPr>
            <w:tcW w:w="1600" w:type="dxa"/>
            <w:tcBorders>
              <w:top w:val="nil"/>
              <w:left w:val="nil"/>
              <w:bottom w:val="single" w:sz="4" w:space="0" w:color="auto"/>
              <w:right w:val="single" w:sz="4" w:space="0" w:color="auto"/>
            </w:tcBorders>
            <w:shd w:val="clear" w:color="auto" w:fill="auto"/>
            <w:noWrap/>
            <w:vAlign w:val="bottom"/>
            <w:hideMark/>
          </w:tcPr>
          <w:p w14:paraId="370B6C8B"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26/09/2025</w:t>
            </w:r>
          </w:p>
        </w:tc>
        <w:tc>
          <w:tcPr>
            <w:tcW w:w="1600" w:type="dxa"/>
            <w:tcBorders>
              <w:top w:val="nil"/>
              <w:left w:val="nil"/>
              <w:bottom w:val="single" w:sz="4" w:space="0" w:color="auto"/>
              <w:right w:val="single" w:sz="4" w:space="0" w:color="auto"/>
            </w:tcBorders>
            <w:shd w:val="clear" w:color="auto" w:fill="auto"/>
            <w:noWrap/>
            <w:vAlign w:val="bottom"/>
            <w:hideMark/>
          </w:tcPr>
          <w:p w14:paraId="4C4FD641"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0.33</w:t>
            </w:r>
          </w:p>
        </w:tc>
      </w:tr>
      <w:tr w:rsidR="00357B9F" w:rsidRPr="00DB5E03" w14:paraId="7AFE811E" w14:textId="77777777" w:rsidTr="00A76870">
        <w:trPr>
          <w:trHeight w:val="275"/>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53082DB3"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Nova Higher Education </w:t>
            </w:r>
          </w:p>
        </w:tc>
        <w:tc>
          <w:tcPr>
            <w:tcW w:w="1500" w:type="dxa"/>
            <w:tcBorders>
              <w:top w:val="nil"/>
              <w:left w:val="nil"/>
              <w:bottom w:val="single" w:sz="4" w:space="0" w:color="auto"/>
              <w:right w:val="single" w:sz="4" w:space="0" w:color="auto"/>
            </w:tcBorders>
            <w:shd w:val="clear" w:color="auto" w:fill="auto"/>
            <w:noWrap/>
            <w:vAlign w:val="bottom"/>
            <w:hideMark/>
          </w:tcPr>
          <w:p w14:paraId="7BCE08EF"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6/06/2025</w:t>
            </w:r>
          </w:p>
        </w:tc>
        <w:tc>
          <w:tcPr>
            <w:tcW w:w="1600" w:type="dxa"/>
            <w:tcBorders>
              <w:top w:val="nil"/>
              <w:left w:val="nil"/>
              <w:bottom w:val="single" w:sz="4" w:space="0" w:color="auto"/>
              <w:right w:val="single" w:sz="4" w:space="0" w:color="auto"/>
            </w:tcBorders>
            <w:shd w:val="clear" w:color="auto" w:fill="auto"/>
            <w:vAlign w:val="bottom"/>
            <w:hideMark/>
          </w:tcPr>
          <w:p w14:paraId="7226C0BA" w14:textId="77777777" w:rsidR="00357B9F" w:rsidRDefault="00A76870" w:rsidP="00357B9F">
            <w:pPr>
              <w:ind w:right="0"/>
              <w:jc w:val="center"/>
              <w:rPr>
                <w:rFonts w:ascii="Aptos" w:eastAsia="Times New Roman" w:hAnsi="Aptos" w:cs="Times New Roman"/>
                <w:color w:val="000000"/>
                <w:szCs w:val="24"/>
                <w:lang w:eastAsia="en-AU"/>
              </w:rPr>
            </w:pPr>
            <w:r>
              <w:rPr>
                <w:rFonts w:ascii="Aptos" w:eastAsia="Times New Roman" w:hAnsi="Aptos" w:cs="Times New Roman"/>
                <w:color w:val="000000"/>
                <w:szCs w:val="24"/>
                <w:lang w:eastAsia="en-AU"/>
              </w:rPr>
              <w:t>1/11/2025</w:t>
            </w:r>
          </w:p>
          <w:p w14:paraId="2A39C205" w14:textId="05EA8C0E" w:rsidR="00A76870" w:rsidRPr="00DB5E03" w:rsidRDefault="00A76870" w:rsidP="00A76870">
            <w:pPr>
              <w:ind w:right="0"/>
              <w:rPr>
                <w:rFonts w:ascii="Aptos" w:eastAsia="Times New Roman" w:hAnsi="Aptos" w:cs="Times New Roman"/>
                <w:color w:val="000000"/>
                <w:szCs w:val="24"/>
                <w:lang w:eastAsia="en-AU"/>
              </w:rPr>
            </w:pPr>
          </w:p>
        </w:tc>
        <w:tc>
          <w:tcPr>
            <w:tcW w:w="1600" w:type="dxa"/>
            <w:tcBorders>
              <w:top w:val="nil"/>
              <w:left w:val="nil"/>
              <w:bottom w:val="single" w:sz="4" w:space="0" w:color="auto"/>
              <w:right w:val="single" w:sz="4" w:space="0" w:color="auto"/>
            </w:tcBorders>
            <w:shd w:val="clear" w:color="auto" w:fill="auto"/>
            <w:noWrap/>
            <w:vAlign w:val="bottom"/>
            <w:hideMark/>
          </w:tcPr>
          <w:p w14:paraId="04D503C6" w14:textId="488310A8" w:rsidR="00357B9F" w:rsidRPr="00DB5E03" w:rsidRDefault="00E25642" w:rsidP="00357B9F">
            <w:pPr>
              <w:ind w:right="0"/>
              <w:jc w:val="center"/>
              <w:rPr>
                <w:rFonts w:ascii="Aptos" w:eastAsia="Times New Roman" w:hAnsi="Aptos" w:cs="Times New Roman"/>
                <w:color w:val="000000"/>
                <w:szCs w:val="24"/>
                <w:lang w:eastAsia="en-AU"/>
              </w:rPr>
            </w:pPr>
            <w:r>
              <w:rPr>
                <w:rFonts w:ascii="Aptos" w:eastAsia="Times New Roman" w:hAnsi="Aptos" w:cs="Times New Roman"/>
                <w:color w:val="000000"/>
                <w:szCs w:val="24"/>
                <w:lang w:eastAsia="en-AU"/>
              </w:rPr>
              <w:t>0</w:t>
            </w:r>
            <w:r w:rsidR="00A76870">
              <w:rPr>
                <w:rFonts w:ascii="Aptos" w:eastAsia="Times New Roman" w:hAnsi="Aptos" w:cs="Times New Roman"/>
                <w:color w:val="000000"/>
                <w:szCs w:val="24"/>
                <w:lang w:eastAsia="en-AU"/>
              </w:rPr>
              <w:t>.56</w:t>
            </w:r>
            <w:r w:rsidR="00357B9F" w:rsidRPr="00DB5E03">
              <w:rPr>
                <w:rFonts w:ascii="Aptos" w:eastAsia="Times New Roman" w:hAnsi="Aptos" w:cs="Times New Roman"/>
                <w:color w:val="000000"/>
                <w:szCs w:val="24"/>
                <w:lang w:eastAsia="en-AU"/>
              </w:rPr>
              <w:t> </w:t>
            </w:r>
          </w:p>
        </w:tc>
      </w:tr>
      <w:tr w:rsidR="00357B9F" w:rsidRPr="00DB5E03" w14:paraId="70FFA31B"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10AC52F6" w14:textId="02452761" w:rsidR="00357B9F" w:rsidRPr="00DB5E03" w:rsidRDefault="00A76870" w:rsidP="00357B9F">
            <w:pPr>
              <w:ind w:right="0"/>
              <w:rPr>
                <w:rFonts w:ascii="Aptos" w:eastAsia="Times New Roman" w:hAnsi="Aptos" w:cs="Times New Roman"/>
                <w:color w:val="000000"/>
                <w:szCs w:val="24"/>
                <w:lang w:eastAsia="en-AU"/>
              </w:rPr>
            </w:pPr>
            <w:r>
              <w:rPr>
                <w:rFonts w:ascii="Aptos" w:eastAsia="Times New Roman" w:hAnsi="Aptos" w:cs="Times New Roman"/>
                <w:color w:val="000000"/>
                <w:szCs w:val="24"/>
                <w:lang w:eastAsia="en-AU"/>
              </w:rPr>
              <w:t>IBC Education (</w:t>
            </w:r>
            <w:r>
              <w:rPr>
                <w:rFonts w:ascii="Aptos" w:eastAsia="Times New Roman" w:hAnsi="Aptos" w:cs="Times New Roman"/>
                <w:color w:val="000000"/>
                <w:szCs w:val="24"/>
                <w:lang w:eastAsia="en-AU"/>
              </w:rPr>
              <w:t>International Business College</w:t>
            </w:r>
            <w:r>
              <w:rPr>
                <w:rFonts w:ascii="Aptos" w:eastAsia="Times New Roman" w:hAnsi="Aptos" w:cs="Times New Roman"/>
                <w:color w:val="000000"/>
                <w:szCs w:val="24"/>
                <w:lang w:eastAsia="en-AU"/>
              </w:rPr>
              <w:t>)</w:t>
            </w:r>
          </w:p>
        </w:tc>
        <w:tc>
          <w:tcPr>
            <w:tcW w:w="1500" w:type="dxa"/>
            <w:tcBorders>
              <w:top w:val="nil"/>
              <w:left w:val="nil"/>
              <w:bottom w:val="single" w:sz="4" w:space="0" w:color="auto"/>
              <w:right w:val="single" w:sz="4" w:space="0" w:color="auto"/>
            </w:tcBorders>
            <w:shd w:val="clear" w:color="auto" w:fill="auto"/>
            <w:noWrap/>
            <w:vAlign w:val="bottom"/>
            <w:hideMark/>
          </w:tcPr>
          <w:p w14:paraId="3DF772F8"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6/08/2025</w:t>
            </w:r>
          </w:p>
        </w:tc>
        <w:tc>
          <w:tcPr>
            <w:tcW w:w="1600" w:type="dxa"/>
            <w:tcBorders>
              <w:top w:val="nil"/>
              <w:left w:val="nil"/>
              <w:bottom w:val="single" w:sz="4" w:space="0" w:color="auto"/>
              <w:right w:val="single" w:sz="4" w:space="0" w:color="auto"/>
            </w:tcBorders>
            <w:shd w:val="clear" w:color="auto" w:fill="auto"/>
            <w:noWrap/>
            <w:vAlign w:val="bottom"/>
            <w:hideMark/>
          </w:tcPr>
          <w:p w14:paraId="5902787F"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c>
          <w:tcPr>
            <w:tcW w:w="1600" w:type="dxa"/>
            <w:tcBorders>
              <w:top w:val="nil"/>
              <w:left w:val="nil"/>
              <w:bottom w:val="single" w:sz="4" w:space="0" w:color="auto"/>
              <w:right w:val="single" w:sz="4" w:space="0" w:color="auto"/>
            </w:tcBorders>
            <w:shd w:val="clear" w:color="auto" w:fill="auto"/>
            <w:noWrap/>
            <w:vAlign w:val="bottom"/>
            <w:hideMark/>
          </w:tcPr>
          <w:p w14:paraId="4ED58943"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r>
      <w:tr w:rsidR="00357B9F" w:rsidRPr="00DB5E03" w14:paraId="007E8160"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1A2145DC" w14:textId="262B3E40"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Central Institute of Technology and </w:t>
            </w:r>
            <w:r w:rsidR="00E55C4C" w:rsidRPr="00DB5E03">
              <w:rPr>
                <w:rFonts w:ascii="Aptos" w:eastAsia="Times New Roman" w:hAnsi="Aptos" w:cs="Times New Roman"/>
                <w:color w:val="000000"/>
                <w:szCs w:val="24"/>
                <w:lang w:eastAsia="en-AU"/>
              </w:rPr>
              <w:t>Innovation</w:t>
            </w:r>
          </w:p>
        </w:tc>
        <w:tc>
          <w:tcPr>
            <w:tcW w:w="1500" w:type="dxa"/>
            <w:tcBorders>
              <w:top w:val="nil"/>
              <w:left w:val="nil"/>
              <w:bottom w:val="single" w:sz="4" w:space="0" w:color="auto"/>
              <w:right w:val="single" w:sz="4" w:space="0" w:color="auto"/>
            </w:tcBorders>
            <w:shd w:val="clear" w:color="auto" w:fill="auto"/>
            <w:noWrap/>
            <w:vAlign w:val="bottom"/>
            <w:hideMark/>
          </w:tcPr>
          <w:p w14:paraId="0981D6ED"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17/09/2025</w:t>
            </w:r>
          </w:p>
        </w:tc>
        <w:tc>
          <w:tcPr>
            <w:tcW w:w="1600" w:type="dxa"/>
            <w:tcBorders>
              <w:top w:val="nil"/>
              <w:left w:val="nil"/>
              <w:bottom w:val="single" w:sz="4" w:space="0" w:color="auto"/>
              <w:right w:val="single" w:sz="4" w:space="0" w:color="auto"/>
            </w:tcBorders>
            <w:shd w:val="clear" w:color="auto" w:fill="auto"/>
            <w:noWrap/>
            <w:vAlign w:val="bottom"/>
            <w:hideMark/>
          </w:tcPr>
          <w:p w14:paraId="551EF8F2"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c>
          <w:tcPr>
            <w:tcW w:w="1600" w:type="dxa"/>
            <w:tcBorders>
              <w:top w:val="nil"/>
              <w:left w:val="nil"/>
              <w:bottom w:val="single" w:sz="4" w:space="0" w:color="auto"/>
              <w:right w:val="single" w:sz="4" w:space="0" w:color="auto"/>
            </w:tcBorders>
            <w:shd w:val="clear" w:color="auto" w:fill="auto"/>
            <w:noWrap/>
            <w:vAlign w:val="bottom"/>
            <w:hideMark/>
          </w:tcPr>
          <w:p w14:paraId="20413442"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r>
      <w:tr w:rsidR="00357B9F" w:rsidRPr="00DB5E03" w14:paraId="08BC9EBA" w14:textId="77777777" w:rsidTr="00357B9F">
        <w:trPr>
          <w:trHeight w:val="300"/>
        </w:trPr>
        <w:tc>
          <w:tcPr>
            <w:tcW w:w="4400" w:type="dxa"/>
            <w:tcBorders>
              <w:top w:val="nil"/>
              <w:left w:val="single" w:sz="4" w:space="0" w:color="auto"/>
              <w:bottom w:val="single" w:sz="4" w:space="0" w:color="auto"/>
              <w:right w:val="single" w:sz="4" w:space="0" w:color="auto"/>
            </w:tcBorders>
            <w:shd w:val="clear" w:color="auto" w:fill="auto"/>
            <w:noWrap/>
            <w:vAlign w:val="bottom"/>
            <w:hideMark/>
          </w:tcPr>
          <w:p w14:paraId="1035F899" w14:textId="77777777" w:rsidR="00357B9F" w:rsidRPr="00DB5E03" w:rsidRDefault="00357B9F" w:rsidP="00357B9F">
            <w:pPr>
              <w:ind w:right="0"/>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xml:space="preserve">International School of Global Leaders </w:t>
            </w:r>
          </w:p>
        </w:tc>
        <w:tc>
          <w:tcPr>
            <w:tcW w:w="1500" w:type="dxa"/>
            <w:tcBorders>
              <w:top w:val="nil"/>
              <w:left w:val="nil"/>
              <w:bottom w:val="single" w:sz="4" w:space="0" w:color="auto"/>
              <w:right w:val="single" w:sz="4" w:space="0" w:color="auto"/>
            </w:tcBorders>
            <w:shd w:val="clear" w:color="auto" w:fill="auto"/>
            <w:noWrap/>
            <w:vAlign w:val="bottom"/>
            <w:hideMark/>
          </w:tcPr>
          <w:p w14:paraId="018ECC52"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1/10/2025</w:t>
            </w:r>
          </w:p>
        </w:tc>
        <w:tc>
          <w:tcPr>
            <w:tcW w:w="1600" w:type="dxa"/>
            <w:tcBorders>
              <w:top w:val="nil"/>
              <w:left w:val="nil"/>
              <w:bottom w:val="single" w:sz="4" w:space="0" w:color="auto"/>
              <w:right w:val="single" w:sz="4" w:space="0" w:color="auto"/>
            </w:tcBorders>
            <w:shd w:val="clear" w:color="auto" w:fill="auto"/>
            <w:noWrap/>
            <w:vAlign w:val="bottom"/>
            <w:hideMark/>
          </w:tcPr>
          <w:p w14:paraId="5E411062"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c>
          <w:tcPr>
            <w:tcW w:w="1600" w:type="dxa"/>
            <w:tcBorders>
              <w:top w:val="nil"/>
              <w:left w:val="nil"/>
              <w:bottom w:val="single" w:sz="4" w:space="0" w:color="auto"/>
              <w:right w:val="single" w:sz="4" w:space="0" w:color="auto"/>
            </w:tcBorders>
            <w:shd w:val="clear" w:color="auto" w:fill="auto"/>
            <w:noWrap/>
            <w:vAlign w:val="bottom"/>
            <w:hideMark/>
          </w:tcPr>
          <w:p w14:paraId="011E76B5" w14:textId="77777777" w:rsidR="00357B9F" w:rsidRPr="00DB5E03" w:rsidRDefault="00357B9F" w:rsidP="00357B9F">
            <w:pPr>
              <w:ind w:right="0"/>
              <w:jc w:val="center"/>
              <w:rPr>
                <w:rFonts w:ascii="Aptos" w:eastAsia="Times New Roman" w:hAnsi="Aptos" w:cs="Times New Roman"/>
                <w:color w:val="000000"/>
                <w:szCs w:val="24"/>
                <w:lang w:eastAsia="en-AU"/>
              </w:rPr>
            </w:pPr>
            <w:r w:rsidRPr="00DB5E03">
              <w:rPr>
                <w:rFonts w:ascii="Aptos" w:eastAsia="Times New Roman" w:hAnsi="Aptos" w:cs="Times New Roman"/>
                <w:color w:val="000000"/>
                <w:szCs w:val="24"/>
                <w:lang w:eastAsia="en-AU"/>
              </w:rPr>
              <w:t> </w:t>
            </w:r>
          </w:p>
        </w:tc>
      </w:tr>
    </w:tbl>
    <w:p w14:paraId="1A3A2C4D" w14:textId="77777777" w:rsidR="005A2C95" w:rsidRPr="005A2C95" w:rsidRDefault="00E34DF4" w:rsidP="005A2C95">
      <w:pPr>
        <w:rPr>
          <w:rFonts w:ascii="Aptos" w:hAnsi="Aptos"/>
          <w:sz w:val="22"/>
        </w:rPr>
      </w:pPr>
      <w:r w:rsidRPr="00675ADB">
        <w:rPr>
          <w:rFonts w:ascii="Aptos" w:hAnsi="Aptos"/>
          <w:sz w:val="22"/>
        </w:rPr>
        <w:t xml:space="preserve">Sources: As for </w:t>
      </w:r>
      <w:r w:rsidRPr="00675ADB">
        <w:rPr>
          <w:rFonts w:ascii="Aptos" w:hAnsi="Aptos"/>
          <w:sz w:val="22"/>
        </w:rPr>
        <w:fldChar w:fldCharType="begin"/>
      </w:r>
      <w:r w:rsidRPr="00675ADB">
        <w:rPr>
          <w:rFonts w:ascii="Aptos" w:hAnsi="Aptos"/>
          <w:sz w:val="22"/>
        </w:rPr>
        <w:instrText xml:space="preserve"> REF _Ref213424456 \h </w:instrText>
      </w:r>
      <w:r w:rsidR="00DB5E03" w:rsidRPr="00675ADB">
        <w:rPr>
          <w:rFonts w:ascii="Aptos" w:hAnsi="Aptos"/>
          <w:sz w:val="22"/>
        </w:rPr>
        <w:instrText xml:space="preserve"> \* MERGEFORMAT </w:instrText>
      </w:r>
      <w:r w:rsidRPr="00675ADB">
        <w:rPr>
          <w:rFonts w:ascii="Aptos" w:hAnsi="Aptos"/>
          <w:sz w:val="22"/>
        </w:rPr>
      </w:r>
      <w:r w:rsidRPr="00675ADB">
        <w:rPr>
          <w:rFonts w:ascii="Aptos" w:hAnsi="Aptos"/>
          <w:sz w:val="22"/>
        </w:rPr>
        <w:fldChar w:fldCharType="separate"/>
      </w:r>
    </w:p>
    <w:p w14:paraId="6A61989B" w14:textId="6A4540E5" w:rsidR="003E00EC" w:rsidRPr="00DB5E03" w:rsidRDefault="005A2C95" w:rsidP="003E00EC">
      <w:pPr>
        <w:rPr>
          <w:rFonts w:ascii="Aptos" w:hAnsi="Aptos"/>
          <w:szCs w:val="24"/>
        </w:rPr>
      </w:pPr>
      <w:r w:rsidRPr="005A2C95">
        <w:rPr>
          <w:rFonts w:ascii="Aptos" w:hAnsi="Aptos"/>
          <w:sz w:val="22"/>
        </w:rPr>
        <w:t>Table</w:t>
      </w:r>
      <w:r w:rsidRPr="005A2C95">
        <w:rPr>
          <w:rFonts w:ascii="Aptos" w:hAnsi="Aptos"/>
          <w:noProof/>
          <w:sz w:val="22"/>
        </w:rPr>
        <w:t xml:space="preserve"> </w:t>
      </w:r>
      <w:r>
        <w:rPr>
          <w:rFonts w:ascii="Aptos" w:hAnsi="Aptos"/>
          <w:noProof/>
          <w:szCs w:val="24"/>
        </w:rPr>
        <w:t>1</w:t>
      </w:r>
      <w:r w:rsidR="00E34DF4" w:rsidRPr="00675ADB">
        <w:rPr>
          <w:rFonts w:ascii="Aptos" w:hAnsi="Aptos"/>
          <w:sz w:val="22"/>
        </w:rPr>
        <w:fldChar w:fldCharType="end"/>
      </w:r>
      <w:r w:rsidR="00E34DF4" w:rsidRPr="00DB5E03">
        <w:rPr>
          <w:rFonts w:ascii="Aptos" w:hAnsi="Aptos"/>
          <w:szCs w:val="24"/>
        </w:rPr>
        <w:t>.</w:t>
      </w:r>
    </w:p>
    <w:p w14:paraId="26B32704" w14:textId="77777777" w:rsidR="00A76870" w:rsidRDefault="00A76870" w:rsidP="00D76A64">
      <w:pPr>
        <w:pStyle w:val="Heading2"/>
        <w:rPr>
          <w:rStyle w:val="Emphasis"/>
          <w:rFonts w:ascii="Aptos" w:hAnsi="Aptos"/>
          <w:sz w:val="28"/>
          <w:szCs w:val="28"/>
        </w:rPr>
      </w:pPr>
    </w:p>
    <w:p w14:paraId="3D286985" w14:textId="1D0011AF" w:rsidR="003E00EC" w:rsidRPr="00DB5E03" w:rsidRDefault="003E00EC" w:rsidP="00D76A64">
      <w:pPr>
        <w:pStyle w:val="Heading2"/>
        <w:rPr>
          <w:rFonts w:ascii="Aptos" w:hAnsi="Aptos"/>
          <w:sz w:val="28"/>
          <w:szCs w:val="28"/>
        </w:rPr>
      </w:pPr>
      <w:bookmarkStart w:id="23" w:name="_Toc213838216"/>
      <w:r w:rsidRPr="00DB5E03">
        <w:rPr>
          <w:rStyle w:val="Emphasis"/>
          <w:rFonts w:ascii="Aptos" w:hAnsi="Aptos"/>
          <w:sz w:val="28"/>
          <w:szCs w:val="28"/>
        </w:rPr>
        <w:t xml:space="preserve">Domestic students </w:t>
      </w:r>
      <w:r w:rsidR="00341E0E" w:rsidRPr="00DB5E03">
        <w:rPr>
          <w:rStyle w:val="Emphasis"/>
          <w:rFonts w:ascii="Aptos" w:hAnsi="Aptos"/>
          <w:sz w:val="28"/>
          <w:szCs w:val="28"/>
        </w:rPr>
        <w:t>and access to FEE-HELP</w:t>
      </w:r>
      <w:bookmarkEnd w:id="23"/>
    </w:p>
    <w:p w14:paraId="5264ECC8" w14:textId="0E90E062" w:rsidR="003E00EC" w:rsidRPr="00DB5E03" w:rsidRDefault="003E00EC" w:rsidP="003E00EC">
      <w:pPr>
        <w:pStyle w:val="NormalWeb"/>
        <w:rPr>
          <w:rFonts w:ascii="Aptos" w:hAnsi="Aptos"/>
        </w:rPr>
      </w:pPr>
      <w:r w:rsidRPr="00DB5E03">
        <w:rPr>
          <w:rFonts w:ascii="Aptos" w:hAnsi="Aptos"/>
        </w:rPr>
        <w:t xml:space="preserve">All TEQSA-approved providers can enrol domestic students, but tracking new provider </w:t>
      </w:r>
      <w:r w:rsidR="005D0211" w:rsidRPr="00DB5E03">
        <w:rPr>
          <w:rFonts w:ascii="Aptos" w:hAnsi="Aptos"/>
        </w:rPr>
        <w:t>domestic enrolments</w:t>
      </w:r>
      <w:r w:rsidRPr="00DB5E03">
        <w:rPr>
          <w:rFonts w:ascii="Aptos" w:hAnsi="Aptos"/>
        </w:rPr>
        <w:t xml:space="preserve"> is not straightforward. </w:t>
      </w:r>
      <w:r w:rsidR="005D0211" w:rsidRPr="00DB5E03">
        <w:rPr>
          <w:rFonts w:ascii="Aptos" w:hAnsi="Aptos"/>
        </w:rPr>
        <w:t>They</w:t>
      </w:r>
      <w:r w:rsidRPr="00DB5E03">
        <w:rPr>
          <w:rFonts w:ascii="Aptos" w:hAnsi="Aptos"/>
        </w:rPr>
        <w:t xml:space="preserve"> are not automatically included in the Department of Education student statistical data. For inclusion </w:t>
      </w:r>
      <w:r w:rsidR="005D0211" w:rsidRPr="00DB5E03">
        <w:rPr>
          <w:rFonts w:ascii="Aptos" w:hAnsi="Aptos"/>
        </w:rPr>
        <w:t xml:space="preserve">in this dataset </w:t>
      </w:r>
      <w:r w:rsidRPr="00DB5E03">
        <w:rPr>
          <w:rFonts w:ascii="Aptos" w:hAnsi="Aptos"/>
        </w:rPr>
        <w:t>the provider must be registered for the FEE-HELP income contingent loan, which none on the</w:t>
      </w:r>
      <w:r w:rsidR="00B82B9B">
        <w:rPr>
          <w:rFonts w:ascii="Aptos" w:hAnsi="Aptos"/>
        </w:rPr>
        <w:t xml:space="preserve"> list</w:t>
      </w:r>
      <w:r w:rsidRPr="00DB5E03">
        <w:rPr>
          <w:rFonts w:ascii="Aptos" w:hAnsi="Aptos"/>
        </w:rPr>
        <w:t xml:space="preserve"> above </w:t>
      </w:r>
      <w:r w:rsidR="005D0211" w:rsidRPr="00DB5E03">
        <w:rPr>
          <w:rFonts w:ascii="Aptos" w:hAnsi="Aptos"/>
        </w:rPr>
        <w:t xml:space="preserve">are </w:t>
      </w:r>
      <w:r w:rsidR="00357B9F" w:rsidRPr="00DB5E03">
        <w:rPr>
          <w:rFonts w:ascii="Aptos" w:hAnsi="Aptos"/>
        </w:rPr>
        <w:t xml:space="preserve">due </w:t>
      </w:r>
      <w:r w:rsidR="005D0211" w:rsidRPr="00DB5E03">
        <w:rPr>
          <w:rFonts w:ascii="Aptos" w:hAnsi="Aptos"/>
        </w:rPr>
        <w:t xml:space="preserve">to </w:t>
      </w:r>
      <w:r w:rsidR="00357B9F" w:rsidRPr="00DB5E03">
        <w:rPr>
          <w:rFonts w:ascii="Aptos" w:hAnsi="Aptos"/>
        </w:rPr>
        <w:t xml:space="preserve">eligibility restrictions discussed in the next section. </w:t>
      </w:r>
    </w:p>
    <w:p w14:paraId="1BA137D4" w14:textId="5417C537" w:rsidR="003E00EC" w:rsidRPr="00DB5E03" w:rsidRDefault="003E00EC" w:rsidP="003E00EC">
      <w:pPr>
        <w:pStyle w:val="NormalWeb"/>
        <w:rPr>
          <w:rFonts w:ascii="Aptos" w:hAnsi="Aptos"/>
        </w:rPr>
      </w:pPr>
      <w:r w:rsidRPr="00DB5E03">
        <w:rPr>
          <w:rFonts w:ascii="Aptos" w:hAnsi="Aptos"/>
        </w:rPr>
        <w:t xml:space="preserve">I believe that most domestic students outside the Department's statistics are in specialist government, industry or professional organisation non-university higher education </w:t>
      </w:r>
      <w:r w:rsidRPr="00DB5E03">
        <w:rPr>
          <w:rFonts w:ascii="Aptos" w:hAnsi="Aptos"/>
        </w:rPr>
        <w:lastRenderedPageBreak/>
        <w:t xml:space="preserve">providers </w:t>
      </w:r>
      <w:r w:rsidR="00A76870">
        <w:rPr>
          <w:rFonts w:ascii="Aptos" w:hAnsi="Aptos"/>
        </w:rPr>
        <w:t>–</w:t>
      </w:r>
      <w:r w:rsidRPr="00DB5E03">
        <w:rPr>
          <w:rFonts w:ascii="Aptos" w:hAnsi="Aptos"/>
        </w:rPr>
        <w:t xml:space="preserve"> such as the Australian Institute of Police Management, Bureau of Meteorology Training Centre, or the Governance Institute of Australia </w:t>
      </w:r>
      <w:r w:rsidR="00A76870">
        <w:rPr>
          <w:rFonts w:ascii="Aptos" w:hAnsi="Aptos"/>
        </w:rPr>
        <w:t>–</w:t>
      </w:r>
      <w:r w:rsidRPr="00DB5E03">
        <w:rPr>
          <w:rFonts w:ascii="Aptos" w:hAnsi="Aptos"/>
        </w:rPr>
        <w:t xml:space="preserve"> where employers typically pay the fees or most students are affluent enough not to need FEE-HELP.</w:t>
      </w:r>
      <w:r w:rsidR="005D0211" w:rsidRPr="00DB5E03">
        <w:rPr>
          <w:rStyle w:val="FootnoteReference"/>
          <w:rFonts w:ascii="Aptos" w:hAnsi="Aptos"/>
        </w:rPr>
        <w:footnoteReference w:id="1"/>
      </w:r>
    </w:p>
    <w:p w14:paraId="12E78C5F" w14:textId="77777777" w:rsidR="003E00EC" w:rsidRPr="00DB5E03" w:rsidRDefault="003E00EC" w:rsidP="003E00EC">
      <w:pPr>
        <w:pStyle w:val="NormalWeb"/>
        <w:rPr>
          <w:rFonts w:ascii="Aptos" w:hAnsi="Aptos"/>
        </w:rPr>
      </w:pPr>
      <w:r w:rsidRPr="00DB5E03">
        <w:rPr>
          <w:rFonts w:ascii="Aptos" w:hAnsi="Aptos"/>
        </w:rPr>
        <w:t>In other markets, not offering FEE-HELP puts providers at a significant competitive disadvantage as students must pay their fees upfront, when they could take out an income-contingent loan at another institution.</w:t>
      </w:r>
    </w:p>
    <w:p w14:paraId="5800CF82" w14:textId="77777777" w:rsidR="003E00EC" w:rsidRPr="00DB5E03" w:rsidRDefault="003E00EC" w:rsidP="00357B9F">
      <w:pPr>
        <w:pStyle w:val="Heading2"/>
        <w:rPr>
          <w:rFonts w:ascii="Aptos" w:hAnsi="Aptos"/>
          <w:sz w:val="28"/>
          <w:szCs w:val="28"/>
        </w:rPr>
      </w:pPr>
      <w:bookmarkStart w:id="24" w:name="_Toc213838217"/>
      <w:r w:rsidRPr="00DB5E03">
        <w:rPr>
          <w:rStyle w:val="Emphasis"/>
          <w:rFonts w:ascii="Aptos" w:hAnsi="Aptos"/>
          <w:sz w:val="28"/>
          <w:szCs w:val="28"/>
        </w:rPr>
        <w:t>Provider access to FEE-HELP</w:t>
      </w:r>
      <w:bookmarkEnd w:id="24"/>
    </w:p>
    <w:p w14:paraId="32259481" w14:textId="4B514E51" w:rsidR="003E00EC" w:rsidRPr="00DB5E03" w:rsidRDefault="003E00EC" w:rsidP="003E00EC">
      <w:pPr>
        <w:pStyle w:val="NormalWeb"/>
        <w:rPr>
          <w:rFonts w:ascii="Aptos" w:hAnsi="Aptos"/>
        </w:rPr>
      </w:pPr>
      <w:r w:rsidRPr="00DB5E03">
        <w:rPr>
          <w:rFonts w:ascii="Aptos" w:hAnsi="Aptos"/>
        </w:rPr>
        <w:t xml:space="preserve">FEE-HELP is </w:t>
      </w:r>
      <w:r w:rsidR="00357B9F" w:rsidRPr="00DB5E03">
        <w:rPr>
          <w:rFonts w:ascii="Aptos" w:hAnsi="Aptos"/>
        </w:rPr>
        <w:t>a</w:t>
      </w:r>
      <w:r w:rsidRPr="00DB5E03">
        <w:rPr>
          <w:rFonts w:ascii="Aptos" w:hAnsi="Aptos"/>
        </w:rPr>
        <w:t xml:space="preserve"> rules-driven </w:t>
      </w:r>
      <w:r w:rsidR="00357B9F" w:rsidRPr="00DB5E03">
        <w:rPr>
          <w:rFonts w:ascii="Aptos" w:hAnsi="Aptos"/>
        </w:rPr>
        <w:t>funding program</w:t>
      </w:r>
      <w:r w:rsidRPr="00DB5E03">
        <w:rPr>
          <w:rFonts w:ascii="Aptos" w:hAnsi="Aptos"/>
        </w:rPr>
        <w:t xml:space="preserve">. </w:t>
      </w:r>
      <w:r w:rsidR="00357B9F" w:rsidRPr="00DB5E03">
        <w:rPr>
          <w:rFonts w:ascii="Aptos" w:hAnsi="Aptos"/>
        </w:rPr>
        <w:t>S</w:t>
      </w:r>
      <w:r w:rsidRPr="00DB5E03">
        <w:rPr>
          <w:rFonts w:ascii="Aptos" w:hAnsi="Aptos"/>
        </w:rPr>
        <w:t>o long as the provider meets stated criteria its students can access FEE-HELP. More than 100 non-university higher education providers and university colleges offer it</w:t>
      </w:r>
      <w:r w:rsidR="005D0211" w:rsidRPr="00DB5E03">
        <w:rPr>
          <w:rFonts w:ascii="Aptos" w:hAnsi="Aptos"/>
        </w:rPr>
        <w:t xml:space="preserve"> in 2025. </w:t>
      </w:r>
    </w:p>
    <w:p w14:paraId="66BEF061" w14:textId="34D6A794" w:rsidR="003E00EC" w:rsidRPr="00DB5E03" w:rsidRDefault="003E00EC" w:rsidP="003E00EC">
      <w:pPr>
        <w:pStyle w:val="NormalWeb"/>
        <w:rPr>
          <w:rFonts w:ascii="Aptos" w:hAnsi="Aptos"/>
        </w:rPr>
      </w:pPr>
      <w:r w:rsidRPr="00DB5E03">
        <w:rPr>
          <w:rFonts w:ascii="Aptos" w:hAnsi="Aptos"/>
        </w:rPr>
        <w:t>In 2017</w:t>
      </w:r>
      <w:r w:rsidR="00357B9F" w:rsidRPr="00DB5E03">
        <w:rPr>
          <w:rFonts w:ascii="Aptos" w:hAnsi="Aptos"/>
        </w:rPr>
        <w:t xml:space="preserve"> </w:t>
      </w:r>
      <w:r w:rsidRPr="00DB5E03">
        <w:rPr>
          <w:rFonts w:ascii="Aptos" w:hAnsi="Aptos"/>
        </w:rPr>
        <w:t>the FEE-HELP approval process</w:t>
      </w:r>
      <w:r w:rsidR="00357B9F" w:rsidRPr="00DB5E03">
        <w:rPr>
          <w:rFonts w:ascii="Aptos" w:hAnsi="Aptos"/>
        </w:rPr>
        <w:t xml:space="preserve"> was altered, as a pre-emptive action to prevent the misuse of student loans that occurred in vocational education. </w:t>
      </w:r>
      <w:r w:rsidR="00E56774" w:rsidRPr="00DB5E03">
        <w:rPr>
          <w:rFonts w:ascii="Aptos" w:hAnsi="Aptos"/>
        </w:rPr>
        <w:t>T</w:t>
      </w:r>
      <w:r w:rsidRPr="00DB5E03">
        <w:rPr>
          <w:rFonts w:ascii="Aptos" w:hAnsi="Aptos"/>
        </w:rPr>
        <w:t>o approve a provider for FEE-HELP</w:t>
      </w:r>
      <w:r w:rsidR="00E56774" w:rsidRPr="00DB5E03">
        <w:rPr>
          <w:rFonts w:ascii="Aptos" w:hAnsi="Aptos"/>
        </w:rPr>
        <w:t xml:space="preserve"> since then</w:t>
      </w:r>
      <w:r w:rsidRPr="00DB5E03">
        <w:rPr>
          <w:rFonts w:ascii="Aptos" w:hAnsi="Aptos"/>
        </w:rPr>
        <w:t xml:space="preserve"> the minister </w:t>
      </w:r>
      <w:r w:rsidR="00E56774" w:rsidRPr="00DB5E03">
        <w:rPr>
          <w:rFonts w:ascii="Aptos" w:hAnsi="Aptos"/>
        </w:rPr>
        <w:t>must</w:t>
      </w:r>
      <w:r w:rsidRPr="00DB5E03">
        <w:rPr>
          <w:rFonts w:ascii="Aptos" w:hAnsi="Aptos"/>
        </w:rPr>
        <w:t xml:space="preserve"> be satisfied that 'the body has sufficient experience in the provision of higher education': section 16-25(fb) </w:t>
      </w:r>
      <w:r w:rsidR="00B82B9B" w:rsidRPr="00DB5E03">
        <w:rPr>
          <w:rFonts w:ascii="Aptos" w:hAnsi="Aptos"/>
        </w:rPr>
        <w:t xml:space="preserve">of the </w:t>
      </w:r>
      <w:r w:rsidR="00B82B9B" w:rsidRPr="00DB5E03">
        <w:rPr>
          <w:rFonts w:ascii="Aptos" w:hAnsi="Aptos"/>
          <w:i/>
          <w:iCs/>
        </w:rPr>
        <w:t>Higher Education Support Act 2003</w:t>
      </w:r>
      <w:r w:rsidRPr="00DB5E03">
        <w:rPr>
          <w:rFonts w:ascii="Aptos" w:hAnsi="Aptos"/>
        </w:rPr>
        <w:t xml:space="preserve">. For the purpose of assessing experience the minister </w:t>
      </w:r>
      <w:r w:rsidRPr="00DB5E03">
        <w:rPr>
          <w:rStyle w:val="Emphasis"/>
          <w:rFonts w:ascii="Aptos" w:hAnsi="Aptos"/>
        </w:rPr>
        <w:t xml:space="preserve">may </w:t>
      </w:r>
      <w:r w:rsidRPr="00DB5E03">
        <w:rPr>
          <w:rFonts w:ascii="Aptos" w:hAnsi="Aptos"/>
        </w:rPr>
        <w:t>have regard to 'whether the body has been a registered higher education provider for 3 or more years: emphasis added, section 16-25(2</w:t>
      </w:r>
      <w:proofErr w:type="gramStart"/>
      <w:r w:rsidRPr="00DB5E03">
        <w:rPr>
          <w:rFonts w:ascii="Aptos" w:hAnsi="Aptos"/>
        </w:rPr>
        <w:t>A)(</w:t>
      </w:r>
      <w:proofErr w:type="gramEnd"/>
      <w:r w:rsidRPr="00DB5E03">
        <w:rPr>
          <w:rFonts w:ascii="Aptos" w:hAnsi="Aptos"/>
        </w:rPr>
        <w:t xml:space="preserve">a) </w:t>
      </w:r>
      <w:r w:rsidRPr="00DB5E03">
        <w:rPr>
          <w:rStyle w:val="Emphasis"/>
          <w:rFonts w:ascii="Aptos" w:hAnsi="Aptos"/>
        </w:rPr>
        <w:t>HESA 2003</w:t>
      </w:r>
      <w:r w:rsidRPr="00DB5E03">
        <w:rPr>
          <w:rFonts w:ascii="Aptos" w:hAnsi="Aptos"/>
        </w:rPr>
        <w:t>.</w:t>
      </w:r>
    </w:p>
    <w:p w14:paraId="0FA67336" w14:textId="5DFD17F6" w:rsidR="002F3CE0" w:rsidRPr="00DB5E03" w:rsidRDefault="002F3CE0" w:rsidP="002F3CE0">
      <w:pPr>
        <w:pStyle w:val="NormalWeb"/>
        <w:rPr>
          <w:rFonts w:ascii="Aptos" w:hAnsi="Aptos"/>
        </w:rPr>
      </w:pPr>
      <w:r w:rsidRPr="00DB5E03">
        <w:rPr>
          <w:rFonts w:ascii="Aptos" w:hAnsi="Aptos"/>
        </w:rPr>
        <w:t xml:space="preserve">For FEE-HELP the minister also has the power to impose conditions on providers. These include the total number of students entitled to FEE-HELP, the total amount of FEE-HELP lending, restricting which units of study (subjects) are eligible for FEE-HELP, and the subject mode of delivery: section 16-60 </w:t>
      </w:r>
      <w:r w:rsidR="00B82B9B" w:rsidRPr="00B82B9B">
        <w:rPr>
          <w:rFonts w:ascii="Aptos" w:hAnsi="Aptos"/>
          <w:i/>
          <w:iCs/>
        </w:rPr>
        <w:t>HESA</w:t>
      </w:r>
      <w:r w:rsidR="00B82B9B">
        <w:rPr>
          <w:rFonts w:ascii="Aptos" w:hAnsi="Aptos"/>
        </w:rPr>
        <w:t xml:space="preserve"> </w:t>
      </w:r>
      <w:r w:rsidRPr="00DB5E03">
        <w:rPr>
          <w:rFonts w:ascii="Aptos" w:hAnsi="Aptos"/>
          <w:i/>
          <w:iCs/>
        </w:rPr>
        <w:t>2003</w:t>
      </w:r>
      <w:r w:rsidRPr="00DB5E03">
        <w:rPr>
          <w:rFonts w:ascii="Aptos" w:hAnsi="Aptos"/>
        </w:rPr>
        <w:t xml:space="preserve">. So far as I am aware such conditions have not been imposed, although more general prudential conditions have been. There is an example in Appendix </w:t>
      </w:r>
      <w:r w:rsidR="00675ADB">
        <w:rPr>
          <w:rFonts w:ascii="Aptos" w:hAnsi="Aptos"/>
        </w:rPr>
        <w:t>1</w:t>
      </w:r>
      <w:r w:rsidRPr="00DB5E03">
        <w:rPr>
          <w:rFonts w:ascii="Aptos" w:hAnsi="Aptos"/>
        </w:rPr>
        <w:t>.</w:t>
      </w:r>
    </w:p>
    <w:p w14:paraId="46189912" w14:textId="0EC7D7A4" w:rsidR="003E00EC" w:rsidRPr="00DB5E03" w:rsidRDefault="003E00EC" w:rsidP="003E00EC">
      <w:pPr>
        <w:pStyle w:val="NormalWeb"/>
        <w:rPr>
          <w:rFonts w:ascii="Aptos" w:hAnsi="Aptos"/>
        </w:rPr>
      </w:pPr>
      <w:r w:rsidRPr="00DB5E03">
        <w:rPr>
          <w:rFonts w:ascii="Aptos" w:hAnsi="Aptos"/>
        </w:rPr>
        <w:t xml:space="preserve">The table below lists the 17 NUHEPs approved for FEE-HELP from 2018. Until 2022 the 3-year requirement was not applied. Since 2022, most FEE-HELP approvals </w:t>
      </w:r>
      <w:r w:rsidR="00E56774" w:rsidRPr="00DB5E03">
        <w:rPr>
          <w:rFonts w:ascii="Aptos" w:hAnsi="Aptos"/>
        </w:rPr>
        <w:t xml:space="preserve">have </w:t>
      </w:r>
      <w:r w:rsidRPr="00DB5E03">
        <w:rPr>
          <w:rFonts w:ascii="Aptos" w:hAnsi="Aptos"/>
        </w:rPr>
        <w:t xml:space="preserve">occurred more than 3 years after initial TEQSA registration. From the chart, a minimum two years may have been required except for UNSW College, which as a UNSW spin-off is only technically a new provider. The Chartered Accountants are a longstanding provider that would have been eligible for FEE-HELP </w:t>
      </w:r>
      <w:r w:rsidR="00A75D56">
        <w:rPr>
          <w:rFonts w:ascii="Aptos" w:hAnsi="Aptos"/>
        </w:rPr>
        <w:t>at or around the time the scheme began in 2005</w:t>
      </w:r>
      <w:r w:rsidRPr="00DB5E03">
        <w:rPr>
          <w:rFonts w:ascii="Aptos" w:hAnsi="Aptos"/>
        </w:rPr>
        <w:t xml:space="preserve">. For the others, the time between TEQSA registration and FEE-HELP approval </w:t>
      </w:r>
      <w:r w:rsidR="00FB11FE" w:rsidRPr="00DB5E03">
        <w:rPr>
          <w:rFonts w:ascii="Aptos" w:hAnsi="Aptos"/>
        </w:rPr>
        <w:t>would reflect a mix of</w:t>
      </w:r>
      <w:r w:rsidRPr="00DB5E03">
        <w:rPr>
          <w:rFonts w:ascii="Aptos" w:hAnsi="Aptos"/>
        </w:rPr>
        <w:t xml:space="preserve"> regulatory factors </w:t>
      </w:r>
      <w:r w:rsidR="00FB11FE" w:rsidRPr="00DB5E03">
        <w:rPr>
          <w:rFonts w:ascii="Aptos" w:hAnsi="Aptos"/>
        </w:rPr>
        <w:t xml:space="preserve">and </w:t>
      </w:r>
      <w:r w:rsidRPr="00DB5E03">
        <w:rPr>
          <w:rFonts w:ascii="Aptos" w:hAnsi="Aptos"/>
        </w:rPr>
        <w:t xml:space="preserve">business decisions. The fact that 6 of 17 providers in the table report no domestic students in 2024 and no FEE-HELP lending for 2025 confirms that their business model </w:t>
      </w:r>
      <w:r w:rsidR="00E34DF4" w:rsidRPr="00DB5E03">
        <w:rPr>
          <w:rFonts w:ascii="Aptos" w:hAnsi="Aptos"/>
        </w:rPr>
        <w:t>remains</w:t>
      </w:r>
      <w:r w:rsidRPr="00DB5E03">
        <w:rPr>
          <w:rFonts w:ascii="Aptos" w:hAnsi="Aptos"/>
        </w:rPr>
        <w:t xml:space="preserve"> primarily based on international students.</w:t>
      </w:r>
    </w:p>
    <w:p w14:paraId="4560A62E" w14:textId="4B50BB59" w:rsidR="00134586" w:rsidRPr="00DB5E03" w:rsidRDefault="00134586" w:rsidP="00134586">
      <w:pPr>
        <w:pStyle w:val="Caption"/>
        <w:keepNext/>
        <w:rPr>
          <w:rFonts w:ascii="Aptos" w:hAnsi="Aptos"/>
          <w:szCs w:val="24"/>
        </w:rPr>
      </w:pPr>
      <w:bookmarkStart w:id="25" w:name="_Ref213414079"/>
      <w:r w:rsidRPr="00DB5E03">
        <w:rPr>
          <w:rFonts w:ascii="Aptos" w:hAnsi="Aptos"/>
          <w:szCs w:val="24"/>
        </w:rPr>
        <w:lastRenderedPageBreak/>
        <w:t xml:space="preserve">Table </w:t>
      </w:r>
      <w:r w:rsidRPr="00DB5E03">
        <w:rPr>
          <w:rFonts w:ascii="Aptos" w:hAnsi="Aptos"/>
          <w:szCs w:val="24"/>
        </w:rPr>
        <w:fldChar w:fldCharType="begin"/>
      </w:r>
      <w:r w:rsidRPr="00DB5E03">
        <w:rPr>
          <w:rFonts w:ascii="Aptos" w:hAnsi="Aptos"/>
          <w:szCs w:val="24"/>
        </w:rPr>
        <w:instrText xml:space="preserve"> SEQ Table \* ARABIC </w:instrText>
      </w:r>
      <w:r w:rsidRPr="00DB5E03">
        <w:rPr>
          <w:rFonts w:ascii="Aptos" w:hAnsi="Aptos"/>
          <w:szCs w:val="24"/>
        </w:rPr>
        <w:fldChar w:fldCharType="separate"/>
      </w:r>
      <w:r w:rsidR="005A2C95">
        <w:rPr>
          <w:rFonts w:ascii="Aptos" w:hAnsi="Aptos"/>
          <w:noProof/>
          <w:szCs w:val="24"/>
        </w:rPr>
        <w:t>3</w:t>
      </w:r>
      <w:r w:rsidRPr="00DB5E03">
        <w:rPr>
          <w:rFonts w:ascii="Aptos" w:hAnsi="Aptos"/>
          <w:szCs w:val="24"/>
        </w:rPr>
        <w:fldChar w:fldCharType="end"/>
      </w:r>
      <w:bookmarkEnd w:id="25"/>
      <w:r w:rsidRPr="00DB5E03">
        <w:rPr>
          <w:rFonts w:ascii="Aptos" w:hAnsi="Aptos"/>
          <w:szCs w:val="24"/>
        </w:rPr>
        <w:t>: New FEE-HELP registrations, 2018-2025</w:t>
      </w:r>
    </w:p>
    <w:p w14:paraId="614EC20D" w14:textId="00FEA3F5" w:rsidR="00E56774" w:rsidRPr="00DB5E03" w:rsidRDefault="003F38BD" w:rsidP="003E00EC">
      <w:pPr>
        <w:pStyle w:val="NormalWeb"/>
        <w:rPr>
          <w:rFonts w:ascii="Aptos" w:hAnsi="Aptos"/>
        </w:rPr>
      </w:pPr>
      <w:r w:rsidRPr="003F38BD">
        <w:rPr>
          <w:rFonts w:ascii="Aptos" w:hAnsi="Aptos"/>
        </w:rPr>
        <w:drawing>
          <wp:inline distT="0" distB="0" distL="0" distR="0" wp14:anchorId="43E4A141" wp14:editId="54076448">
            <wp:extent cx="5731510" cy="253555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2535555"/>
                    </a:xfrm>
                    <a:prstGeom prst="rect">
                      <a:avLst/>
                    </a:prstGeom>
                  </pic:spPr>
                </pic:pic>
              </a:graphicData>
            </a:graphic>
          </wp:inline>
        </w:drawing>
      </w:r>
    </w:p>
    <w:p w14:paraId="45F2DB46" w14:textId="77777777" w:rsidR="005A2C95" w:rsidRPr="005A2C95" w:rsidRDefault="00E34DF4" w:rsidP="005A2C95">
      <w:pPr>
        <w:pStyle w:val="NormalWeb"/>
        <w:rPr>
          <w:rFonts w:ascii="Aptos" w:hAnsi="Aptos"/>
          <w:sz w:val="22"/>
          <w:szCs w:val="22"/>
        </w:rPr>
      </w:pPr>
      <w:r w:rsidRPr="00675ADB">
        <w:rPr>
          <w:rFonts w:ascii="Aptos" w:hAnsi="Aptos"/>
          <w:sz w:val="22"/>
          <w:szCs w:val="22"/>
        </w:rPr>
        <w:t xml:space="preserve">Sources: As for </w:t>
      </w:r>
      <w:r w:rsidRPr="00675ADB">
        <w:rPr>
          <w:rFonts w:ascii="Aptos" w:hAnsi="Aptos"/>
          <w:sz w:val="22"/>
          <w:szCs w:val="22"/>
        </w:rPr>
        <w:fldChar w:fldCharType="begin"/>
      </w:r>
      <w:r w:rsidRPr="00675ADB">
        <w:rPr>
          <w:rFonts w:ascii="Aptos" w:hAnsi="Aptos"/>
          <w:sz w:val="22"/>
          <w:szCs w:val="22"/>
        </w:rPr>
        <w:instrText xml:space="preserve"> REF _Ref213424456 \h </w:instrText>
      </w:r>
      <w:r w:rsidR="00DB5E03" w:rsidRPr="00675ADB">
        <w:rPr>
          <w:rFonts w:ascii="Aptos" w:hAnsi="Aptos"/>
          <w:sz w:val="22"/>
          <w:szCs w:val="22"/>
        </w:rPr>
        <w:instrText xml:space="preserve"> \* MERGEFORMAT </w:instrText>
      </w:r>
      <w:r w:rsidRPr="00675ADB">
        <w:rPr>
          <w:rFonts w:ascii="Aptos" w:hAnsi="Aptos"/>
          <w:sz w:val="22"/>
          <w:szCs w:val="22"/>
        </w:rPr>
      </w:r>
      <w:r w:rsidRPr="00675ADB">
        <w:rPr>
          <w:rFonts w:ascii="Aptos" w:hAnsi="Aptos"/>
          <w:sz w:val="22"/>
          <w:szCs w:val="22"/>
        </w:rPr>
        <w:fldChar w:fldCharType="separate"/>
      </w:r>
    </w:p>
    <w:p w14:paraId="0800858F" w14:textId="080EFD44" w:rsidR="00E34DF4" w:rsidRPr="00675ADB" w:rsidRDefault="005A2C95" w:rsidP="003E00EC">
      <w:pPr>
        <w:pStyle w:val="NormalWeb"/>
        <w:rPr>
          <w:rFonts w:ascii="Aptos" w:hAnsi="Aptos"/>
          <w:sz w:val="22"/>
          <w:szCs w:val="22"/>
        </w:rPr>
      </w:pPr>
      <w:r w:rsidRPr="005A2C95">
        <w:rPr>
          <w:rFonts w:ascii="Aptos" w:hAnsi="Aptos"/>
          <w:sz w:val="22"/>
          <w:szCs w:val="22"/>
        </w:rPr>
        <w:t>Table</w:t>
      </w:r>
      <w:r w:rsidRPr="005A2C95">
        <w:rPr>
          <w:rFonts w:ascii="Aptos" w:hAnsi="Aptos"/>
          <w:noProof/>
          <w:sz w:val="22"/>
          <w:szCs w:val="22"/>
        </w:rPr>
        <w:t xml:space="preserve"> </w:t>
      </w:r>
      <w:r>
        <w:rPr>
          <w:rFonts w:ascii="Aptos" w:hAnsi="Aptos"/>
          <w:noProof/>
        </w:rPr>
        <w:t>1</w:t>
      </w:r>
      <w:r w:rsidR="00E34DF4" w:rsidRPr="00675ADB">
        <w:rPr>
          <w:rFonts w:ascii="Aptos" w:hAnsi="Aptos"/>
          <w:sz w:val="22"/>
          <w:szCs w:val="22"/>
        </w:rPr>
        <w:fldChar w:fldCharType="end"/>
      </w:r>
      <w:r w:rsidR="00E34DF4" w:rsidRPr="00675ADB">
        <w:rPr>
          <w:rFonts w:ascii="Aptos" w:hAnsi="Aptos"/>
          <w:sz w:val="22"/>
          <w:szCs w:val="22"/>
        </w:rPr>
        <w:t xml:space="preserve">, FEE-HELP approvals (legislative instruments), Department of Education FEE-HELP funding determinations, Department of Education, Selected student statistics. </w:t>
      </w:r>
    </w:p>
    <w:p w14:paraId="19A2E2D5" w14:textId="3A9EEE2E" w:rsidR="003E00EC" w:rsidRPr="00DB5E03" w:rsidRDefault="003E00EC" w:rsidP="003E00EC">
      <w:pPr>
        <w:pStyle w:val="NormalWeb"/>
        <w:rPr>
          <w:rFonts w:ascii="Aptos" w:hAnsi="Aptos"/>
        </w:rPr>
      </w:pPr>
      <w:r w:rsidRPr="00DB5E03">
        <w:rPr>
          <w:rFonts w:ascii="Aptos" w:hAnsi="Aptos"/>
        </w:rPr>
        <w:t>Only one of the 17 new FEE-HELP providers</w:t>
      </w:r>
      <w:r w:rsidR="00E56774" w:rsidRPr="00DB5E03">
        <w:rPr>
          <w:rFonts w:ascii="Aptos" w:hAnsi="Aptos"/>
        </w:rPr>
        <w:t>, the Health Education and Training Institute,</w:t>
      </w:r>
      <w:r w:rsidRPr="00DB5E03">
        <w:rPr>
          <w:rFonts w:ascii="Aptos" w:hAnsi="Aptos"/>
        </w:rPr>
        <w:t xml:space="preserve"> had no international students in 2024</w:t>
      </w:r>
      <w:r w:rsidR="00E34DF4" w:rsidRPr="00DB5E03">
        <w:rPr>
          <w:rFonts w:ascii="Aptos" w:hAnsi="Aptos"/>
        </w:rPr>
        <w:t>. I</w:t>
      </w:r>
      <w:r w:rsidRPr="00DB5E03">
        <w:rPr>
          <w:rFonts w:ascii="Aptos" w:hAnsi="Aptos"/>
        </w:rPr>
        <w:t>t is the training arm of the NSW health department, with no commercial need for the international market. Another 5 of the 17 new FEE-HELP providers enrol both domestic and international students but, based on enrolments, primarily serve the domestic market. Three providers report international students despite not being CRICOS registered</w:t>
      </w:r>
      <w:r w:rsidR="00E56774" w:rsidRPr="00DB5E03">
        <w:rPr>
          <w:rFonts w:ascii="Aptos" w:hAnsi="Aptos"/>
        </w:rPr>
        <w:t xml:space="preserve">, which </w:t>
      </w:r>
      <w:r w:rsidR="00675ADB">
        <w:rPr>
          <w:rFonts w:ascii="Aptos" w:hAnsi="Aptos"/>
        </w:rPr>
        <w:t>is possible</w:t>
      </w:r>
      <w:r w:rsidR="00E56774" w:rsidRPr="00DB5E03">
        <w:rPr>
          <w:rFonts w:ascii="Aptos" w:hAnsi="Aptos"/>
        </w:rPr>
        <w:t xml:space="preserve"> if </w:t>
      </w:r>
      <w:proofErr w:type="gramStart"/>
      <w:r w:rsidR="00E56774" w:rsidRPr="00DB5E03">
        <w:rPr>
          <w:rFonts w:ascii="Aptos" w:hAnsi="Aptos"/>
        </w:rPr>
        <w:t>students</w:t>
      </w:r>
      <w:proofErr w:type="gramEnd"/>
      <w:r w:rsidR="00E56774" w:rsidRPr="00DB5E03">
        <w:rPr>
          <w:rFonts w:ascii="Aptos" w:hAnsi="Aptos"/>
        </w:rPr>
        <w:t xml:space="preserve"> </w:t>
      </w:r>
      <w:r w:rsidR="00675ADB">
        <w:rPr>
          <w:rFonts w:ascii="Aptos" w:hAnsi="Aptos"/>
        </w:rPr>
        <w:t>s</w:t>
      </w:r>
      <w:r w:rsidR="00E56774" w:rsidRPr="00DB5E03">
        <w:rPr>
          <w:rFonts w:ascii="Aptos" w:hAnsi="Aptos"/>
        </w:rPr>
        <w:t xml:space="preserve">tudy online </w:t>
      </w:r>
      <w:r w:rsidR="005D0211" w:rsidRPr="00DB5E03">
        <w:rPr>
          <w:rFonts w:ascii="Aptos" w:hAnsi="Aptos"/>
        </w:rPr>
        <w:t xml:space="preserve">from overseas </w:t>
      </w:r>
      <w:r w:rsidR="00E56774" w:rsidRPr="00DB5E03">
        <w:rPr>
          <w:rFonts w:ascii="Aptos" w:hAnsi="Aptos"/>
        </w:rPr>
        <w:t xml:space="preserve">or </w:t>
      </w:r>
      <w:r w:rsidR="00675ADB">
        <w:rPr>
          <w:rFonts w:ascii="Aptos" w:hAnsi="Aptos"/>
        </w:rPr>
        <w:t>enrol</w:t>
      </w:r>
      <w:r w:rsidR="005D0211" w:rsidRPr="00DB5E03">
        <w:rPr>
          <w:rFonts w:ascii="Aptos" w:hAnsi="Aptos"/>
        </w:rPr>
        <w:t xml:space="preserve"> </w:t>
      </w:r>
      <w:r w:rsidR="00E56774" w:rsidRPr="00DB5E03">
        <w:rPr>
          <w:rFonts w:ascii="Aptos" w:hAnsi="Aptos"/>
        </w:rPr>
        <w:t>at an offshore campus</w:t>
      </w:r>
      <w:r w:rsidRPr="00DB5E03">
        <w:rPr>
          <w:rFonts w:ascii="Aptos" w:hAnsi="Aptos"/>
        </w:rPr>
        <w:t>.</w:t>
      </w:r>
      <w:r w:rsidR="00A75D56">
        <w:rPr>
          <w:rStyle w:val="FootnoteReference"/>
          <w:rFonts w:ascii="Aptos" w:hAnsi="Aptos"/>
        </w:rPr>
        <w:footnoteReference w:id="2"/>
      </w:r>
      <w:r w:rsidRPr="00DB5E03">
        <w:rPr>
          <w:rFonts w:ascii="Aptos" w:hAnsi="Aptos"/>
        </w:rPr>
        <w:t xml:space="preserve"> Two of the 16 providers with international students report very low numbers, but otherwise international education </w:t>
      </w:r>
      <w:r w:rsidR="00675ADB">
        <w:rPr>
          <w:rFonts w:ascii="Aptos" w:hAnsi="Aptos"/>
        </w:rPr>
        <w:t>is</w:t>
      </w:r>
      <w:r w:rsidRPr="00DB5E03">
        <w:rPr>
          <w:rFonts w:ascii="Aptos" w:hAnsi="Aptos"/>
        </w:rPr>
        <w:t xml:space="preserve"> part of the business model for most providers getting access to FEE-HELP. This is consistent with my analysis of newly registered TEQSA providers.</w:t>
      </w:r>
    </w:p>
    <w:p w14:paraId="18E4CB37" w14:textId="279F8464" w:rsidR="003E00EC" w:rsidRPr="00DB5E03" w:rsidRDefault="003E00EC" w:rsidP="00EA1324">
      <w:pPr>
        <w:pStyle w:val="Heading2"/>
        <w:rPr>
          <w:rFonts w:ascii="Aptos" w:hAnsi="Aptos"/>
          <w:sz w:val="28"/>
          <w:szCs w:val="28"/>
        </w:rPr>
      </w:pPr>
      <w:bookmarkStart w:id="26" w:name="_Toc213838218"/>
      <w:r w:rsidRPr="00DB5E03">
        <w:rPr>
          <w:rStyle w:val="Emphasis"/>
          <w:rFonts w:ascii="Aptos" w:hAnsi="Aptos"/>
          <w:sz w:val="28"/>
          <w:szCs w:val="28"/>
        </w:rPr>
        <w:t>A de facto ban on new providers</w:t>
      </w:r>
      <w:bookmarkEnd w:id="26"/>
    </w:p>
    <w:p w14:paraId="1C54BB8C" w14:textId="1E704E8E" w:rsidR="003E00EC" w:rsidRPr="00DB5E03" w:rsidRDefault="00E34DF4" w:rsidP="003E00EC">
      <w:pPr>
        <w:pStyle w:val="NormalWeb"/>
        <w:rPr>
          <w:rFonts w:ascii="Aptos" w:hAnsi="Aptos"/>
        </w:rPr>
      </w:pPr>
      <w:r w:rsidRPr="00DB5E03">
        <w:rPr>
          <w:rFonts w:ascii="Aptos" w:hAnsi="Aptos"/>
        </w:rPr>
        <w:t xml:space="preserve">A small number of </w:t>
      </w:r>
      <w:r w:rsidR="003E00EC" w:rsidRPr="00DB5E03">
        <w:rPr>
          <w:rFonts w:ascii="Aptos" w:hAnsi="Aptos"/>
        </w:rPr>
        <w:t xml:space="preserve">providers can operate without international students or FEE-HELP. But for organisations trying to compete in non-niche markets </w:t>
      </w:r>
      <w:r w:rsidR="0041420F" w:rsidRPr="00DB5E03">
        <w:rPr>
          <w:rFonts w:ascii="Aptos" w:hAnsi="Aptos"/>
        </w:rPr>
        <w:t>the obstacles will be significant</w:t>
      </w:r>
      <w:r w:rsidR="003E00EC" w:rsidRPr="00DB5E03">
        <w:rPr>
          <w:rFonts w:ascii="Aptos" w:hAnsi="Aptos"/>
        </w:rPr>
        <w:t xml:space="preserve"> if the ESOS amendment bill passes:</w:t>
      </w:r>
    </w:p>
    <w:p w14:paraId="79ABB708" w14:textId="77777777" w:rsidR="003E00EC" w:rsidRPr="00DB5E03" w:rsidRDefault="003E00EC" w:rsidP="003E00EC">
      <w:pPr>
        <w:numPr>
          <w:ilvl w:val="0"/>
          <w:numId w:val="19"/>
        </w:numPr>
        <w:spacing w:before="100" w:beforeAutospacing="1" w:after="100" w:afterAutospacing="1"/>
        <w:ind w:right="0"/>
        <w:rPr>
          <w:rFonts w:ascii="Aptos" w:hAnsi="Aptos"/>
          <w:szCs w:val="24"/>
        </w:rPr>
      </w:pPr>
      <w:r w:rsidRPr="00DB5E03">
        <w:rPr>
          <w:rFonts w:ascii="Aptos" w:hAnsi="Aptos"/>
          <w:szCs w:val="24"/>
        </w:rPr>
        <w:t>Providers can't offer courses to international students until they have enrolled domestic students for two years,</w:t>
      </w:r>
    </w:p>
    <w:p w14:paraId="4B99B18E" w14:textId="77777777" w:rsidR="003E00EC" w:rsidRPr="00DB5E03" w:rsidRDefault="003E00EC" w:rsidP="003E00EC">
      <w:pPr>
        <w:numPr>
          <w:ilvl w:val="0"/>
          <w:numId w:val="19"/>
        </w:numPr>
        <w:spacing w:before="100" w:beforeAutospacing="1" w:after="100" w:afterAutospacing="1"/>
        <w:ind w:right="0"/>
        <w:rPr>
          <w:rFonts w:ascii="Aptos" w:hAnsi="Aptos"/>
          <w:szCs w:val="24"/>
        </w:rPr>
      </w:pPr>
      <w:r w:rsidRPr="00DB5E03">
        <w:rPr>
          <w:rFonts w:ascii="Aptos" w:hAnsi="Aptos"/>
          <w:szCs w:val="24"/>
        </w:rPr>
        <w:t xml:space="preserve">But providers won't be competitive in the domestic market unless they offer FEE-HELP, which in practice they can't get until they have enrolled international students </w:t>
      </w:r>
      <w:r w:rsidRPr="00DB5E03">
        <w:rPr>
          <w:rFonts w:ascii="Aptos" w:hAnsi="Aptos"/>
          <w:szCs w:val="24"/>
        </w:rPr>
        <w:lastRenderedPageBreak/>
        <w:t>for at least two years or can otherwise prove 'sufficient experience' in delivering higher education.</w:t>
      </w:r>
    </w:p>
    <w:p w14:paraId="623D73F8" w14:textId="3F8C9687" w:rsidR="003E00EC" w:rsidRPr="00DB5E03" w:rsidRDefault="00EA1324" w:rsidP="00EA1324">
      <w:pPr>
        <w:pStyle w:val="Heading2"/>
        <w:rPr>
          <w:rFonts w:ascii="Aptos" w:hAnsi="Aptos"/>
          <w:i/>
          <w:iCs/>
          <w:sz w:val="28"/>
          <w:szCs w:val="28"/>
        </w:rPr>
      </w:pPr>
      <w:bookmarkStart w:id="27" w:name="_Toc213838219"/>
      <w:r w:rsidRPr="00DB5E03">
        <w:rPr>
          <w:rFonts w:ascii="Aptos" w:hAnsi="Aptos"/>
          <w:i/>
          <w:iCs/>
          <w:sz w:val="28"/>
          <w:szCs w:val="28"/>
        </w:rPr>
        <w:t>A role for new providers</w:t>
      </w:r>
      <w:bookmarkEnd w:id="27"/>
      <w:r w:rsidRPr="00DB5E03">
        <w:rPr>
          <w:rFonts w:ascii="Aptos" w:hAnsi="Aptos"/>
          <w:i/>
          <w:iCs/>
          <w:sz w:val="28"/>
          <w:szCs w:val="28"/>
        </w:rPr>
        <w:t xml:space="preserve"> </w:t>
      </w:r>
    </w:p>
    <w:p w14:paraId="5A03ADB6" w14:textId="37F2A199" w:rsidR="00EA1324" w:rsidRPr="00DB5E03" w:rsidRDefault="002342B7" w:rsidP="005408C5">
      <w:pPr>
        <w:pStyle w:val="NormalWeb"/>
        <w:rPr>
          <w:rFonts w:ascii="Aptos" w:hAnsi="Aptos"/>
        </w:rPr>
      </w:pPr>
      <w:proofErr w:type="gramStart"/>
      <w:r w:rsidRPr="00DB5E03">
        <w:rPr>
          <w:rFonts w:ascii="Aptos" w:hAnsi="Aptos"/>
        </w:rPr>
        <w:t>Obviously</w:t>
      </w:r>
      <w:proofErr w:type="gramEnd"/>
      <w:r w:rsidRPr="00DB5E03">
        <w:rPr>
          <w:rFonts w:ascii="Aptos" w:hAnsi="Aptos"/>
        </w:rPr>
        <w:t xml:space="preserve"> it is hard to say in advance what benefits new higher education providers bring to </w:t>
      </w:r>
      <w:r w:rsidR="00E40B11" w:rsidRPr="00DB5E03">
        <w:rPr>
          <w:rFonts w:ascii="Aptos" w:hAnsi="Aptos"/>
        </w:rPr>
        <w:t xml:space="preserve">either </w:t>
      </w:r>
      <w:r w:rsidRPr="00DB5E03">
        <w:rPr>
          <w:rFonts w:ascii="Aptos" w:hAnsi="Aptos"/>
        </w:rPr>
        <w:t xml:space="preserve">the </w:t>
      </w:r>
      <w:r w:rsidR="00E40B11" w:rsidRPr="00DB5E03">
        <w:rPr>
          <w:rFonts w:ascii="Aptos" w:hAnsi="Aptos"/>
        </w:rPr>
        <w:t xml:space="preserve">domestic or </w:t>
      </w:r>
      <w:r w:rsidR="005408C5" w:rsidRPr="00DB5E03">
        <w:rPr>
          <w:rFonts w:ascii="Aptos" w:hAnsi="Aptos"/>
        </w:rPr>
        <w:t xml:space="preserve">international </w:t>
      </w:r>
      <w:r w:rsidRPr="00DB5E03">
        <w:rPr>
          <w:rFonts w:ascii="Aptos" w:hAnsi="Aptos"/>
        </w:rPr>
        <w:t xml:space="preserve">market. </w:t>
      </w:r>
      <w:r w:rsidR="00E40B11" w:rsidRPr="00DB5E03">
        <w:rPr>
          <w:rFonts w:ascii="Aptos" w:hAnsi="Aptos"/>
        </w:rPr>
        <w:t xml:space="preserve">But </w:t>
      </w:r>
      <w:r w:rsidR="00EA5016" w:rsidRPr="00DB5E03">
        <w:rPr>
          <w:rFonts w:ascii="Aptos" w:hAnsi="Aptos"/>
        </w:rPr>
        <w:t xml:space="preserve">without offering something existing providers do not </w:t>
      </w:r>
      <w:r w:rsidR="00BE1A55">
        <w:rPr>
          <w:rFonts w:ascii="Aptos" w:hAnsi="Aptos"/>
        </w:rPr>
        <w:t>new providers</w:t>
      </w:r>
      <w:r w:rsidR="00EA5016" w:rsidRPr="00DB5E03">
        <w:rPr>
          <w:rFonts w:ascii="Aptos" w:hAnsi="Aptos"/>
        </w:rPr>
        <w:t xml:space="preserve"> cannot survive</w:t>
      </w:r>
      <w:r w:rsidR="005408C5" w:rsidRPr="00DB5E03">
        <w:rPr>
          <w:rFonts w:ascii="Aptos" w:hAnsi="Aptos"/>
        </w:rPr>
        <w:t>.</w:t>
      </w:r>
      <w:r w:rsidR="00990A9F" w:rsidRPr="00DB5E03">
        <w:rPr>
          <w:rFonts w:ascii="Aptos" w:hAnsi="Aptos"/>
        </w:rPr>
        <w:t xml:space="preserve"> </w:t>
      </w:r>
      <w:r w:rsidR="00F47C29" w:rsidRPr="00DB5E03">
        <w:rPr>
          <w:rFonts w:ascii="Aptos" w:hAnsi="Aptos"/>
        </w:rPr>
        <w:t xml:space="preserve">In 2024 </w:t>
      </w:r>
      <w:r w:rsidR="00A827E2" w:rsidRPr="00DB5E03">
        <w:rPr>
          <w:rFonts w:ascii="Aptos" w:hAnsi="Aptos"/>
        </w:rPr>
        <w:t xml:space="preserve">non-Table A </w:t>
      </w:r>
      <w:r w:rsidR="00F47C29" w:rsidRPr="00DB5E03">
        <w:rPr>
          <w:rFonts w:ascii="Aptos" w:hAnsi="Aptos"/>
        </w:rPr>
        <w:t>FEE-HELP eligible institutions had an enrolment share of 8%, despite typically charging higher fees</w:t>
      </w:r>
      <w:r w:rsidR="00BE1A55">
        <w:rPr>
          <w:rFonts w:ascii="Aptos" w:hAnsi="Aptos"/>
        </w:rPr>
        <w:t xml:space="preserve"> than public universities</w:t>
      </w:r>
      <w:r w:rsidR="002E42DE" w:rsidRPr="00DB5E03">
        <w:rPr>
          <w:rFonts w:ascii="Aptos" w:hAnsi="Aptos"/>
        </w:rPr>
        <w:t>,</w:t>
      </w:r>
      <w:r w:rsidR="00F47C29" w:rsidRPr="00DB5E03">
        <w:rPr>
          <w:rFonts w:ascii="Aptos" w:hAnsi="Aptos"/>
        </w:rPr>
        <w:t xml:space="preserve"> </w:t>
      </w:r>
      <w:r w:rsidR="00F51597" w:rsidRPr="00DB5E03">
        <w:rPr>
          <w:rFonts w:ascii="Aptos" w:hAnsi="Aptos"/>
        </w:rPr>
        <w:t>as most private university and non-university providers receive no tuition subsidies</w:t>
      </w:r>
      <w:r w:rsidR="00F47C29" w:rsidRPr="00DB5E03">
        <w:rPr>
          <w:rFonts w:ascii="Aptos" w:hAnsi="Aptos"/>
        </w:rPr>
        <w:t xml:space="preserve">. </w:t>
      </w:r>
      <w:r w:rsidR="00A827E2" w:rsidRPr="00DB5E03">
        <w:rPr>
          <w:rFonts w:ascii="Aptos" w:hAnsi="Aptos"/>
        </w:rPr>
        <w:t>They achieved this</w:t>
      </w:r>
      <w:r w:rsidR="00F405D2" w:rsidRPr="00DB5E03">
        <w:rPr>
          <w:rFonts w:ascii="Aptos" w:hAnsi="Aptos"/>
        </w:rPr>
        <w:t xml:space="preserve"> through a mix of product innovation, delivering courses in niche fields, and a more personal teaching experience than is possible in</w:t>
      </w:r>
      <w:r w:rsidR="00A827E2" w:rsidRPr="00DB5E03">
        <w:rPr>
          <w:rFonts w:ascii="Aptos" w:hAnsi="Aptos"/>
        </w:rPr>
        <w:t xml:space="preserve"> </w:t>
      </w:r>
      <w:r w:rsidR="00F405D2" w:rsidRPr="00DB5E03">
        <w:rPr>
          <w:rFonts w:ascii="Aptos" w:hAnsi="Aptos"/>
        </w:rPr>
        <w:t xml:space="preserve">large Table A universities. </w:t>
      </w:r>
      <w:r w:rsidR="00E62E4A" w:rsidRPr="00DB5E03">
        <w:rPr>
          <w:rFonts w:ascii="Aptos" w:hAnsi="Aptos"/>
        </w:rPr>
        <w:t xml:space="preserve">In the 2024 Student Experience Survey ratings for overall educational experience the top 35 institutions are all non-university higher education providers or private universities (Appendix </w:t>
      </w:r>
      <w:r w:rsidR="00675ADB">
        <w:rPr>
          <w:rFonts w:ascii="Aptos" w:hAnsi="Aptos"/>
        </w:rPr>
        <w:t>2</w:t>
      </w:r>
      <w:r w:rsidR="00E62E4A" w:rsidRPr="00DB5E03">
        <w:rPr>
          <w:rFonts w:ascii="Aptos" w:hAnsi="Aptos"/>
        </w:rPr>
        <w:t xml:space="preserve">).  </w:t>
      </w:r>
      <w:r w:rsidR="00675ADB">
        <w:rPr>
          <w:rFonts w:ascii="Aptos" w:hAnsi="Aptos"/>
        </w:rPr>
        <w:t>A</w:t>
      </w:r>
      <w:r w:rsidR="00230AE1" w:rsidRPr="00DB5E03">
        <w:rPr>
          <w:rFonts w:ascii="Aptos" w:hAnsi="Aptos"/>
        </w:rPr>
        <w:t xml:space="preserve"> good student experience </w:t>
      </w:r>
      <w:r w:rsidR="00675ADB">
        <w:rPr>
          <w:rFonts w:ascii="Aptos" w:hAnsi="Aptos"/>
        </w:rPr>
        <w:t xml:space="preserve">is not guaranteed </w:t>
      </w:r>
      <w:r w:rsidR="00230AE1" w:rsidRPr="00DB5E03">
        <w:rPr>
          <w:rFonts w:ascii="Aptos" w:hAnsi="Aptos"/>
        </w:rPr>
        <w:t>– the lowest 10 institutions include 8 private higher education providers and two TAFEs. However, high-quality education is more feasible in smaller institutions with a clear focus on students</w:t>
      </w:r>
      <w:r w:rsidR="00E34DF4" w:rsidRPr="00DB5E03">
        <w:rPr>
          <w:rFonts w:ascii="Aptos" w:hAnsi="Aptos"/>
        </w:rPr>
        <w:t xml:space="preserve"> than in large public universities. </w:t>
      </w:r>
    </w:p>
    <w:p w14:paraId="719E25FC" w14:textId="104D4B75" w:rsidR="00F47C29" w:rsidRPr="00DB5E03" w:rsidRDefault="00F47C29" w:rsidP="00F47C29">
      <w:pPr>
        <w:pStyle w:val="Caption"/>
        <w:keepNext/>
        <w:rPr>
          <w:rFonts w:ascii="Aptos" w:hAnsi="Aptos"/>
          <w:szCs w:val="24"/>
        </w:rPr>
      </w:pPr>
      <w:bookmarkStart w:id="28" w:name="_Ref213399593"/>
      <w:r w:rsidRPr="00DB5E03">
        <w:rPr>
          <w:rFonts w:ascii="Aptos" w:hAnsi="Aptos"/>
          <w:szCs w:val="24"/>
        </w:rPr>
        <w:t xml:space="preserve">Figure </w:t>
      </w:r>
      <w:r w:rsidR="008253F4" w:rsidRPr="00DB5E03">
        <w:rPr>
          <w:rFonts w:ascii="Aptos" w:hAnsi="Aptos"/>
          <w:szCs w:val="24"/>
        </w:rPr>
        <w:fldChar w:fldCharType="begin"/>
      </w:r>
      <w:r w:rsidR="008253F4" w:rsidRPr="00DB5E03">
        <w:rPr>
          <w:rFonts w:ascii="Aptos" w:hAnsi="Aptos"/>
          <w:szCs w:val="24"/>
        </w:rPr>
        <w:instrText xml:space="preserve"> SEQ Figure \* ARABIC </w:instrText>
      </w:r>
      <w:r w:rsidR="008253F4" w:rsidRPr="00DB5E03">
        <w:rPr>
          <w:rFonts w:ascii="Aptos" w:hAnsi="Aptos"/>
          <w:szCs w:val="24"/>
        </w:rPr>
        <w:fldChar w:fldCharType="separate"/>
      </w:r>
      <w:r w:rsidR="005A2C95">
        <w:rPr>
          <w:rFonts w:ascii="Aptos" w:hAnsi="Aptos"/>
          <w:noProof/>
          <w:szCs w:val="24"/>
        </w:rPr>
        <w:t>3</w:t>
      </w:r>
      <w:r w:rsidR="008253F4" w:rsidRPr="00DB5E03">
        <w:rPr>
          <w:rFonts w:ascii="Aptos" w:hAnsi="Aptos"/>
          <w:szCs w:val="24"/>
        </w:rPr>
        <w:fldChar w:fldCharType="end"/>
      </w:r>
      <w:bookmarkEnd w:id="28"/>
      <w:r w:rsidRPr="00DB5E03">
        <w:rPr>
          <w:rFonts w:ascii="Aptos" w:hAnsi="Aptos"/>
          <w:szCs w:val="24"/>
        </w:rPr>
        <w:t xml:space="preserve">: Domestic enrolments in non-Table A higher education institutions </w:t>
      </w:r>
    </w:p>
    <w:p w14:paraId="61DD5EE6" w14:textId="6D4FB845" w:rsidR="00EA1324" w:rsidRPr="00DB5E03" w:rsidRDefault="00EA1324" w:rsidP="003E00EC">
      <w:pPr>
        <w:pStyle w:val="NormalWeb"/>
        <w:rPr>
          <w:rFonts w:ascii="Aptos" w:hAnsi="Aptos"/>
        </w:rPr>
      </w:pPr>
      <w:r w:rsidRPr="00DB5E03">
        <w:rPr>
          <w:rFonts w:ascii="Aptos" w:hAnsi="Aptos"/>
          <w:noProof/>
        </w:rPr>
        <w:drawing>
          <wp:inline distT="0" distB="0" distL="0" distR="0" wp14:anchorId="265D1199" wp14:editId="595CE17A">
            <wp:extent cx="5486400" cy="32004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DBAFD90" w14:textId="5E658F41" w:rsidR="00134586" w:rsidRPr="00675ADB" w:rsidRDefault="00134586" w:rsidP="003E00EC">
      <w:pPr>
        <w:pStyle w:val="NormalWeb"/>
        <w:rPr>
          <w:rFonts w:ascii="Aptos" w:hAnsi="Aptos"/>
          <w:sz w:val="22"/>
          <w:szCs w:val="22"/>
        </w:rPr>
      </w:pPr>
      <w:r w:rsidRPr="00675ADB">
        <w:rPr>
          <w:rFonts w:ascii="Aptos" w:hAnsi="Aptos"/>
          <w:sz w:val="22"/>
          <w:szCs w:val="22"/>
        </w:rPr>
        <w:t>Sources: Sources: L. Watson, Survey of private providers (1999), D</w:t>
      </w:r>
      <w:r w:rsidR="002F3CE0" w:rsidRPr="00675ADB">
        <w:rPr>
          <w:rFonts w:ascii="Aptos" w:hAnsi="Aptos"/>
          <w:sz w:val="22"/>
          <w:szCs w:val="22"/>
        </w:rPr>
        <w:t>epartment of Education</w:t>
      </w:r>
      <w:r w:rsidRPr="00675ADB">
        <w:rPr>
          <w:rFonts w:ascii="Aptos" w:hAnsi="Aptos"/>
          <w:sz w:val="22"/>
          <w:szCs w:val="22"/>
        </w:rPr>
        <w:t xml:space="preserve">, </w:t>
      </w:r>
      <w:proofErr w:type="spellStart"/>
      <w:r w:rsidRPr="00675ADB">
        <w:rPr>
          <w:rFonts w:ascii="Aptos" w:hAnsi="Aptos"/>
          <w:sz w:val="22"/>
          <w:szCs w:val="22"/>
        </w:rPr>
        <w:t>uCube</w:t>
      </w:r>
      <w:proofErr w:type="spellEnd"/>
      <w:r w:rsidRPr="00675ADB">
        <w:rPr>
          <w:rFonts w:ascii="Aptos" w:hAnsi="Aptos"/>
          <w:sz w:val="22"/>
          <w:szCs w:val="22"/>
        </w:rPr>
        <w:t xml:space="preserve">, Enrolment pivot table, </w:t>
      </w:r>
      <w:r w:rsidR="002F3CE0" w:rsidRPr="00675ADB">
        <w:rPr>
          <w:rFonts w:ascii="Aptos" w:hAnsi="Aptos"/>
          <w:sz w:val="22"/>
          <w:szCs w:val="22"/>
        </w:rPr>
        <w:t>S</w:t>
      </w:r>
      <w:r w:rsidRPr="00675ADB">
        <w:rPr>
          <w:rFonts w:ascii="Aptos" w:hAnsi="Aptos"/>
          <w:sz w:val="22"/>
          <w:szCs w:val="22"/>
        </w:rPr>
        <w:t>elected student statistics</w:t>
      </w:r>
    </w:p>
    <w:p w14:paraId="6048656F" w14:textId="47CAA7A8" w:rsidR="00DD6685" w:rsidRPr="00DB5E03" w:rsidRDefault="007D7496" w:rsidP="003E00EC">
      <w:pPr>
        <w:pStyle w:val="NormalWeb"/>
        <w:rPr>
          <w:rFonts w:ascii="Aptos" w:hAnsi="Aptos"/>
        </w:rPr>
      </w:pPr>
      <w:r w:rsidRPr="00DB5E03">
        <w:rPr>
          <w:rFonts w:ascii="Aptos" w:hAnsi="Aptos"/>
        </w:rPr>
        <w:t xml:space="preserve">Despite not receiving any Commonwealth equity funding, non-university higher education providers </w:t>
      </w:r>
      <w:r w:rsidR="00DD6685" w:rsidRPr="00DB5E03">
        <w:rPr>
          <w:rFonts w:ascii="Aptos" w:hAnsi="Aptos"/>
        </w:rPr>
        <w:t>have comparable equity enrolment shares as Table A universities (</w:t>
      </w:r>
      <w:r w:rsidR="00DD6685" w:rsidRPr="00DB5E03">
        <w:rPr>
          <w:rFonts w:ascii="Aptos" w:hAnsi="Aptos"/>
        </w:rPr>
        <w:fldChar w:fldCharType="begin"/>
      </w:r>
      <w:r w:rsidR="00DD6685" w:rsidRPr="00DB5E03">
        <w:rPr>
          <w:rFonts w:ascii="Aptos" w:hAnsi="Aptos"/>
        </w:rPr>
        <w:instrText xml:space="preserve"> REF _Ref213413659 \h </w:instrText>
      </w:r>
      <w:r w:rsidR="002216F7" w:rsidRPr="00DB5E03">
        <w:rPr>
          <w:rFonts w:ascii="Aptos" w:hAnsi="Aptos"/>
        </w:rPr>
        <w:instrText xml:space="preserve"> \* MERGEFORMAT </w:instrText>
      </w:r>
      <w:r w:rsidR="00DD6685" w:rsidRPr="00DB5E03">
        <w:rPr>
          <w:rFonts w:ascii="Aptos" w:hAnsi="Aptos"/>
        </w:rPr>
      </w:r>
      <w:r w:rsidR="00DD6685" w:rsidRPr="00DB5E03">
        <w:rPr>
          <w:rFonts w:ascii="Aptos" w:hAnsi="Aptos"/>
        </w:rPr>
        <w:fldChar w:fldCharType="separate"/>
      </w:r>
      <w:r w:rsidR="005A2C95" w:rsidRPr="00DB5E03">
        <w:rPr>
          <w:rFonts w:ascii="Aptos" w:hAnsi="Aptos"/>
        </w:rPr>
        <w:t xml:space="preserve">Table </w:t>
      </w:r>
      <w:r w:rsidR="005A2C95">
        <w:rPr>
          <w:rFonts w:ascii="Aptos" w:hAnsi="Aptos"/>
          <w:noProof/>
        </w:rPr>
        <w:t>4</w:t>
      </w:r>
      <w:r w:rsidR="00DD6685" w:rsidRPr="00DB5E03">
        <w:rPr>
          <w:rFonts w:ascii="Aptos" w:hAnsi="Aptos"/>
        </w:rPr>
        <w:fldChar w:fldCharType="end"/>
      </w:r>
      <w:r w:rsidR="00DD6685" w:rsidRPr="00DB5E03">
        <w:rPr>
          <w:rFonts w:ascii="Aptos" w:hAnsi="Aptos"/>
        </w:rPr>
        <w:t>), although these numbers include pathway colleges to Table A universities.</w:t>
      </w:r>
    </w:p>
    <w:p w14:paraId="7C2E034F" w14:textId="0C41E6C9" w:rsidR="00E34DF4" w:rsidRPr="00DB5E03" w:rsidRDefault="00E34DF4" w:rsidP="003E00EC">
      <w:pPr>
        <w:pStyle w:val="NormalWeb"/>
        <w:rPr>
          <w:rFonts w:ascii="Aptos" w:hAnsi="Aptos"/>
        </w:rPr>
      </w:pPr>
    </w:p>
    <w:p w14:paraId="26BB0FDC" w14:textId="43FCFAED" w:rsidR="00DD6685" w:rsidRPr="00DB5E03" w:rsidRDefault="00DD6685" w:rsidP="00DD6685">
      <w:pPr>
        <w:pStyle w:val="Caption"/>
        <w:rPr>
          <w:rFonts w:ascii="Aptos" w:hAnsi="Aptos"/>
          <w:szCs w:val="24"/>
        </w:rPr>
      </w:pPr>
      <w:bookmarkStart w:id="29" w:name="_Ref213413659"/>
      <w:r w:rsidRPr="00DB5E03">
        <w:rPr>
          <w:rFonts w:ascii="Aptos" w:hAnsi="Aptos"/>
          <w:szCs w:val="24"/>
        </w:rPr>
        <w:lastRenderedPageBreak/>
        <w:t xml:space="preserve">Table </w:t>
      </w:r>
      <w:r w:rsidRPr="00DB5E03">
        <w:rPr>
          <w:rFonts w:ascii="Aptos" w:hAnsi="Aptos"/>
          <w:szCs w:val="24"/>
        </w:rPr>
        <w:fldChar w:fldCharType="begin"/>
      </w:r>
      <w:r w:rsidRPr="00DB5E03">
        <w:rPr>
          <w:rFonts w:ascii="Aptos" w:hAnsi="Aptos"/>
          <w:szCs w:val="24"/>
        </w:rPr>
        <w:instrText xml:space="preserve"> SEQ Table \* ARABIC </w:instrText>
      </w:r>
      <w:r w:rsidRPr="00DB5E03">
        <w:rPr>
          <w:rFonts w:ascii="Aptos" w:hAnsi="Aptos"/>
          <w:szCs w:val="24"/>
        </w:rPr>
        <w:fldChar w:fldCharType="separate"/>
      </w:r>
      <w:r w:rsidR="005A2C95">
        <w:rPr>
          <w:rFonts w:ascii="Aptos" w:hAnsi="Aptos"/>
          <w:noProof/>
          <w:szCs w:val="24"/>
        </w:rPr>
        <w:t>4</w:t>
      </w:r>
      <w:r w:rsidRPr="00DB5E03">
        <w:rPr>
          <w:rFonts w:ascii="Aptos" w:hAnsi="Aptos"/>
          <w:szCs w:val="24"/>
        </w:rPr>
        <w:fldChar w:fldCharType="end"/>
      </w:r>
      <w:bookmarkEnd w:id="29"/>
      <w:r w:rsidRPr="00DB5E03">
        <w:rPr>
          <w:rFonts w:ascii="Aptos" w:hAnsi="Aptos"/>
          <w:szCs w:val="24"/>
        </w:rPr>
        <w:t xml:space="preserve">: Equity group domestic undergraduate enrolment shares </w:t>
      </w:r>
    </w:p>
    <w:tbl>
      <w:tblPr>
        <w:tblStyle w:val="TableGrid"/>
        <w:tblW w:w="0" w:type="auto"/>
        <w:tblLook w:val="04A0" w:firstRow="1" w:lastRow="0" w:firstColumn="1" w:lastColumn="0" w:noHBand="0" w:noVBand="1"/>
      </w:tblPr>
      <w:tblGrid>
        <w:gridCol w:w="2631"/>
        <w:gridCol w:w="1024"/>
        <w:gridCol w:w="1314"/>
        <w:gridCol w:w="1080"/>
        <w:gridCol w:w="2735"/>
      </w:tblGrid>
      <w:tr w:rsidR="00DD6685" w:rsidRPr="00DB5E03" w14:paraId="599CE60C" w14:textId="73E630E3" w:rsidTr="00AB12EE">
        <w:tc>
          <w:tcPr>
            <w:tcW w:w="0" w:type="auto"/>
          </w:tcPr>
          <w:p w14:paraId="1E64FEB5" w14:textId="77777777" w:rsidR="00DD6685" w:rsidRPr="00DB5E03" w:rsidRDefault="00DD6685" w:rsidP="003E00EC">
            <w:pPr>
              <w:pStyle w:val="NormalWeb"/>
              <w:rPr>
                <w:rFonts w:ascii="Aptos" w:hAnsi="Aptos"/>
              </w:rPr>
            </w:pPr>
          </w:p>
        </w:tc>
        <w:tc>
          <w:tcPr>
            <w:tcW w:w="0" w:type="auto"/>
          </w:tcPr>
          <w:p w14:paraId="238C26A5" w14:textId="231CB8DA" w:rsidR="00DD6685" w:rsidRPr="00DB5E03" w:rsidRDefault="00DD6685" w:rsidP="003E00EC">
            <w:pPr>
              <w:pStyle w:val="NormalWeb"/>
              <w:rPr>
                <w:rFonts w:ascii="Aptos" w:hAnsi="Aptos"/>
                <w:b/>
                <w:bCs/>
              </w:rPr>
            </w:pPr>
            <w:r w:rsidRPr="00DB5E03">
              <w:rPr>
                <w:rFonts w:ascii="Aptos" w:hAnsi="Aptos"/>
                <w:b/>
                <w:bCs/>
              </w:rPr>
              <w:t>Low SES</w:t>
            </w:r>
          </w:p>
        </w:tc>
        <w:tc>
          <w:tcPr>
            <w:tcW w:w="0" w:type="auto"/>
          </w:tcPr>
          <w:p w14:paraId="52B346F5" w14:textId="7D7B68B5" w:rsidR="00DD6685" w:rsidRPr="00DB5E03" w:rsidRDefault="00DD6685" w:rsidP="003E00EC">
            <w:pPr>
              <w:pStyle w:val="NormalWeb"/>
              <w:rPr>
                <w:rFonts w:ascii="Aptos" w:hAnsi="Aptos"/>
                <w:b/>
                <w:bCs/>
              </w:rPr>
            </w:pPr>
            <w:r w:rsidRPr="00DB5E03">
              <w:rPr>
                <w:rFonts w:ascii="Aptos" w:hAnsi="Aptos"/>
                <w:b/>
                <w:bCs/>
              </w:rPr>
              <w:t>Indigenous</w:t>
            </w:r>
          </w:p>
        </w:tc>
        <w:tc>
          <w:tcPr>
            <w:tcW w:w="0" w:type="auto"/>
          </w:tcPr>
          <w:p w14:paraId="42B5F5A0" w14:textId="54075070" w:rsidR="00DD6685" w:rsidRPr="00DB5E03" w:rsidRDefault="00DD6685" w:rsidP="003E00EC">
            <w:pPr>
              <w:pStyle w:val="NormalWeb"/>
              <w:rPr>
                <w:rFonts w:ascii="Aptos" w:hAnsi="Aptos"/>
                <w:b/>
                <w:bCs/>
              </w:rPr>
            </w:pPr>
            <w:r w:rsidRPr="00DB5E03">
              <w:rPr>
                <w:rFonts w:ascii="Aptos" w:hAnsi="Aptos"/>
                <w:b/>
                <w:bCs/>
              </w:rPr>
              <w:t xml:space="preserve">Regional </w:t>
            </w:r>
          </w:p>
        </w:tc>
        <w:tc>
          <w:tcPr>
            <w:tcW w:w="0" w:type="auto"/>
          </w:tcPr>
          <w:p w14:paraId="60EE630F" w14:textId="5225118E" w:rsidR="00DD6685" w:rsidRPr="00DB5E03" w:rsidRDefault="00DD6685" w:rsidP="003E00EC">
            <w:pPr>
              <w:pStyle w:val="NormalWeb"/>
              <w:rPr>
                <w:rFonts w:ascii="Aptos" w:hAnsi="Aptos"/>
                <w:b/>
                <w:bCs/>
              </w:rPr>
            </w:pPr>
            <w:r w:rsidRPr="00DB5E03">
              <w:rPr>
                <w:rFonts w:ascii="Aptos" w:hAnsi="Aptos"/>
                <w:b/>
                <w:bCs/>
              </w:rPr>
              <w:t>Students with a disability</w:t>
            </w:r>
          </w:p>
        </w:tc>
      </w:tr>
      <w:tr w:rsidR="00DD6685" w:rsidRPr="00DB5E03" w14:paraId="602E823B" w14:textId="345B1430" w:rsidTr="00AB12EE">
        <w:tc>
          <w:tcPr>
            <w:tcW w:w="0" w:type="auto"/>
          </w:tcPr>
          <w:p w14:paraId="73323BEA" w14:textId="6A358D84" w:rsidR="00DD6685" w:rsidRPr="00DB5E03" w:rsidRDefault="00DD6685" w:rsidP="003E00EC">
            <w:pPr>
              <w:pStyle w:val="NormalWeb"/>
              <w:rPr>
                <w:rFonts w:ascii="Aptos" w:hAnsi="Aptos"/>
              </w:rPr>
            </w:pPr>
            <w:r w:rsidRPr="00DB5E03">
              <w:rPr>
                <w:rFonts w:ascii="Aptos" w:hAnsi="Aptos"/>
              </w:rPr>
              <w:t>Non-university providers</w:t>
            </w:r>
          </w:p>
        </w:tc>
        <w:tc>
          <w:tcPr>
            <w:tcW w:w="0" w:type="auto"/>
          </w:tcPr>
          <w:p w14:paraId="69316CE0" w14:textId="2B2E59CB" w:rsidR="00DD6685" w:rsidRPr="00DB5E03" w:rsidRDefault="00DD6685" w:rsidP="00DD6685">
            <w:pPr>
              <w:pStyle w:val="NormalWeb"/>
              <w:jc w:val="right"/>
              <w:rPr>
                <w:rFonts w:ascii="Aptos" w:hAnsi="Aptos"/>
              </w:rPr>
            </w:pPr>
            <w:r w:rsidRPr="00DB5E03">
              <w:rPr>
                <w:rFonts w:ascii="Aptos" w:hAnsi="Aptos"/>
              </w:rPr>
              <w:t>18.2%</w:t>
            </w:r>
          </w:p>
        </w:tc>
        <w:tc>
          <w:tcPr>
            <w:tcW w:w="0" w:type="auto"/>
          </w:tcPr>
          <w:p w14:paraId="282ACABB" w14:textId="7B47EEFB" w:rsidR="00DD6685" w:rsidRPr="00DB5E03" w:rsidRDefault="00DD6685" w:rsidP="002342B7">
            <w:pPr>
              <w:pStyle w:val="NormalWeb"/>
              <w:jc w:val="center"/>
              <w:rPr>
                <w:rFonts w:ascii="Aptos" w:hAnsi="Aptos"/>
              </w:rPr>
            </w:pPr>
            <w:r w:rsidRPr="00DB5E03">
              <w:rPr>
                <w:rFonts w:ascii="Aptos" w:hAnsi="Aptos"/>
              </w:rPr>
              <w:t>2.7%</w:t>
            </w:r>
          </w:p>
        </w:tc>
        <w:tc>
          <w:tcPr>
            <w:tcW w:w="0" w:type="auto"/>
          </w:tcPr>
          <w:p w14:paraId="0CB03D5B" w14:textId="1F03C8DC" w:rsidR="00DD6685" w:rsidRPr="00DB5E03" w:rsidRDefault="00DD6685" w:rsidP="002342B7">
            <w:pPr>
              <w:pStyle w:val="NormalWeb"/>
              <w:jc w:val="center"/>
              <w:rPr>
                <w:rFonts w:ascii="Aptos" w:hAnsi="Aptos"/>
              </w:rPr>
            </w:pPr>
            <w:r w:rsidRPr="00DB5E03">
              <w:rPr>
                <w:rFonts w:ascii="Aptos" w:hAnsi="Aptos"/>
              </w:rPr>
              <w:t>15.7%</w:t>
            </w:r>
          </w:p>
        </w:tc>
        <w:tc>
          <w:tcPr>
            <w:tcW w:w="0" w:type="auto"/>
          </w:tcPr>
          <w:p w14:paraId="252231D5" w14:textId="6416C478" w:rsidR="00DD6685" w:rsidRPr="00DB5E03" w:rsidRDefault="00DD6685" w:rsidP="002342B7">
            <w:pPr>
              <w:pStyle w:val="NormalWeb"/>
              <w:jc w:val="center"/>
              <w:rPr>
                <w:rFonts w:ascii="Aptos" w:hAnsi="Aptos"/>
              </w:rPr>
            </w:pPr>
            <w:r w:rsidRPr="00DB5E03">
              <w:rPr>
                <w:rFonts w:ascii="Aptos" w:hAnsi="Aptos"/>
              </w:rPr>
              <w:t>12.4%</w:t>
            </w:r>
          </w:p>
        </w:tc>
      </w:tr>
      <w:tr w:rsidR="00DD6685" w:rsidRPr="00DB5E03" w14:paraId="22D6755C" w14:textId="2BDE7B4B" w:rsidTr="00AB12EE">
        <w:tc>
          <w:tcPr>
            <w:tcW w:w="0" w:type="auto"/>
          </w:tcPr>
          <w:p w14:paraId="7346F7C8" w14:textId="293AC140" w:rsidR="00DD6685" w:rsidRPr="00DB5E03" w:rsidRDefault="00DD6685" w:rsidP="003E00EC">
            <w:pPr>
              <w:pStyle w:val="NormalWeb"/>
              <w:rPr>
                <w:rFonts w:ascii="Aptos" w:hAnsi="Aptos"/>
              </w:rPr>
            </w:pPr>
            <w:r w:rsidRPr="00DB5E03">
              <w:rPr>
                <w:rFonts w:ascii="Aptos" w:hAnsi="Aptos"/>
              </w:rPr>
              <w:t xml:space="preserve">Table A universities </w:t>
            </w:r>
          </w:p>
        </w:tc>
        <w:tc>
          <w:tcPr>
            <w:tcW w:w="0" w:type="auto"/>
          </w:tcPr>
          <w:p w14:paraId="049CB882" w14:textId="292700D2" w:rsidR="00DD6685" w:rsidRPr="00DB5E03" w:rsidRDefault="00DD6685" w:rsidP="00DD6685">
            <w:pPr>
              <w:pStyle w:val="NormalWeb"/>
              <w:jc w:val="right"/>
              <w:rPr>
                <w:rFonts w:ascii="Aptos" w:hAnsi="Aptos"/>
              </w:rPr>
            </w:pPr>
            <w:r w:rsidRPr="00DB5E03">
              <w:rPr>
                <w:rFonts w:ascii="Aptos" w:hAnsi="Aptos"/>
              </w:rPr>
              <w:t>16.5%</w:t>
            </w:r>
          </w:p>
        </w:tc>
        <w:tc>
          <w:tcPr>
            <w:tcW w:w="0" w:type="auto"/>
          </w:tcPr>
          <w:p w14:paraId="0B5F08A7" w14:textId="77235EF1" w:rsidR="00DD6685" w:rsidRPr="00DB5E03" w:rsidRDefault="00DD6685" w:rsidP="002342B7">
            <w:pPr>
              <w:pStyle w:val="NormalWeb"/>
              <w:jc w:val="center"/>
              <w:rPr>
                <w:rFonts w:ascii="Aptos" w:hAnsi="Aptos"/>
              </w:rPr>
            </w:pPr>
            <w:r w:rsidRPr="00DB5E03">
              <w:rPr>
                <w:rFonts w:ascii="Aptos" w:hAnsi="Aptos"/>
              </w:rPr>
              <w:t>2.2%</w:t>
            </w:r>
          </w:p>
        </w:tc>
        <w:tc>
          <w:tcPr>
            <w:tcW w:w="0" w:type="auto"/>
          </w:tcPr>
          <w:p w14:paraId="57DBB5B3" w14:textId="7F78AE66" w:rsidR="00DD6685" w:rsidRPr="00DB5E03" w:rsidRDefault="00DD6685" w:rsidP="002342B7">
            <w:pPr>
              <w:pStyle w:val="NormalWeb"/>
              <w:jc w:val="center"/>
              <w:rPr>
                <w:rFonts w:ascii="Aptos" w:hAnsi="Aptos"/>
              </w:rPr>
            </w:pPr>
            <w:r w:rsidRPr="00DB5E03">
              <w:rPr>
                <w:rFonts w:ascii="Aptos" w:hAnsi="Aptos"/>
              </w:rPr>
              <w:t>17.1%</w:t>
            </w:r>
          </w:p>
        </w:tc>
        <w:tc>
          <w:tcPr>
            <w:tcW w:w="0" w:type="auto"/>
          </w:tcPr>
          <w:p w14:paraId="112CA798" w14:textId="135329B9" w:rsidR="00DD6685" w:rsidRPr="00DB5E03" w:rsidRDefault="00DD6685" w:rsidP="002342B7">
            <w:pPr>
              <w:pStyle w:val="NormalWeb"/>
              <w:jc w:val="center"/>
              <w:rPr>
                <w:rFonts w:ascii="Aptos" w:hAnsi="Aptos"/>
              </w:rPr>
            </w:pPr>
            <w:r w:rsidRPr="00DB5E03">
              <w:rPr>
                <w:rFonts w:ascii="Aptos" w:hAnsi="Aptos"/>
              </w:rPr>
              <w:t>13.5%</w:t>
            </w:r>
          </w:p>
        </w:tc>
      </w:tr>
    </w:tbl>
    <w:p w14:paraId="58843739" w14:textId="7914C528" w:rsidR="00F51597" w:rsidRPr="00CF71A8" w:rsidRDefault="00DD6685" w:rsidP="003E00EC">
      <w:pPr>
        <w:pStyle w:val="NormalWeb"/>
        <w:rPr>
          <w:rFonts w:ascii="Aptos" w:hAnsi="Aptos"/>
          <w:sz w:val="22"/>
          <w:szCs w:val="22"/>
        </w:rPr>
      </w:pPr>
      <w:r w:rsidRPr="00DB5E03">
        <w:rPr>
          <w:rFonts w:ascii="Aptos" w:hAnsi="Aptos"/>
        </w:rPr>
        <w:t xml:space="preserve"> </w:t>
      </w:r>
      <w:r w:rsidRPr="00CF71A8">
        <w:rPr>
          <w:rFonts w:ascii="Aptos" w:hAnsi="Aptos"/>
          <w:sz w:val="22"/>
          <w:szCs w:val="22"/>
        </w:rPr>
        <w:t>Source: Department of Education, Selected higher education statistics – 2024, table 11.8</w:t>
      </w:r>
    </w:p>
    <w:p w14:paraId="51AC437E" w14:textId="7E108310" w:rsidR="00DD6685" w:rsidRPr="00DB5E03" w:rsidRDefault="002F3CE0" w:rsidP="002F3CE0">
      <w:pPr>
        <w:pStyle w:val="Heading2"/>
        <w:rPr>
          <w:rFonts w:ascii="Aptos" w:hAnsi="Aptos"/>
          <w:sz w:val="28"/>
          <w:szCs w:val="28"/>
        </w:rPr>
      </w:pPr>
      <w:bookmarkStart w:id="30" w:name="_Toc213838220"/>
      <w:r w:rsidRPr="00DB5E03">
        <w:rPr>
          <w:rFonts w:ascii="Aptos" w:hAnsi="Aptos"/>
          <w:sz w:val="28"/>
          <w:szCs w:val="28"/>
        </w:rPr>
        <w:t>Recommendation</w:t>
      </w:r>
      <w:bookmarkEnd w:id="30"/>
    </w:p>
    <w:p w14:paraId="2D2D0991" w14:textId="2E25C7DC" w:rsidR="002342B7" w:rsidRPr="00DB5E03" w:rsidRDefault="002F3CE0" w:rsidP="003E00EC">
      <w:pPr>
        <w:pStyle w:val="NormalWeb"/>
        <w:rPr>
          <w:rFonts w:ascii="Aptos" w:hAnsi="Aptos"/>
        </w:rPr>
      </w:pPr>
      <w:r w:rsidRPr="00DB5E03">
        <w:rPr>
          <w:rFonts w:ascii="Aptos" w:hAnsi="Aptos"/>
        </w:rPr>
        <w:t xml:space="preserve">The government has not established that </w:t>
      </w:r>
      <w:r w:rsidR="00912301" w:rsidRPr="00DB5E03">
        <w:rPr>
          <w:rFonts w:ascii="Aptos" w:hAnsi="Aptos"/>
        </w:rPr>
        <w:t xml:space="preserve">new higher education providers entering the international education market pose such a </w:t>
      </w:r>
      <w:r w:rsidR="000950D8">
        <w:rPr>
          <w:rFonts w:ascii="Aptos" w:hAnsi="Aptos"/>
        </w:rPr>
        <w:t xml:space="preserve">regulatory </w:t>
      </w:r>
      <w:r w:rsidR="00912301" w:rsidRPr="00DB5E03">
        <w:rPr>
          <w:rFonts w:ascii="Aptos" w:hAnsi="Aptos"/>
        </w:rPr>
        <w:t xml:space="preserve">risk as to justify a de facto ban. Proposed </w:t>
      </w:r>
      <w:r w:rsidR="00912301" w:rsidRPr="00DB5E03">
        <w:rPr>
          <w:rFonts w:ascii="Aptos" w:hAnsi="Aptos"/>
          <w:i/>
          <w:iCs/>
        </w:rPr>
        <w:t>ESOS Act 2000</w:t>
      </w:r>
      <w:r w:rsidR="00912301" w:rsidRPr="00DB5E03">
        <w:rPr>
          <w:rFonts w:ascii="Aptos" w:hAnsi="Aptos"/>
        </w:rPr>
        <w:t xml:space="preserve"> section 11(2) should be removed from the amending bill. </w:t>
      </w:r>
    </w:p>
    <w:p w14:paraId="1448B14B" w14:textId="163E3274" w:rsidR="004E220E" w:rsidRPr="00DB5E03" w:rsidRDefault="004E220E" w:rsidP="00944D95">
      <w:pPr>
        <w:rPr>
          <w:rFonts w:ascii="Aptos" w:hAnsi="Aptos"/>
          <w:szCs w:val="24"/>
        </w:rPr>
      </w:pPr>
      <w:r w:rsidRPr="00DB5E03">
        <w:rPr>
          <w:rFonts w:ascii="Aptos" w:hAnsi="Aptos"/>
          <w:szCs w:val="24"/>
        </w:rPr>
        <w:br w:type="page"/>
      </w:r>
    </w:p>
    <w:p w14:paraId="1F0AB788" w14:textId="3BA300C3" w:rsidR="00912301" w:rsidRPr="00DB5E03" w:rsidRDefault="00912301" w:rsidP="00DB5E03">
      <w:pPr>
        <w:pStyle w:val="Heading1"/>
        <w:numPr>
          <w:ilvl w:val="0"/>
          <w:numId w:val="7"/>
        </w:numPr>
        <w:ind w:left="357" w:hanging="357"/>
        <w:rPr>
          <w:rFonts w:ascii="Aptos" w:hAnsi="Aptos" w:cstheme="minorHAnsi"/>
          <w:sz w:val="32"/>
          <w:szCs w:val="32"/>
        </w:rPr>
      </w:pPr>
      <w:bookmarkStart w:id="31" w:name="_Toc213838221"/>
      <w:r w:rsidRPr="00DB5E03">
        <w:rPr>
          <w:rFonts w:ascii="Aptos" w:hAnsi="Aptos" w:cstheme="minorHAnsi"/>
          <w:color w:val="4F81BD" w:themeColor="accent1"/>
          <w:sz w:val="32"/>
          <w:szCs w:val="32"/>
        </w:rPr>
        <w:lastRenderedPageBreak/>
        <w:t>Demand driven funding for Indigenous students in medicine</w:t>
      </w:r>
      <w:bookmarkEnd w:id="31"/>
    </w:p>
    <w:p w14:paraId="1982A2D0" w14:textId="77777777" w:rsidR="00D44BC6" w:rsidRDefault="00D44BC6" w:rsidP="00944D95">
      <w:pPr>
        <w:rPr>
          <w:rFonts w:ascii="Aptos" w:hAnsi="Aptos"/>
          <w:szCs w:val="24"/>
        </w:rPr>
      </w:pPr>
    </w:p>
    <w:p w14:paraId="1A14FA2D" w14:textId="5DEAF33F" w:rsidR="006D4622" w:rsidRPr="00DB5E03" w:rsidRDefault="00912301" w:rsidP="00944D95">
      <w:pPr>
        <w:rPr>
          <w:rFonts w:ascii="Aptos" w:hAnsi="Aptos"/>
          <w:szCs w:val="24"/>
        </w:rPr>
      </w:pPr>
      <w:r w:rsidRPr="00DB5E03">
        <w:rPr>
          <w:rFonts w:ascii="Aptos" w:hAnsi="Aptos"/>
          <w:szCs w:val="24"/>
        </w:rPr>
        <w:t xml:space="preserve">The </w:t>
      </w:r>
      <w:r w:rsidR="003E7ADF" w:rsidRPr="00DB5E03">
        <w:rPr>
          <w:rFonts w:ascii="Aptos" w:hAnsi="Aptos"/>
          <w:i/>
          <w:iCs/>
          <w:szCs w:val="24"/>
        </w:rPr>
        <w:t>Education Legislation Amendment (Integrity and Other Measures) Bill 2025</w:t>
      </w:r>
      <w:r w:rsidR="003E7ADF" w:rsidRPr="00DB5E03">
        <w:rPr>
          <w:rFonts w:ascii="Aptos" w:hAnsi="Aptos"/>
          <w:szCs w:val="24"/>
        </w:rPr>
        <w:t xml:space="preserve"> </w:t>
      </w:r>
      <w:r w:rsidR="00BE1A55">
        <w:rPr>
          <w:rFonts w:ascii="Aptos" w:hAnsi="Aptos"/>
          <w:szCs w:val="24"/>
        </w:rPr>
        <w:t>would</w:t>
      </w:r>
      <w:r w:rsidRPr="00DB5E03">
        <w:rPr>
          <w:rFonts w:ascii="Aptos" w:hAnsi="Aptos"/>
          <w:szCs w:val="24"/>
        </w:rPr>
        <w:t xml:space="preserve"> make medical student funding </w:t>
      </w:r>
      <w:r w:rsidR="00BE1A55">
        <w:rPr>
          <w:rFonts w:ascii="Aptos" w:hAnsi="Aptos"/>
          <w:szCs w:val="24"/>
        </w:rPr>
        <w:t xml:space="preserve">demand driven </w:t>
      </w:r>
      <w:r w:rsidRPr="00DB5E03">
        <w:rPr>
          <w:rFonts w:ascii="Aptos" w:hAnsi="Aptos"/>
          <w:szCs w:val="24"/>
        </w:rPr>
        <w:t>for Indigenous students.</w:t>
      </w:r>
      <w:r w:rsidR="00BE1A55">
        <w:rPr>
          <w:rFonts w:ascii="Aptos" w:hAnsi="Aptos"/>
          <w:szCs w:val="24"/>
        </w:rPr>
        <w:t xml:space="preserve"> The goal of more Indigenous medical students and medical practitioners is sensible.</w:t>
      </w:r>
      <w:r w:rsidRPr="00DB5E03">
        <w:rPr>
          <w:rFonts w:ascii="Aptos" w:hAnsi="Aptos"/>
          <w:szCs w:val="24"/>
        </w:rPr>
        <w:t xml:space="preserve"> </w:t>
      </w:r>
      <w:r w:rsidR="006D4622" w:rsidRPr="00DB5E03">
        <w:rPr>
          <w:rFonts w:ascii="Aptos" w:hAnsi="Aptos"/>
          <w:szCs w:val="24"/>
        </w:rPr>
        <w:t xml:space="preserve">However, there is </w:t>
      </w:r>
      <w:r w:rsidR="003E7ADF" w:rsidRPr="00DB5E03">
        <w:rPr>
          <w:rFonts w:ascii="Aptos" w:hAnsi="Aptos"/>
          <w:szCs w:val="24"/>
        </w:rPr>
        <w:t>insufficient</w:t>
      </w:r>
      <w:r w:rsidR="006D4622" w:rsidRPr="00DB5E03">
        <w:rPr>
          <w:rFonts w:ascii="Aptos" w:hAnsi="Aptos"/>
          <w:szCs w:val="24"/>
        </w:rPr>
        <w:t xml:space="preserve"> public evidence that the government has thought through the implementation issues</w:t>
      </w:r>
      <w:r w:rsidR="005A1B84" w:rsidRPr="00DB5E03">
        <w:rPr>
          <w:rFonts w:ascii="Aptos" w:hAnsi="Aptos"/>
          <w:szCs w:val="24"/>
        </w:rPr>
        <w:t>.</w:t>
      </w:r>
      <w:r w:rsidR="00CF71A8">
        <w:rPr>
          <w:rFonts w:ascii="Aptos" w:hAnsi="Aptos"/>
          <w:szCs w:val="24"/>
        </w:rPr>
        <w:t xml:space="preserve"> If this amendment goes ahead, the government needs to ensure that medical student completion caps are adjusted, that the medical student loading is extended to all Commonwealth supported medical students, and that it will avoid accidentally reducing the number of non-Indigenous medical students. </w:t>
      </w:r>
    </w:p>
    <w:p w14:paraId="7555ADC6" w14:textId="72F888A7" w:rsidR="005A1B84" w:rsidRPr="00DB5E03" w:rsidRDefault="005A1B84" w:rsidP="00944D95">
      <w:pPr>
        <w:rPr>
          <w:rFonts w:ascii="Aptos" w:hAnsi="Aptos"/>
          <w:szCs w:val="24"/>
        </w:rPr>
      </w:pPr>
    </w:p>
    <w:p w14:paraId="439F5518" w14:textId="03BF76A4" w:rsidR="005A1B84" w:rsidRPr="00DB5E03" w:rsidRDefault="005A1B84" w:rsidP="005A1B84">
      <w:pPr>
        <w:pStyle w:val="Heading2"/>
        <w:rPr>
          <w:rFonts w:ascii="Aptos" w:hAnsi="Aptos"/>
          <w:sz w:val="28"/>
          <w:szCs w:val="28"/>
        </w:rPr>
      </w:pPr>
      <w:bookmarkStart w:id="32" w:name="_Toc213838222"/>
      <w:r w:rsidRPr="00DB5E03">
        <w:rPr>
          <w:rFonts w:ascii="Aptos" w:hAnsi="Aptos"/>
          <w:sz w:val="28"/>
          <w:szCs w:val="28"/>
        </w:rPr>
        <w:t xml:space="preserve">Current Indigenous medical </w:t>
      </w:r>
      <w:r w:rsidR="000E6CBD" w:rsidRPr="00DB5E03">
        <w:rPr>
          <w:rFonts w:ascii="Aptos" w:hAnsi="Aptos"/>
          <w:sz w:val="28"/>
          <w:szCs w:val="28"/>
        </w:rPr>
        <w:t>practi</w:t>
      </w:r>
      <w:r w:rsidR="000D206C" w:rsidRPr="00DB5E03">
        <w:rPr>
          <w:rFonts w:ascii="Aptos" w:hAnsi="Aptos"/>
          <w:sz w:val="28"/>
          <w:szCs w:val="28"/>
        </w:rPr>
        <w:t>tioners</w:t>
      </w:r>
      <w:r w:rsidR="000E6CBD" w:rsidRPr="00DB5E03">
        <w:rPr>
          <w:rFonts w:ascii="Aptos" w:hAnsi="Aptos"/>
          <w:sz w:val="28"/>
          <w:szCs w:val="28"/>
        </w:rPr>
        <w:t xml:space="preserve"> and medical </w:t>
      </w:r>
      <w:r w:rsidRPr="00DB5E03">
        <w:rPr>
          <w:rFonts w:ascii="Aptos" w:hAnsi="Aptos"/>
          <w:sz w:val="28"/>
          <w:szCs w:val="28"/>
        </w:rPr>
        <w:t>enrolments</w:t>
      </w:r>
      <w:bookmarkEnd w:id="32"/>
      <w:r w:rsidRPr="00DB5E03">
        <w:rPr>
          <w:rFonts w:ascii="Aptos" w:hAnsi="Aptos"/>
          <w:sz w:val="28"/>
          <w:szCs w:val="28"/>
        </w:rPr>
        <w:t xml:space="preserve"> </w:t>
      </w:r>
    </w:p>
    <w:p w14:paraId="7E83F4A4" w14:textId="274D2533" w:rsidR="006504BA" w:rsidRPr="00DB5E03" w:rsidRDefault="006504BA" w:rsidP="006504BA">
      <w:pPr>
        <w:rPr>
          <w:rFonts w:ascii="Aptos" w:hAnsi="Aptos"/>
          <w:szCs w:val="24"/>
        </w:rPr>
      </w:pPr>
    </w:p>
    <w:p w14:paraId="5598E57A" w14:textId="53FB6161" w:rsidR="006504BA" w:rsidRPr="00DB5E03" w:rsidRDefault="003E7ADF" w:rsidP="006504BA">
      <w:pPr>
        <w:rPr>
          <w:rFonts w:ascii="Aptos" w:hAnsi="Aptos"/>
          <w:szCs w:val="24"/>
        </w:rPr>
      </w:pPr>
      <w:r w:rsidRPr="00DB5E03">
        <w:rPr>
          <w:rFonts w:ascii="Aptos" w:hAnsi="Aptos"/>
          <w:szCs w:val="24"/>
        </w:rPr>
        <w:t>The bill’s explanatory memorandum</w:t>
      </w:r>
      <w:r w:rsidR="00306D95" w:rsidRPr="00DB5E03">
        <w:rPr>
          <w:rFonts w:ascii="Aptos" w:hAnsi="Aptos"/>
          <w:szCs w:val="24"/>
        </w:rPr>
        <w:t>,</w:t>
      </w:r>
      <w:r w:rsidRPr="00DB5E03">
        <w:rPr>
          <w:rFonts w:ascii="Aptos" w:hAnsi="Aptos"/>
          <w:szCs w:val="24"/>
        </w:rPr>
        <w:t xml:space="preserve"> and several parliamentary speeches in support of the bill</w:t>
      </w:r>
      <w:r w:rsidR="00306D95" w:rsidRPr="00DB5E03">
        <w:rPr>
          <w:rFonts w:ascii="Aptos" w:hAnsi="Aptos"/>
          <w:szCs w:val="24"/>
        </w:rPr>
        <w:t>,</w:t>
      </w:r>
      <w:r w:rsidRPr="00DB5E03">
        <w:rPr>
          <w:rFonts w:ascii="Aptos" w:hAnsi="Aptos"/>
          <w:szCs w:val="24"/>
        </w:rPr>
        <w:t xml:space="preserve"> argue that Indigenous people make up only 0.6% of the medical practitioner workforce despite being 3.8% of the overall Australian population. While the 0.6% </w:t>
      </w:r>
      <w:r w:rsidR="004E1654" w:rsidRPr="00DB5E03">
        <w:rPr>
          <w:rFonts w:ascii="Aptos" w:hAnsi="Aptos"/>
          <w:szCs w:val="24"/>
        </w:rPr>
        <w:t xml:space="preserve">figure </w:t>
      </w:r>
      <w:r w:rsidRPr="00DB5E03">
        <w:rPr>
          <w:rFonts w:ascii="Aptos" w:hAnsi="Aptos"/>
          <w:szCs w:val="24"/>
        </w:rPr>
        <w:t xml:space="preserve">is correct in itself, </w:t>
      </w:r>
      <w:r w:rsidR="004E1654" w:rsidRPr="00DB5E03">
        <w:rPr>
          <w:rFonts w:ascii="Aptos" w:hAnsi="Aptos"/>
          <w:szCs w:val="24"/>
        </w:rPr>
        <w:t xml:space="preserve">it </w:t>
      </w:r>
      <w:r w:rsidR="00CF71A8">
        <w:rPr>
          <w:rFonts w:ascii="Aptos" w:hAnsi="Aptos"/>
          <w:szCs w:val="24"/>
        </w:rPr>
        <w:t>does not</w:t>
      </w:r>
      <w:r w:rsidR="004E1654" w:rsidRPr="00DB5E03">
        <w:rPr>
          <w:rFonts w:ascii="Aptos" w:hAnsi="Aptos"/>
          <w:szCs w:val="24"/>
        </w:rPr>
        <w:t xml:space="preserve"> </w:t>
      </w:r>
      <w:r w:rsidR="00CF71A8">
        <w:rPr>
          <w:rFonts w:ascii="Aptos" w:hAnsi="Aptos"/>
          <w:szCs w:val="24"/>
        </w:rPr>
        <w:t>accurately reflect</w:t>
      </w:r>
      <w:r w:rsidR="004E1654" w:rsidRPr="00DB5E03">
        <w:rPr>
          <w:rFonts w:ascii="Aptos" w:hAnsi="Aptos"/>
          <w:szCs w:val="24"/>
        </w:rPr>
        <w:t xml:space="preserve"> the Australian university system</w:t>
      </w:r>
      <w:r w:rsidR="00CF71A8">
        <w:rPr>
          <w:rFonts w:ascii="Aptos" w:hAnsi="Aptos"/>
          <w:szCs w:val="24"/>
        </w:rPr>
        <w:t>’s performance</w:t>
      </w:r>
      <w:r w:rsidR="000F78E5" w:rsidRPr="00DB5E03">
        <w:rPr>
          <w:rFonts w:ascii="Aptos" w:hAnsi="Aptos"/>
          <w:szCs w:val="24"/>
        </w:rPr>
        <w:t xml:space="preserve"> in recent years</w:t>
      </w:r>
      <w:r w:rsidR="004E1654" w:rsidRPr="00DB5E03">
        <w:rPr>
          <w:rFonts w:ascii="Aptos" w:hAnsi="Aptos"/>
          <w:szCs w:val="24"/>
        </w:rPr>
        <w:t>. Foreign-trained doctors</w:t>
      </w:r>
      <w:r w:rsidR="000F78E5" w:rsidRPr="00DB5E03">
        <w:rPr>
          <w:rFonts w:ascii="Aptos" w:hAnsi="Aptos"/>
          <w:szCs w:val="24"/>
        </w:rPr>
        <w:t xml:space="preserve"> affect the overall percentage. If just the Australian qualified are included the Indigenous share is 1%, and 1.2% of early career doctors aged 34 years or less (</w:t>
      </w:r>
      <w:r w:rsidR="000F78E5" w:rsidRPr="00DB5E03">
        <w:rPr>
          <w:rFonts w:ascii="Aptos" w:hAnsi="Aptos"/>
          <w:szCs w:val="24"/>
        </w:rPr>
        <w:fldChar w:fldCharType="begin"/>
      </w:r>
      <w:r w:rsidR="000F78E5" w:rsidRPr="00DB5E03">
        <w:rPr>
          <w:rFonts w:ascii="Aptos" w:hAnsi="Aptos"/>
          <w:szCs w:val="24"/>
        </w:rPr>
        <w:instrText xml:space="preserve"> REF _Ref213673507 \h </w:instrText>
      </w:r>
      <w:r w:rsidR="00DB5E03" w:rsidRPr="00DB5E03">
        <w:rPr>
          <w:rFonts w:ascii="Aptos" w:hAnsi="Aptos"/>
          <w:szCs w:val="24"/>
        </w:rPr>
        <w:instrText xml:space="preserve"> \* MERGEFORMAT </w:instrText>
      </w:r>
      <w:r w:rsidR="000F78E5" w:rsidRPr="00DB5E03">
        <w:rPr>
          <w:rFonts w:ascii="Aptos" w:hAnsi="Aptos"/>
          <w:szCs w:val="24"/>
        </w:rPr>
      </w:r>
      <w:r w:rsidR="000F78E5" w:rsidRPr="00DB5E03">
        <w:rPr>
          <w:rFonts w:ascii="Aptos" w:hAnsi="Aptos"/>
          <w:szCs w:val="24"/>
        </w:rPr>
        <w:fldChar w:fldCharType="separate"/>
      </w:r>
      <w:r w:rsidR="005A2C95" w:rsidRPr="00DB5E03">
        <w:rPr>
          <w:rFonts w:ascii="Aptos" w:hAnsi="Aptos"/>
          <w:szCs w:val="24"/>
        </w:rPr>
        <w:t xml:space="preserve">Figure </w:t>
      </w:r>
      <w:r w:rsidR="005A2C95">
        <w:rPr>
          <w:rFonts w:ascii="Aptos" w:hAnsi="Aptos"/>
          <w:noProof/>
          <w:szCs w:val="24"/>
        </w:rPr>
        <w:t>4</w:t>
      </w:r>
      <w:r w:rsidR="000F78E5" w:rsidRPr="00DB5E03">
        <w:rPr>
          <w:rFonts w:ascii="Aptos" w:hAnsi="Aptos"/>
          <w:szCs w:val="24"/>
        </w:rPr>
        <w:fldChar w:fldCharType="end"/>
      </w:r>
      <w:r w:rsidR="000F78E5" w:rsidRPr="00DB5E03">
        <w:rPr>
          <w:rFonts w:ascii="Aptos" w:hAnsi="Aptos"/>
          <w:szCs w:val="24"/>
        </w:rPr>
        <w:t>).</w:t>
      </w:r>
    </w:p>
    <w:p w14:paraId="4302B83F" w14:textId="5A631670" w:rsidR="008253F4" w:rsidRPr="00DB5E03" w:rsidRDefault="008253F4" w:rsidP="008253F4">
      <w:pPr>
        <w:rPr>
          <w:rFonts w:ascii="Aptos" w:hAnsi="Aptos"/>
          <w:szCs w:val="24"/>
        </w:rPr>
      </w:pPr>
    </w:p>
    <w:p w14:paraId="3D503073" w14:textId="5454A8B2" w:rsidR="0077338E" w:rsidRPr="00DB5E03" w:rsidRDefault="0077338E" w:rsidP="0077338E">
      <w:pPr>
        <w:pStyle w:val="Caption"/>
        <w:keepNext/>
        <w:rPr>
          <w:rFonts w:ascii="Aptos" w:hAnsi="Aptos"/>
          <w:szCs w:val="24"/>
        </w:rPr>
      </w:pPr>
      <w:bookmarkStart w:id="33" w:name="_Ref213673507"/>
      <w:r w:rsidRPr="00DB5E03">
        <w:rPr>
          <w:rFonts w:ascii="Aptos" w:hAnsi="Aptos"/>
          <w:szCs w:val="24"/>
        </w:rPr>
        <w:t xml:space="preserve">Figure </w:t>
      </w:r>
      <w:r w:rsidRPr="00DB5E03">
        <w:rPr>
          <w:rFonts w:ascii="Aptos" w:hAnsi="Aptos"/>
          <w:szCs w:val="24"/>
        </w:rPr>
        <w:fldChar w:fldCharType="begin"/>
      </w:r>
      <w:r w:rsidRPr="00DB5E03">
        <w:rPr>
          <w:rFonts w:ascii="Aptos" w:hAnsi="Aptos"/>
          <w:szCs w:val="24"/>
        </w:rPr>
        <w:instrText xml:space="preserve"> SEQ Figure \* ARABIC </w:instrText>
      </w:r>
      <w:r w:rsidRPr="00DB5E03">
        <w:rPr>
          <w:rFonts w:ascii="Aptos" w:hAnsi="Aptos"/>
          <w:szCs w:val="24"/>
        </w:rPr>
        <w:fldChar w:fldCharType="separate"/>
      </w:r>
      <w:r w:rsidR="005A2C95">
        <w:rPr>
          <w:rFonts w:ascii="Aptos" w:hAnsi="Aptos"/>
          <w:noProof/>
          <w:szCs w:val="24"/>
        </w:rPr>
        <w:t>4</w:t>
      </w:r>
      <w:r w:rsidRPr="00DB5E03">
        <w:rPr>
          <w:rFonts w:ascii="Aptos" w:hAnsi="Aptos"/>
          <w:szCs w:val="24"/>
        </w:rPr>
        <w:fldChar w:fldCharType="end"/>
      </w:r>
      <w:bookmarkEnd w:id="33"/>
      <w:r w:rsidRPr="00DB5E03">
        <w:rPr>
          <w:rFonts w:ascii="Aptos" w:hAnsi="Aptos"/>
          <w:szCs w:val="24"/>
        </w:rPr>
        <w:t xml:space="preserve">: Indigenous medical practitioner </w:t>
      </w:r>
      <w:proofErr w:type="gramStart"/>
      <w:r w:rsidRPr="00DB5E03">
        <w:rPr>
          <w:rFonts w:ascii="Aptos" w:hAnsi="Aptos"/>
          <w:szCs w:val="24"/>
        </w:rPr>
        <w:t>share</w:t>
      </w:r>
      <w:proofErr w:type="gramEnd"/>
      <w:r w:rsidRPr="00DB5E03">
        <w:rPr>
          <w:rFonts w:ascii="Aptos" w:hAnsi="Aptos"/>
          <w:szCs w:val="24"/>
        </w:rPr>
        <w:t xml:space="preserve"> of the workforce </w:t>
      </w:r>
    </w:p>
    <w:p w14:paraId="7AE7C7AE" w14:textId="71F28BD0" w:rsidR="0077338E" w:rsidRPr="00DB5E03" w:rsidRDefault="0077338E" w:rsidP="008253F4">
      <w:pPr>
        <w:rPr>
          <w:rFonts w:ascii="Aptos" w:hAnsi="Aptos"/>
          <w:szCs w:val="24"/>
        </w:rPr>
      </w:pPr>
      <w:r w:rsidRPr="00DB5E03">
        <w:rPr>
          <w:rFonts w:ascii="Aptos" w:hAnsi="Aptos"/>
          <w:noProof/>
          <w:szCs w:val="24"/>
        </w:rPr>
        <w:drawing>
          <wp:inline distT="0" distB="0" distL="0" distR="0" wp14:anchorId="00EAA466" wp14:editId="5631A918">
            <wp:extent cx="5486400" cy="3200400"/>
            <wp:effectExtent l="0" t="0" r="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89A21C6" w14:textId="77777777" w:rsidR="0077338E" w:rsidRPr="00DB5E03" w:rsidRDefault="0077338E" w:rsidP="008253F4">
      <w:pPr>
        <w:rPr>
          <w:rFonts w:ascii="Aptos" w:hAnsi="Aptos"/>
          <w:szCs w:val="24"/>
        </w:rPr>
      </w:pPr>
    </w:p>
    <w:p w14:paraId="249F3389" w14:textId="3F694429" w:rsidR="0077338E" w:rsidRPr="00CF71A8" w:rsidRDefault="0077338E" w:rsidP="008253F4">
      <w:pPr>
        <w:rPr>
          <w:rFonts w:ascii="Aptos" w:hAnsi="Aptos"/>
          <w:sz w:val="22"/>
        </w:rPr>
      </w:pPr>
      <w:r w:rsidRPr="00CF71A8">
        <w:rPr>
          <w:rFonts w:ascii="Aptos" w:hAnsi="Aptos"/>
          <w:noProof/>
          <w:sz w:val="22"/>
        </w:rPr>
        <w:t xml:space="preserve">Source: </w:t>
      </w:r>
      <w:r w:rsidR="006504BA" w:rsidRPr="00CF71A8">
        <w:rPr>
          <w:rFonts w:ascii="Aptos" w:hAnsi="Aptos"/>
          <w:noProof/>
          <w:sz w:val="22"/>
        </w:rPr>
        <w:t xml:space="preserve">Department of Health, Health Workforce Data site </w:t>
      </w:r>
    </w:p>
    <w:p w14:paraId="6A88DAD9" w14:textId="7AA8314F" w:rsidR="005A1B84" w:rsidRPr="00DB5E03" w:rsidRDefault="005A1B84" w:rsidP="005A1B84">
      <w:pPr>
        <w:rPr>
          <w:rFonts w:ascii="Aptos" w:hAnsi="Aptos"/>
          <w:szCs w:val="24"/>
        </w:rPr>
      </w:pPr>
    </w:p>
    <w:p w14:paraId="2178ACAC" w14:textId="5BECE3DF" w:rsidR="003E7ADF" w:rsidRPr="00DB5E03" w:rsidRDefault="000F78E5" w:rsidP="005A1B84">
      <w:pPr>
        <w:rPr>
          <w:rFonts w:ascii="Aptos" w:hAnsi="Aptos"/>
          <w:szCs w:val="24"/>
        </w:rPr>
      </w:pPr>
      <w:r w:rsidRPr="00DB5E03">
        <w:rPr>
          <w:rFonts w:ascii="Aptos" w:hAnsi="Aptos"/>
          <w:szCs w:val="24"/>
        </w:rPr>
        <w:t xml:space="preserve">Indigenous medical student commencing numbers show some volatility in recent years (2022=119, 2023=147, 2024=128, 2025=138) </w:t>
      </w:r>
      <w:r w:rsidR="00CF71A8">
        <w:rPr>
          <w:rFonts w:ascii="Aptos" w:hAnsi="Aptos"/>
          <w:szCs w:val="24"/>
        </w:rPr>
        <w:t xml:space="preserve">but </w:t>
      </w:r>
      <w:r w:rsidRPr="00DB5E03">
        <w:rPr>
          <w:rFonts w:ascii="Aptos" w:hAnsi="Aptos"/>
          <w:szCs w:val="24"/>
        </w:rPr>
        <w:t xml:space="preserve">their share of the </w:t>
      </w:r>
      <w:r w:rsidR="00006B64" w:rsidRPr="00DB5E03">
        <w:rPr>
          <w:rFonts w:ascii="Aptos" w:hAnsi="Aptos"/>
          <w:szCs w:val="24"/>
        </w:rPr>
        <w:t xml:space="preserve">commencing </w:t>
      </w:r>
      <w:r w:rsidRPr="00DB5E03">
        <w:rPr>
          <w:rFonts w:ascii="Aptos" w:hAnsi="Aptos"/>
          <w:szCs w:val="24"/>
        </w:rPr>
        <w:t>domestic medical school cohort is in the vicinity of population parity (</w:t>
      </w:r>
      <w:r w:rsidRPr="00DB5E03">
        <w:rPr>
          <w:rFonts w:ascii="Aptos" w:hAnsi="Aptos"/>
          <w:szCs w:val="24"/>
        </w:rPr>
        <w:fldChar w:fldCharType="begin"/>
      </w:r>
      <w:r w:rsidRPr="00DB5E03">
        <w:rPr>
          <w:rFonts w:ascii="Aptos" w:hAnsi="Aptos"/>
          <w:szCs w:val="24"/>
        </w:rPr>
        <w:instrText xml:space="preserve"> REF _Ref213673790 \h </w:instrText>
      </w:r>
      <w:r w:rsidR="00DB5E03" w:rsidRPr="00DB5E03">
        <w:rPr>
          <w:rFonts w:ascii="Aptos" w:hAnsi="Aptos"/>
          <w:szCs w:val="24"/>
        </w:rPr>
        <w:instrText xml:space="preserve"> \* MERGEFORMAT </w:instrText>
      </w:r>
      <w:r w:rsidRPr="00DB5E03">
        <w:rPr>
          <w:rFonts w:ascii="Aptos" w:hAnsi="Aptos"/>
          <w:szCs w:val="24"/>
        </w:rPr>
      </w:r>
      <w:r w:rsidRPr="00DB5E03">
        <w:rPr>
          <w:rFonts w:ascii="Aptos" w:hAnsi="Aptos"/>
          <w:szCs w:val="24"/>
        </w:rPr>
        <w:fldChar w:fldCharType="separate"/>
      </w:r>
      <w:r w:rsidR="005A2C95" w:rsidRPr="00DB5E03">
        <w:rPr>
          <w:rFonts w:ascii="Aptos" w:hAnsi="Aptos"/>
          <w:szCs w:val="24"/>
        </w:rPr>
        <w:t xml:space="preserve">Figure </w:t>
      </w:r>
      <w:r w:rsidR="005A2C95">
        <w:rPr>
          <w:rFonts w:ascii="Aptos" w:hAnsi="Aptos"/>
          <w:noProof/>
          <w:szCs w:val="24"/>
        </w:rPr>
        <w:t>5</w:t>
      </w:r>
      <w:r w:rsidRPr="00DB5E03">
        <w:rPr>
          <w:rFonts w:ascii="Aptos" w:hAnsi="Aptos"/>
          <w:szCs w:val="24"/>
        </w:rPr>
        <w:fldChar w:fldCharType="end"/>
      </w:r>
      <w:r w:rsidRPr="00DB5E03">
        <w:rPr>
          <w:rFonts w:ascii="Aptos" w:hAnsi="Aptos"/>
          <w:szCs w:val="24"/>
        </w:rPr>
        <w:t>). While I don’t have Indigenous-specific medical course completion rates</w:t>
      </w:r>
      <w:r w:rsidR="00724495" w:rsidRPr="00DB5E03">
        <w:rPr>
          <w:rFonts w:ascii="Aptos" w:hAnsi="Aptos"/>
          <w:szCs w:val="24"/>
        </w:rPr>
        <w:t xml:space="preserve">, comparing Indigenous </w:t>
      </w:r>
      <w:r w:rsidR="00724495" w:rsidRPr="00DB5E03">
        <w:rPr>
          <w:rFonts w:ascii="Aptos" w:hAnsi="Aptos"/>
          <w:szCs w:val="24"/>
        </w:rPr>
        <w:lastRenderedPageBreak/>
        <w:t xml:space="preserve">completion shares with commencing shares 4 to 6 years earlier </w:t>
      </w:r>
      <w:r w:rsidR="00306D95" w:rsidRPr="00DB5E03">
        <w:rPr>
          <w:rFonts w:ascii="Aptos" w:hAnsi="Aptos"/>
          <w:szCs w:val="24"/>
        </w:rPr>
        <w:t>shows</w:t>
      </w:r>
      <w:r w:rsidR="00724495" w:rsidRPr="00DB5E03">
        <w:rPr>
          <w:rFonts w:ascii="Aptos" w:hAnsi="Aptos"/>
          <w:szCs w:val="24"/>
        </w:rPr>
        <w:t xml:space="preserve"> issues with retention. </w:t>
      </w:r>
      <w:r w:rsidR="00306D95" w:rsidRPr="00DB5E03">
        <w:rPr>
          <w:rFonts w:ascii="Aptos" w:hAnsi="Aptos"/>
          <w:szCs w:val="24"/>
        </w:rPr>
        <w:t xml:space="preserve">The medical </w:t>
      </w:r>
      <w:proofErr w:type="gramStart"/>
      <w:r w:rsidR="00306D95" w:rsidRPr="00DB5E03">
        <w:rPr>
          <w:rFonts w:ascii="Aptos" w:hAnsi="Aptos"/>
          <w:szCs w:val="24"/>
        </w:rPr>
        <w:t>deans</w:t>
      </w:r>
      <w:proofErr w:type="gramEnd"/>
      <w:r w:rsidR="00306D95" w:rsidRPr="00DB5E03">
        <w:rPr>
          <w:rFonts w:ascii="Aptos" w:hAnsi="Aptos"/>
          <w:szCs w:val="24"/>
        </w:rPr>
        <w:t xml:space="preserve"> association acknowledges that ‘more support for progression through to graduation’ is needed </w:t>
      </w:r>
      <w:sdt>
        <w:sdtPr>
          <w:rPr>
            <w:rFonts w:ascii="Aptos" w:hAnsi="Aptos"/>
            <w:color w:val="000000"/>
            <w:szCs w:val="24"/>
          </w:rPr>
          <w:tag w:val="MENDELEY_CITATION_v3_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"/>
          <w:id w:val="289785027"/>
          <w:placeholder>
            <w:docPart w:val="DefaultPlaceholder_-1854013440"/>
          </w:placeholder>
        </w:sdtPr>
        <w:sdtEndPr/>
        <w:sdtContent>
          <w:r w:rsidR="001F6615" w:rsidRPr="001F6615">
            <w:rPr>
              <w:rFonts w:ascii="Aptos" w:hAnsi="Aptos"/>
              <w:color w:val="000000"/>
              <w:szCs w:val="24"/>
            </w:rPr>
            <w:t>(MDANZ, 2025)</w:t>
          </w:r>
        </w:sdtContent>
      </w:sdt>
      <w:r w:rsidR="00306D95" w:rsidRPr="00DB5E03">
        <w:rPr>
          <w:rFonts w:ascii="Aptos" w:hAnsi="Aptos"/>
          <w:szCs w:val="24"/>
        </w:rPr>
        <w:t xml:space="preserve">. </w:t>
      </w:r>
      <w:r w:rsidR="00724495" w:rsidRPr="00DB5E03">
        <w:rPr>
          <w:rFonts w:ascii="Aptos" w:hAnsi="Aptos"/>
          <w:szCs w:val="24"/>
        </w:rPr>
        <w:t>Despite this, in 2024 2.6% of completing medical students were Indigenous</w:t>
      </w:r>
      <w:r w:rsidR="00CF71A8">
        <w:rPr>
          <w:rFonts w:ascii="Aptos" w:hAnsi="Aptos"/>
          <w:szCs w:val="24"/>
        </w:rPr>
        <w:t>, which is</w:t>
      </w:r>
      <w:r w:rsidR="00724495" w:rsidRPr="00DB5E03">
        <w:rPr>
          <w:rFonts w:ascii="Aptos" w:hAnsi="Aptos"/>
          <w:szCs w:val="24"/>
        </w:rPr>
        <w:t xml:space="preserve"> more than double the Indigenous share of young medical practitioners. </w:t>
      </w:r>
    </w:p>
    <w:p w14:paraId="3C793CF4" w14:textId="77777777" w:rsidR="00306D95" w:rsidRPr="00DB5E03" w:rsidRDefault="00306D95" w:rsidP="005A1B84">
      <w:pPr>
        <w:rPr>
          <w:rFonts w:ascii="Aptos" w:hAnsi="Aptos"/>
          <w:szCs w:val="24"/>
        </w:rPr>
      </w:pPr>
    </w:p>
    <w:p w14:paraId="285F0B5C" w14:textId="52F3B17C" w:rsidR="008253F4" w:rsidRPr="00DB5E03" w:rsidRDefault="008253F4" w:rsidP="008253F4">
      <w:pPr>
        <w:pStyle w:val="Caption"/>
        <w:keepNext/>
        <w:rPr>
          <w:rFonts w:ascii="Aptos" w:hAnsi="Aptos"/>
          <w:szCs w:val="24"/>
        </w:rPr>
      </w:pPr>
      <w:bookmarkStart w:id="34" w:name="_Ref213673790"/>
      <w:r w:rsidRPr="00DB5E03">
        <w:rPr>
          <w:rFonts w:ascii="Aptos" w:hAnsi="Aptos"/>
          <w:szCs w:val="24"/>
        </w:rPr>
        <w:t xml:space="preserve">Figure </w:t>
      </w:r>
      <w:r w:rsidRPr="00DB5E03">
        <w:rPr>
          <w:rFonts w:ascii="Aptos" w:hAnsi="Aptos"/>
          <w:szCs w:val="24"/>
        </w:rPr>
        <w:fldChar w:fldCharType="begin"/>
      </w:r>
      <w:r w:rsidRPr="00DB5E03">
        <w:rPr>
          <w:rFonts w:ascii="Aptos" w:hAnsi="Aptos"/>
          <w:szCs w:val="24"/>
        </w:rPr>
        <w:instrText xml:space="preserve"> SEQ Figure \* ARABIC </w:instrText>
      </w:r>
      <w:r w:rsidRPr="00DB5E03">
        <w:rPr>
          <w:rFonts w:ascii="Aptos" w:hAnsi="Aptos"/>
          <w:szCs w:val="24"/>
        </w:rPr>
        <w:fldChar w:fldCharType="separate"/>
      </w:r>
      <w:r w:rsidR="005A2C95">
        <w:rPr>
          <w:rFonts w:ascii="Aptos" w:hAnsi="Aptos"/>
          <w:noProof/>
          <w:szCs w:val="24"/>
        </w:rPr>
        <w:t>5</w:t>
      </w:r>
      <w:r w:rsidRPr="00DB5E03">
        <w:rPr>
          <w:rFonts w:ascii="Aptos" w:hAnsi="Aptos"/>
          <w:szCs w:val="24"/>
        </w:rPr>
        <w:fldChar w:fldCharType="end"/>
      </w:r>
      <w:bookmarkEnd w:id="34"/>
      <w:r w:rsidRPr="00DB5E03">
        <w:rPr>
          <w:rFonts w:ascii="Aptos" w:hAnsi="Aptos"/>
          <w:szCs w:val="24"/>
        </w:rPr>
        <w:t>: Indigenous medical enrolments and completions</w:t>
      </w:r>
      <w:r w:rsidR="003E7ADF" w:rsidRPr="00DB5E03">
        <w:rPr>
          <w:rFonts w:ascii="Aptos" w:hAnsi="Aptos"/>
          <w:szCs w:val="24"/>
        </w:rPr>
        <w:t xml:space="preserve">, share of domestic students </w:t>
      </w:r>
    </w:p>
    <w:p w14:paraId="26C21C2E" w14:textId="6EAF2FB5" w:rsidR="008253F4" w:rsidRPr="00DB5E03" w:rsidRDefault="003E7ADF" w:rsidP="005A1B84">
      <w:pPr>
        <w:rPr>
          <w:rFonts w:ascii="Aptos" w:hAnsi="Aptos"/>
          <w:szCs w:val="24"/>
        </w:rPr>
      </w:pPr>
      <w:r w:rsidRPr="00DB5E03">
        <w:rPr>
          <w:rFonts w:ascii="Aptos" w:hAnsi="Aptos"/>
          <w:noProof/>
          <w:szCs w:val="24"/>
        </w:rPr>
        <w:drawing>
          <wp:inline distT="0" distB="0" distL="0" distR="0" wp14:anchorId="51C635D7" wp14:editId="7EEFB923">
            <wp:extent cx="5486400" cy="320040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DDA77A7" w14:textId="4378DF95" w:rsidR="00093010" w:rsidRPr="00DB5E03" w:rsidRDefault="003E7ADF" w:rsidP="00944D95">
      <w:pPr>
        <w:rPr>
          <w:rFonts w:ascii="Aptos" w:hAnsi="Aptos"/>
          <w:i/>
          <w:iCs/>
          <w:szCs w:val="24"/>
        </w:rPr>
      </w:pPr>
      <w:r w:rsidRPr="00DB5E03">
        <w:rPr>
          <w:rFonts w:ascii="Aptos" w:hAnsi="Aptos"/>
          <w:szCs w:val="24"/>
        </w:rPr>
        <w:t xml:space="preserve">Source: Medical Deans Australia, Medical Deans Data Dashboard  </w:t>
      </w:r>
      <w:r w:rsidR="00093010" w:rsidRPr="00DB5E03">
        <w:rPr>
          <w:rFonts w:ascii="Aptos" w:hAnsi="Aptos"/>
          <w:i/>
          <w:iCs/>
          <w:szCs w:val="24"/>
        </w:rPr>
        <w:t xml:space="preserve">  </w:t>
      </w:r>
    </w:p>
    <w:p w14:paraId="22E847A9" w14:textId="77777777" w:rsidR="003E7ADF" w:rsidRPr="00DB5E03" w:rsidRDefault="003E7ADF" w:rsidP="00944D95">
      <w:pPr>
        <w:rPr>
          <w:rFonts w:ascii="Aptos" w:hAnsi="Aptos"/>
          <w:szCs w:val="24"/>
        </w:rPr>
      </w:pPr>
    </w:p>
    <w:p w14:paraId="15F5F11D" w14:textId="4E5D283A" w:rsidR="005A6E07" w:rsidRPr="00DB5E03" w:rsidRDefault="005A6E07" w:rsidP="005A6E07">
      <w:pPr>
        <w:pStyle w:val="Heading2"/>
        <w:rPr>
          <w:rFonts w:ascii="Aptos" w:hAnsi="Aptos"/>
          <w:sz w:val="24"/>
          <w:szCs w:val="24"/>
        </w:rPr>
      </w:pPr>
      <w:bookmarkStart w:id="35" w:name="_Toc213838223"/>
      <w:r w:rsidRPr="00DB5E03">
        <w:rPr>
          <w:rFonts w:ascii="Aptos" w:hAnsi="Aptos"/>
          <w:sz w:val="24"/>
          <w:szCs w:val="24"/>
        </w:rPr>
        <w:t>The medical student funding system</w:t>
      </w:r>
      <w:bookmarkEnd w:id="35"/>
      <w:r w:rsidRPr="00DB5E03">
        <w:rPr>
          <w:rFonts w:ascii="Aptos" w:hAnsi="Aptos"/>
          <w:sz w:val="24"/>
          <w:szCs w:val="24"/>
        </w:rPr>
        <w:t xml:space="preserve"> </w:t>
      </w:r>
    </w:p>
    <w:p w14:paraId="06F3D4D1" w14:textId="0ADEAAEF" w:rsidR="00604718" w:rsidRPr="00DB5E03" w:rsidRDefault="005A6E07" w:rsidP="00604718">
      <w:pPr>
        <w:rPr>
          <w:rFonts w:ascii="Aptos" w:hAnsi="Aptos"/>
          <w:szCs w:val="24"/>
        </w:rPr>
      </w:pPr>
      <w:r w:rsidRPr="00DB5E03">
        <w:rPr>
          <w:rFonts w:ascii="Aptos" w:hAnsi="Aptos"/>
          <w:szCs w:val="24"/>
        </w:rPr>
        <w:t xml:space="preserve">Medicine has long had a distinct system of </w:t>
      </w:r>
      <w:r w:rsidR="000D206C" w:rsidRPr="00DB5E03">
        <w:rPr>
          <w:rFonts w:ascii="Aptos" w:hAnsi="Aptos"/>
          <w:szCs w:val="24"/>
        </w:rPr>
        <w:t xml:space="preserve">higher education </w:t>
      </w:r>
      <w:r w:rsidRPr="00DB5E03">
        <w:rPr>
          <w:rFonts w:ascii="Aptos" w:hAnsi="Aptos"/>
          <w:szCs w:val="24"/>
        </w:rPr>
        <w:t xml:space="preserve">funding. It is currently the only category of courses with ‘designated’ Commonwealth supported place funding. This means that a specific number of </w:t>
      </w:r>
      <w:r w:rsidR="00762E46" w:rsidRPr="00DB5E03">
        <w:rPr>
          <w:rFonts w:ascii="Aptos" w:hAnsi="Aptos"/>
          <w:szCs w:val="24"/>
        </w:rPr>
        <w:t xml:space="preserve">student places </w:t>
      </w:r>
      <w:r w:rsidR="000A738E" w:rsidRPr="00DB5E03">
        <w:rPr>
          <w:rFonts w:ascii="Aptos" w:hAnsi="Aptos"/>
          <w:szCs w:val="24"/>
        </w:rPr>
        <w:t xml:space="preserve">– 13,816 in 2025 – </w:t>
      </w:r>
      <w:r w:rsidR="00762E46" w:rsidRPr="00DB5E03">
        <w:rPr>
          <w:rFonts w:ascii="Aptos" w:hAnsi="Aptos"/>
          <w:szCs w:val="24"/>
        </w:rPr>
        <w:t xml:space="preserve">is allocated to </w:t>
      </w:r>
      <w:r w:rsidR="000A738E" w:rsidRPr="00DB5E03">
        <w:rPr>
          <w:rFonts w:ascii="Aptos" w:hAnsi="Aptos"/>
          <w:szCs w:val="24"/>
        </w:rPr>
        <w:t>universities</w:t>
      </w:r>
      <w:r w:rsidR="00762E46" w:rsidRPr="00DB5E03">
        <w:rPr>
          <w:rFonts w:ascii="Aptos" w:hAnsi="Aptos"/>
          <w:szCs w:val="24"/>
        </w:rPr>
        <w:t xml:space="preserve"> exclusively for medicine. This differs from the main ‘higher education courses’ funding program,</w:t>
      </w:r>
      <w:r w:rsidR="000A738E" w:rsidRPr="00DB5E03">
        <w:rPr>
          <w:rFonts w:ascii="Aptos" w:hAnsi="Aptos"/>
          <w:szCs w:val="24"/>
        </w:rPr>
        <w:t xml:space="preserve"> under which each university receives</w:t>
      </w:r>
      <w:r w:rsidR="00762E46" w:rsidRPr="00DB5E03">
        <w:rPr>
          <w:rFonts w:ascii="Aptos" w:hAnsi="Aptos"/>
          <w:szCs w:val="24"/>
        </w:rPr>
        <w:t xml:space="preserve"> a fixed dollar amount</w:t>
      </w:r>
      <w:r w:rsidR="000A738E" w:rsidRPr="00DB5E03">
        <w:rPr>
          <w:rFonts w:ascii="Aptos" w:hAnsi="Aptos"/>
          <w:szCs w:val="24"/>
        </w:rPr>
        <w:t xml:space="preserve"> (‘maximum basic grant amount’)</w:t>
      </w:r>
      <w:r w:rsidR="00CF71A8">
        <w:rPr>
          <w:rFonts w:ascii="Aptos" w:hAnsi="Aptos"/>
          <w:szCs w:val="24"/>
        </w:rPr>
        <w:t>, which</w:t>
      </w:r>
      <w:r w:rsidR="00762E46" w:rsidRPr="00DB5E03">
        <w:rPr>
          <w:rFonts w:ascii="Aptos" w:hAnsi="Aptos"/>
          <w:szCs w:val="24"/>
        </w:rPr>
        <w:t xml:space="preserve"> can be used for </w:t>
      </w:r>
      <w:r w:rsidR="000D206C" w:rsidRPr="00DB5E03">
        <w:rPr>
          <w:rFonts w:ascii="Aptos" w:hAnsi="Aptos"/>
          <w:szCs w:val="24"/>
        </w:rPr>
        <w:t xml:space="preserve">student </w:t>
      </w:r>
      <w:r w:rsidR="00762E46" w:rsidRPr="00DB5E03">
        <w:rPr>
          <w:rFonts w:ascii="Aptos" w:hAnsi="Aptos"/>
          <w:szCs w:val="24"/>
        </w:rPr>
        <w:t xml:space="preserve">places in any course other than medicine. </w:t>
      </w:r>
      <w:r w:rsidR="00EC7D13" w:rsidRPr="00DB5E03">
        <w:rPr>
          <w:rFonts w:ascii="Aptos" w:hAnsi="Aptos"/>
          <w:szCs w:val="24"/>
        </w:rPr>
        <w:t>It differs again from</w:t>
      </w:r>
      <w:r w:rsidR="006A533E" w:rsidRPr="00DB5E03">
        <w:rPr>
          <w:rFonts w:ascii="Aptos" w:hAnsi="Aptos"/>
          <w:szCs w:val="24"/>
        </w:rPr>
        <w:t xml:space="preserve"> the current</w:t>
      </w:r>
      <w:r w:rsidR="00EC7D13" w:rsidRPr="00DB5E03">
        <w:rPr>
          <w:rFonts w:ascii="Aptos" w:hAnsi="Aptos"/>
          <w:szCs w:val="24"/>
        </w:rPr>
        <w:t xml:space="preserve"> demand driven funding </w:t>
      </w:r>
      <w:r w:rsidR="006A533E" w:rsidRPr="00DB5E03">
        <w:rPr>
          <w:rFonts w:ascii="Aptos" w:hAnsi="Aptos"/>
          <w:szCs w:val="24"/>
        </w:rPr>
        <w:t xml:space="preserve">for Indigenous bachelor degree places other than in medicine, under which </w:t>
      </w:r>
      <w:r w:rsidR="00EC7D13" w:rsidRPr="00DB5E03">
        <w:rPr>
          <w:rFonts w:ascii="Aptos" w:hAnsi="Aptos"/>
          <w:szCs w:val="24"/>
        </w:rPr>
        <w:t xml:space="preserve">there is no cap on </w:t>
      </w:r>
      <w:r w:rsidR="006A533E" w:rsidRPr="00DB5E03">
        <w:rPr>
          <w:rFonts w:ascii="Aptos" w:hAnsi="Aptos"/>
          <w:szCs w:val="24"/>
        </w:rPr>
        <w:t>places or funding</w:t>
      </w:r>
      <w:r w:rsidR="000D206C" w:rsidRPr="00DB5E03">
        <w:rPr>
          <w:rFonts w:ascii="Aptos" w:hAnsi="Aptos"/>
          <w:szCs w:val="24"/>
        </w:rPr>
        <w:t xml:space="preserve"> – universities receive unlimited Commonwealth contribution revenue on a full-time equivalent place </w:t>
      </w:r>
      <w:r w:rsidR="000D206C" w:rsidRPr="00DB5E03">
        <w:rPr>
          <w:rFonts w:ascii="Aptos" w:hAnsi="Aptos" w:cstheme="minorHAnsi"/>
          <w:szCs w:val="24"/>
        </w:rPr>
        <w:t>×</w:t>
      </w:r>
      <w:r w:rsidR="000D206C" w:rsidRPr="00DB5E03">
        <w:rPr>
          <w:rFonts w:ascii="Aptos" w:hAnsi="Aptos"/>
          <w:szCs w:val="24"/>
        </w:rPr>
        <w:t xml:space="preserve"> relevant Commonwealth contribution formula</w:t>
      </w:r>
      <w:r w:rsidR="00604718" w:rsidRPr="00DB5E03">
        <w:rPr>
          <w:rFonts w:ascii="Aptos" w:hAnsi="Aptos"/>
          <w:szCs w:val="24"/>
        </w:rPr>
        <w:t>. There is also a medical student loading paid for each</w:t>
      </w:r>
      <w:r w:rsidR="00D44BC6">
        <w:rPr>
          <w:rFonts w:ascii="Aptos" w:hAnsi="Aptos"/>
          <w:szCs w:val="24"/>
        </w:rPr>
        <w:t xml:space="preserve"> designated</w:t>
      </w:r>
      <w:r w:rsidR="00604718" w:rsidRPr="00DB5E03">
        <w:rPr>
          <w:rFonts w:ascii="Aptos" w:hAnsi="Aptos"/>
          <w:szCs w:val="24"/>
        </w:rPr>
        <w:t xml:space="preserve"> medical student place.</w:t>
      </w:r>
    </w:p>
    <w:p w14:paraId="7EC7738F" w14:textId="44A93D9E" w:rsidR="00762E46" w:rsidRPr="00DB5E03" w:rsidRDefault="00762E46" w:rsidP="005A6E07">
      <w:pPr>
        <w:rPr>
          <w:rFonts w:ascii="Aptos" w:hAnsi="Aptos"/>
          <w:szCs w:val="24"/>
        </w:rPr>
      </w:pPr>
    </w:p>
    <w:p w14:paraId="2BADBC3A" w14:textId="7DDF4794" w:rsidR="00762E46" w:rsidRPr="00DB5E03" w:rsidRDefault="00762E46" w:rsidP="005A6E07">
      <w:pPr>
        <w:rPr>
          <w:rFonts w:ascii="Aptos" w:hAnsi="Aptos"/>
          <w:szCs w:val="24"/>
        </w:rPr>
      </w:pPr>
      <w:r w:rsidRPr="00DB5E03">
        <w:rPr>
          <w:rFonts w:ascii="Aptos" w:hAnsi="Aptos"/>
          <w:szCs w:val="24"/>
        </w:rPr>
        <w:t>Designation does not of itself prohibit universities from taking additional medical students</w:t>
      </w:r>
      <w:r w:rsidR="00A205B2">
        <w:rPr>
          <w:rFonts w:ascii="Aptos" w:hAnsi="Aptos"/>
          <w:szCs w:val="24"/>
        </w:rPr>
        <w:t xml:space="preserve"> – it limits Commonwealth contribution funding for those students</w:t>
      </w:r>
      <w:r w:rsidRPr="00DB5E03">
        <w:rPr>
          <w:rFonts w:ascii="Aptos" w:hAnsi="Aptos"/>
          <w:szCs w:val="24"/>
        </w:rPr>
        <w:t xml:space="preserve">. A separate clause in university funding agreements acts to constrain the maximum number of domestic completions, as seen in the extract below (from the University of Melbourne funding agreement, with equivalent content in the funding agreements of other universities with medical schools). </w:t>
      </w:r>
    </w:p>
    <w:p w14:paraId="45FB6124" w14:textId="57CA6CA1" w:rsidR="00762E46" w:rsidRPr="00DB5E03" w:rsidRDefault="00762E46" w:rsidP="005A6E07">
      <w:pPr>
        <w:rPr>
          <w:rFonts w:ascii="Aptos" w:hAnsi="Aptos"/>
          <w:szCs w:val="24"/>
        </w:rPr>
      </w:pPr>
    </w:p>
    <w:p w14:paraId="0BB6526E" w14:textId="196BC6BE" w:rsidR="00762E46" w:rsidRPr="00DB5E03" w:rsidRDefault="00762E46" w:rsidP="005A6E07">
      <w:pPr>
        <w:rPr>
          <w:rFonts w:ascii="Aptos" w:hAnsi="Aptos"/>
          <w:szCs w:val="24"/>
        </w:rPr>
      </w:pPr>
      <w:r w:rsidRPr="00DB5E03">
        <w:rPr>
          <w:rFonts w:ascii="Aptos" w:hAnsi="Aptos"/>
          <w:noProof/>
          <w:szCs w:val="24"/>
        </w:rPr>
        <w:lastRenderedPageBreak/>
        <w:drawing>
          <wp:inline distT="0" distB="0" distL="0" distR="0" wp14:anchorId="7929B03D" wp14:editId="319816A7">
            <wp:extent cx="5731510" cy="2773680"/>
            <wp:effectExtent l="0" t="0" r="254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2773680"/>
                    </a:xfrm>
                    <a:prstGeom prst="rect">
                      <a:avLst/>
                    </a:prstGeom>
                    <a:noFill/>
                    <a:ln>
                      <a:noFill/>
                    </a:ln>
                  </pic:spPr>
                </pic:pic>
              </a:graphicData>
            </a:graphic>
          </wp:inline>
        </w:drawing>
      </w:r>
    </w:p>
    <w:p w14:paraId="0C4CD3E6" w14:textId="77777777" w:rsidR="00E0424F" w:rsidRPr="00DB5E03" w:rsidRDefault="00E0424F" w:rsidP="00E0424F">
      <w:pPr>
        <w:pStyle w:val="Heading2"/>
        <w:rPr>
          <w:rFonts w:ascii="Aptos" w:hAnsi="Aptos"/>
          <w:sz w:val="28"/>
          <w:szCs w:val="28"/>
        </w:rPr>
      </w:pPr>
      <w:bookmarkStart w:id="36" w:name="_Toc213838224"/>
      <w:r w:rsidRPr="00DB5E03">
        <w:rPr>
          <w:rFonts w:ascii="Aptos" w:hAnsi="Aptos"/>
          <w:sz w:val="28"/>
          <w:szCs w:val="28"/>
        </w:rPr>
        <w:t>Will demand driven funding make a difference?</w:t>
      </w:r>
      <w:bookmarkEnd w:id="36"/>
      <w:r w:rsidRPr="00DB5E03">
        <w:rPr>
          <w:rFonts w:ascii="Aptos" w:hAnsi="Aptos"/>
          <w:sz w:val="28"/>
          <w:szCs w:val="28"/>
        </w:rPr>
        <w:t xml:space="preserve"> </w:t>
      </w:r>
    </w:p>
    <w:p w14:paraId="7A69D566" w14:textId="7B5D0AE5" w:rsidR="00E0424F" w:rsidRPr="00DB5E03" w:rsidRDefault="00E0424F" w:rsidP="00E0424F">
      <w:pPr>
        <w:rPr>
          <w:rFonts w:ascii="Aptos" w:hAnsi="Aptos"/>
          <w:szCs w:val="24"/>
        </w:rPr>
      </w:pPr>
      <w:r w:rsidRPr="00DB5E03">
        <w:rPr>
          <w:rFonts w:ascii="Aptos" w:hAnsi="Aptos"/>
          <w:szCs w:val="24"/>
        </w:rPr>
        <w:t xml:space="preserve">Despite the year-on-year fluctuations in Indigenous commencing medical students, universities and medical schools specifically have put significant work into increasing their numbers. This has been assisted by The LIME Network (Leaders in Indigenous Medical Education), which offers resources on pathways into medicine, including </w:t>
      </w:r>
      <w:r w:rsidR="00D44BC6">
        <w:rPr>
          <w:rFonts w:ascii="Aptos" w:hAnsi="Aptos"/>
          <w:szCs w:val="24"/>
        </w:rPr>
        <w:t xml:space="preserve">through </w:t>
      </w:r>
      <w:r w:rsidRPr="00DB5E03">
        <w:rPr>
          <w:rFonts w:ascii="Aptos" w:hAnsi="Aptos"/>
          <w:szCs w:val="24"/>
        </w:rPr>
        <w:t xml:space="preserve">Indigenous-specific schemes. The medical deans say that the ‘work of medical schools in setting targets for recruitment, retention, and graduation above population parity levels is vital’ </w:t>
      </w:r>
      <w:sdt>
        <w:sdtPr>
          <w:rPr>
            <w:rFonts w:ascii="Aptos" w:hAnsi="Aptos"/>
            <w:color w:val="000000"/>
            <w:szCs w:val="24"/>
          </w:rPr>
          <w:tag w:val="MENDELEY_CITATION_v3_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"/>
          <w:id w:val="-1603565064"/>
          <w:placeholder>
            <w:docPart w:val="120A1197B17E43B4A91D8B407E55BE51"/>
          </w:placeholder>
        </w:sdtPr>
        <w:sdtEndPr/>
        <w:sdtContent>
          <w:r w:rsidR="001F6615" w:rsidRPr="001F6615">
            <w:rPr>
              <w:rFonts w:ascii="Aptos" w:hAnsi="Aptos"/>
              <w:color w:val="000000"/>
              <w:szCs w:val="24"/>
            </w:rPr>
            <w:t>(MDANZ, 2025)</w:t>
          </w:r>
        </w:sdtContent>
      </w:sdt>
      <w:r w:rsidRPr="00DB5E03">
        <w:rPr>
          <w:rFonts w:ascii="Aptos" w:hAnsi="Aptos"/>
          <w:szCs w:val="24"/>
        </w:rPr>
        <w:t>.</w:t>
      </w:r>
    </w:p>
    <w:p w14:paraId="492CA8C2" w14:textId="77777777" w:rsidR="00E0424F" w:rsidRPr="00DB5E03" w:rsidRDefault="00E0424F" w:rsidP="00E0424F">
      <w:pPr>
        <w:rPr>
          <w:rFonts w:ascii="Aptos" w:hAnsi="Aptos"/>
          <w:szCs w:val="24"/>
        </w:rPr>
      </w:pPr>
    </w:p>
    <w:p w14:paraId="14A15529" w14:textId="54EED0D3" w:rsidR="00E0424F" w:rsidRPr="00DB5E03" w:rsidRDefault="00E0424F" w:rsidP="00430996">
      <w:pPr>
        <w:rPr>
          <w:rFonts w:ascii="Aptos" w:hAnsi="Aptos"/>
          <w:szCs w:val="24"/>
        </w:rPr>
      </w:pPr>
      <w:r w:rsidRPr="00DB5E03">
        <w:rPr>
          <w:rFonts w:ascii="Aptos" w:hAnsi="Aptos"/>
          <w:szCs w:val="24"/>
        </w:rPr>
        <w:t xml:space="preserve">Although medicine is the only course with official </w:t>
      </w:r>
      <w:r w:rsidR="00D44BC6">
        <w:rPr>
          <w:rFonts w:ascii="Aptos" w:hAnsi="Aptos"/>
          <w:szCs w:val="24"/>
        </w:rPr>
        <w:t>funding</w:t>
      </w:r>
      <w:r w:rsidRPr="00DB5E03">
        <w:rPr>
          <w:rFonts w:ascii="Aptos" w:hAnsi="Aptos"/>
          <w:szCs w:val="24"/>
        </w:rPr>
        <w:t xml:space="preserve"> limits, the number of student places is not mentioned </w:t>
      </w:r>
      <w:r w:rsidR="00D44BC6">
        <w:rPr>
          <w:rFonts w:ascii="Aptos" w:hAnsi="Aptos"/>
          <w:szCs w:val="24"/>
        </w:rPr>
        <w:t xml:space="preserve">by the medical deans </w:t>
      </w:r>
      <w:r w:rsidRPr="00DB5E03">
        <w:rPr>
          <w:rFonts w:ascii="Aptos" w:hAnsi="Aptos"/>
          <w:szCs w:val="24"/>
        </w:rPr>
        <w:t>as a constraining issue</w:t>
      </w:r>
      <w:r w:rsidR="00D44BC6">
        <w:rPr>
          <w:rFonts w:ascii="Aptos" w:hAnsi="Aptos"/>
          <w:szCs w:val="24"/>
        </w:rPr>
        <w:t xml:space="preserve"> on their ‘Growing the Indigenous Medical Workforce</w:t>
      </w:r>
      <w:r w:rsidR="00727FA4">
        <w:rPr>
          <w:rFonts w:ascii="Aptos" w:hAnsi="Aptos"/>
          <w:szCs w:val="24"/>
        </w:rPr>
        <w:t>’</w:t>
      </w:r>
      <w:r w:rsidR="00D44BC6">
        <w:rPr>
          <w:rFonts w:ascii="Aptos" w:hAnsi="Aptos"/>
          <w:szCs w:val="24"/>
        </w:rPr>
        <w:t xml:space="preserve"> webpage (although the explanatory memorandum says they support the demand driven policy, p. 9)</w:t>
      </w:r>
      <w:r w:rsidRPr="00DB5E03">
        <w:rPr>
          <w:rFonts w:ascii="Aptos" w:hAnsi="Aptos"/>
          <w:szCs w:val="24"/>
        </w:rPr>
        <w:t xml:space="preserve">. The estimated 2026-27 cost of </w:t>
      </w:r>
      <w:r w:rsidR="00CF71A8">
        <w:rPr>
          <w:rFonts w:ascii="Aptos" w:hAnsi="Aptos"/>
          <w:szCs w:val="24"/>
        </w:rPr>
        <w:t xml:space="preserve">the demand driven </w:t>
      </w:r>
      <w:r w:rsidRPr="00DB5E03">
        <w:rPr>
          <w:rFonts w:ascii="Aptos" w:hAnsi="Aptos"/>
          <w:szCs w:val="24"/>
        </w:rPr>
        <w:t xml:space="preserve">policy of $560,000, equivalent to around 17 medical student places, suggests that the government itself does not see major enrolment increases occurring in the near term as a consequence of its policy (costings p. 7 of the explanatory memorandum). </w:t>
      </w:r>
    </w:p>
    <w:p w14:paraId="78C0DD54" w14:textId="479AB1BC" w:rsidR="006A533E" w:rsidRPr="00DB5E03" w:rsidRDefault="006A533E" w:rsidP="00EC7D13">
      <w:pPr>
        <w:pStyle w:val="Heading2"/>
        <w:rPr>
          <w:rFonts w:ascii="Aptos" w:hAnsi="Aptos"/>
          <w:sz w:val="28"/>
          <w:szCs w:val="28"/>
        </w:rPr>
      </w:pPr>
      <w:bookmarkStart w:id="37" w:name="_Toc213838225"/>
      <w:r w:rsidRPr="00DB5E03">
        <w:rPr>
          <w:rFonts w:ascii="Aptos" w:hAnsi="Aptos"/>
          <w:sz w:val="28"/>
          <w:szCs w:val="28"/>
        </w:rPr>
        <w:t>Problems with a mixed funding system for medicine</w:t>
      </w:r>
      <w:bookmarkEnd w:id="37"/>
    </w:p>
    <w:p w14:paraId="7591BF1C" w14:textId="490D5A0B" w:rsidR="00E0424F" w:rsidRPr="00A205B2" w:rsidRDefault="00E0424F" w:rsidP="0012059E">
      <w:pPr>
        <w:pStyle w:val="Heading3"/>
        <w:rPr>
          <w:rFonts w:ascii="Aptos" w:hAnsi="Aptos"/>
          <w:i/>
          <w:iCs/>
        </w:rPr>
      </w:pPr>
      <w:bookmarkStart w:id="38" w:name="_Toc213838226"/>
      <w:r w:rsidRPr="00A205B2">
        <w:rPr>
          <w:rFonts w:ascii="Aptos" w:hAnsi="Aptos"/>
          <w:i/>
          <w:iCs/>
        </w:rPr>
        <w:t>Maximum completions</w:t>
      </w:r>
      <w:bookmarkEnd w:id="38"/>
    </w:p>
    <w:p w14:paraId="6336F1F4" w14:textId="292ECD06" w:rsidR="009F13F7" w:rsidRPr="00DB5E03" w:rsidRDefault="00767EC2" w:rsidP="006A533E">
      <w:pPr>
        <w:rPr>
          <w:rFonts w:ascii="Aptos" w:hAnsi="Aptos"/>
          <w:szCs w:val="24"/>
        </w:rPr>
      </w:pPr>
      <w:r w:rsidRPr="00DB5E03">
        <w:rPr>
          <w:rFonts w:ascii="Aptos" w:hAnsi="Aptos"/>
          <w:szCs w:val="24"/>
        </w:rPr>
        <w:t xml:space="preserve">Removing designation from Indigenous medical students </w:t>
      </w:r>
      <w:r w:rsidR="009F13F7" w:rsidRPr="00DB5E03">
        <w:rPr>
          <w:rFonts w:ascii="Aptos" w:hAnsi="Aptos"/>
          <w:szCs w:val="24"/>
        </w:rPr>
        <w:t xml:space="preserve">– or indeed medicine in general – </w:t>
      </w:r>
      <w:r w:rsidRPr="00DB5E03">
        <w:rPr>
          <w:rFonts w:ascii="Aptos" w:hAnsi="Aptos"/>
          <w:szCs w:val="24"/>
        </w:rPr>
        <w:t xml:space="preserve">does not of itself have any effect on </w:t>
      </w:r>
      <w:r w:rsidR="00127853" w:rsidRPr="00DB5E03">
        <w:rPr>
          <w:rFonts w:ascii="Aptos" w:hAnsi="Aptos"/>
          <w:szCs w:val="24"/>
        </w:rPr>
        <w:t>the maximum number of domestic completions</w:t>
      </w:r>
      <w:r w:rsidR="003E0F50" w:rsidRPr="00DB5E03">
        <w:rPr>
          <w:rFonts w:ascii="Aptos" w:hAnsi="Aptos"/>
          <w:szCs w:val="24"/>
        </w:rPr>
        <w:t xml:space="preserve"> in funding agreements</w:t>
      </w:r>
      <w:r w:rsidR="00127853" w:rsidRPr="00DB5E03">
        <w:rPr>
          <w:rFonts w:ascii="Aptos" w:hAnsi="Aptos"/>
          <w:szCs w:val="24"/>
        </w:rPr>
        <w:t xml:space="preserve">. </w:t>
      </w:r>
      <w:r w:rsidR="003E0F50" w:rsidRPr="00DB5E03">
        <w:rPr>
          <w:rFonts w:ascii="Aptos" w:hAnsi="Aptos"/>
          <w:szCs w:val="24"/>
        </w:rPr>
        <w:t xml:space="preserve">That number </w:t>
      </w:r>
      <w:r w:rsidR="009F13F7" w:rsidRPr="00DB5E03">
        <w:rPr>
          <w:rFonts w:ascii="Aptos" w:hAnsi="Aptos"/>
          <w:szCs w:val="24"/>
        </w:rPr>
        <w:t xml:space="preserve">is </w:t>
      </w:r>
      <w:r w:rsidR="003E0F50" w:rsidRPr="00DB5E03">
        <w:rPr>
          <w:rFonts w:ascii="Aptos" w:hAnsi="Aptos"/>
          <w:szCs w:val="24"/>
        </w:rPr>
        <w:t xml:space="preserve">devised in coordination with the Department of </w:t>
      </w:r>
      <w:r w:rsidR="009F13F7" w:rsidRPr="00DB5E03">
        <w:rPr>
          <w:rFonts w:ascii="Aptos" w:hAnsi="Aptos"/>
          <w:szCs w:val="24"/>
        </w:rPr>
        <w:t xml:space="preserve">Health, historically to limit the number of doctors billing Medicare. </w:t>
      </w:r>
      <w:r w:rsidR="00127853" w:rsidRPr="00DB5E03">
        <w:rPr>
          <w:rFonts w:ascii="Aptos" w:hAnsi="Aptos"/>
          <w:szCs w:val="24"/>
        </w:rPr>
        <w:t xml:space="preserve">Unless medical schools </w:t>
      </w:r>
      <w:r w:rsidR="003E0F50" w:rsidRPr="00DB5E03">
        <w:rPr>
          <w:rFonts w:ascii="Aptos" w:hAnsi="Aptos"/>
          <w:szCs w:val="24"/>
        </w:rPr>
        <w:t>believe</w:t>
      </w:r>
      <w:r w:rsidR="00127853" w:rsidRPr="00DB5E03">
        <w:rPr>
          <w:rFonts w:ascii="Aptos" w:hAnsi="Aptos"/>
          <w:szCs w:val="24"/>
        </w:rPr>
        <w:t xml:space="preserve"> that their future maximum completions will be increased their situation would essentially be unchanged – the</w:t>
      </w:r>
      <w:r w:rsidR="00314098" w:rsidRPr="00DB5E03">
        <w:rPr>
          <w:rFonts w:ascii="Aptos" w:hAnsi="Aptos"/>
          <w:szCs w:val="24"/>
        </w:rPr>
        <w:t>y</w:t>
      </w:r>
      <w:r w:rsidR="00127853" w:rsidRPr="00DB5E03">
        <w:rPr>
          <w:rFonts w:ascii="Aptos" w:hAnsi="Aptos"/>
          <w:szCs w:val="24"/>
        </w:rPr>
        <w:t xml:space="preserve"> would still need to manage their commencing student intakes so that they </w:t>
      </w:r>
      <w:r w:rsidR="00CF71A8">
        <w:rPr>
          <w:rFonts w:ascii="Aptos" w:hAnsi="Aptos"/>
          <w:szCs w:val="24"/>
        </w:rPr>
        <w:t>do not</w:t>
      </w:r>
      <w:r w:rsidR="003E0F50" w:rsidRPr="00DB5E03">
        <w:rPr>
          <w:rFonts w:ascii="Aptos" w:hAnsi="Aptos"/>
          <w:szCs w:val="24"/>
        </w:rPr>
        <w:t xml:space="preserve"> exceed their cap</w:t>
      </w:r>
      <w:r w:rsidR="009F13F7" w:rsidRPr="00DB5E03">
        <w:rPr>
          <w:rFonts w:ascii="Aptos" w:hAnsi="Aptos"/>
          <w:szCs w:val="24"/>
        </w:rPr>
        <w:t xml:space="preserve">. </w:t>
      </w:r>
      <w:r w:rsidR="00A205B2">
        <w:rPr>
          <w:rFonts w:ascii="Aptos" w:hAnsi="Aptos"/>
          <w:szCs w:val="24"/>
        </w:rPr>
        <w:t>D</w:t>
      </w:r>
      <w:r w:rsidR="009F13F7" w:rsidRPr="00DB5E03">
        <w:rPr>
          <w:rFonts w:ascii="Aptos" w:hAnsi="Aptos"/>
          <w:szCs w:val="24"/>
        </w:rPr>
        <w:t>emand driven funding for Indigenous medical students would just be an accounting adjustment</w:t>
      </w:r>
      <w:r w:rsidR="00A205B2">
        <w:rPr>
          <w:rFonts w:ascii="Aptos" w:hAnsi="Aptos"/>
          <w:szCs w:val="24"/>
        </w:rPr>
        <w:t xml:space="preserve"> </w:t>
      </w:r>
      <w:r w:rsidR="00D44BC6">
        <w:rPr>
          <w:rFonts w:ascii="Aptos" w:hAnsi="Aptos"/>
          <w:szCs w:val="24"/>
        </w:rPr>
        <w:t xml:space="preserve">to how funding is paid </w:t>
      </w:r>
      <w:r w:rsidR="00A205B2">
        <w:rPr>
          <w:rFonts w:ascii="Aptos" w:hAnsi="Aptos"/>
          <w:szCs w:val="24"/>
        </w:rPr>
        <w:t xml:space="preserve">that does not change student numbers. </w:t>
      </w:r>
    </w:p>
    <w:p w14:paraId="395A4FB1" w14:textId="77777777" w:rsidR="00314098" w:rsidRPr="00DB5E03" w:rsidRDefault="00314098" w:rsidP="006A533E">
      <w:pPr>
        <w:rPr>
          <w:rFonts w:ascii="Aptos" w:hAnsi="Aptos"/>
          <w:szCs w:val="24"/>
        </w:rPr>
      </w:pPr>
    </w:p>
    <w:p w14:paraId="44E066C4" w14:textId="5BCD1E00" w:rsidR="009F13F7" w:rsidRPr="00A205B2" w:rsidRDefault="0012059E" w:rsidP="0012059E">
      <w:pPr>
        <w:pStyle w:val="Heading3"/>
        <w:rPr>
          <w:rFonts w:ascii="Aptos" w:hAnsi="Aptos"/>
          <w:i/>
          <w:iCs/>
        </w:rPr>
      </w:pPr>
      <w:bookmarkStart w:id="39" w:name="_Toc213838227"/>
      <w:r w:rsidRPr="00A205B2">
        <w:rPr>
          <w:rFonts w:ascii="Aptos" w:hAnsi="Aptos"/>
          <w:i/>
          <w:iCs/>
        </w:rPr>
        <w:lastRenderedPageBreak/>
        <w:t>Medical student loading</w:t>
      </w:r>
      <w:bookmarkEnd w:id="39"/>
      <w:r w:rsidRPr="00A205B2">
        <w:rPr>
          <w:rFonts w:ascii="Aptos" w:hAnsi="Aptos"/>
          <w:i/>
          <w:iCs/>
        </w:rPr>
        <w:t xml:space="preserve"> </w:t>
      </w:r>
    </w:p>
    <w:p w14:paraId="0422B4CE" w14:textId="1D1939E5" w:rsidR="009F13F7" w:rsidRPr="00DB5E03" w:rsidRDefault="009F13F7" w:rsidP="006A533E">
      <w:pPr>
        <w:rPr>
          <w:rFonts w:ascii="Aptos" w:hAnsi="Aptos"/>
          <w:szCs w:val="24"/>
        </w:rPr>
      </w:pPr>
      <w:r w:rsidRPr="00DB5E03">
        <w:rPr>
          <w:rFonts w:ascii="Aptos" w:hAnsi="Aptos"/>
          <w:szCs w:val="24"/>
        </w:rPr>
        <w:t>Removing designation from Indigenous medical students would also have no automatic effect on the medical student loading ($1745 per EFTSL in 2025). Under the current system</w:t>
      </w:r>
      <w:r w:rsidR="00D60D82" w:rsidRPr="00DB5E03">
        <w:rPr>
          <w:rFonts w:ascii="Aptos" w:hAnsi="Aptos"/>
          <w:szCs w:val="24"/>
        </w:rPr>
        <w:t xml:space="preserve">, section 30-25(3)(c) of the </w:t>
      </w:r>
      <w:r w:rsidR="00D60D82" w:rsidRPr="00DB5E03">
        <w:rPr>
          <w:rFonts w:ascii="Aptos" w:hAnsi="Aptos"/>
          <w:i/>
          <w:iCs/>
          <w:szCs w:val="24"/>
        </w:rPr>
        <w:t xml:space="preserve">Higher Education Support Act 2003 </w:t>
      </w:r>
      <w:r w:rsidR="00D60D82" w:rsidRPr="00DB5E03">
        <w:rPr>
          <w:rFonts w:ascii="Aptos" w:hAnsi="Aptos"/>
          <w:szCs w:val="24"/>
        </w:rPr>
        <w:t xml:space="preserve">provides that the maximum number of places with a medical loading can be set in funding agreements. In the funding agreements, an example below, this is the same as the </w:t>
      </w:r>
      <w:r w:rsidR="00A205B2">
        <w:rPr>
          <w:rFonts w:ascii="Aptos" w:hAnsi="Aptos"/>
          <w:szCs w:val="24"/>
        </w:rPr>
        <w:t xml:space="preserve">number of </w:t>
      </w:r>
      <w:r w:rsidR="00D60D82" w:rsidRPr="00DB5E03">
        <w:rPr>
          <w:rFonts w:ascii="Aptos" w:hAnsi="Aptos"/>
          <w:szCs w:val="24"/>
        </w:rPr>
        <w:t xml:space="preserve">designated places. This method is prescribed by chapter 4 of the </w:t>
      </w:r>
      <w:r w:rsidR="00D60D82" w:rsidRPr="00DB5E03">
        <w:rPr>
          <w:rFonts w:ascii="Aptos" w:hAnsi="Aptos"/>
          <w:i/>
          <w:iCs/>
          <w:szCs w:val="24"/>
        </w:rPr>
        <w:t>Commonwealth Grant Scheme Guidelines 2020</w:t>
      </w:r>
      <w:r w:rsidR="00D60D82" w:rsidRPr="00DB5E03">
        <w:rPr>
          <w:rFonts w:ascii="Aptos" w:hAnsi="Aptos"/>
          <w:szCs w:val="24"/>
        </w:rPr>
        <w:t xml:space="preserve">. So far as I am aware the government has not said how it is going to manage medical student loadings under the new system. </w:t>
      </w:r>
    </w:p>
    <w:p w14:paraId="40B841FC" w14:textId="77C8270D" w:rsidR="00D60D82" w:rsidRPr="00DB5E03" w:rsidRDefault="00D60D82" w:rsidP="006A533E">
      <w:pPr>
        <w:rPr>
          <w:rFonts w:ascii="Aptos" w:hAnsi="Aptos"/>
          <w:szCs w:val="24"/>
        </w:rPr>
      </w:pPr>
    </w:p>
    <w:p w14:paraId="548F1B00" w14:textId="418A8C5C" w:rsidR="00D60D82" w:rsidRPr="00DB5E03" w:rsidRDefault="00D60D82" w:rsidP="006A533E">
      <w:pPr>
        <w:rPr>
          <w:rFonts w:ascii="Aptos" w:hAnsi="Aptos"/>
          <w:szCs w:val="24"/>
        </w:rPr>
      </w:pPr>
      <w:r w:rsidRPr="00DB5E03">
        <w:rPr>
          <w:rFonts w:ascii="Aptos" w:hAnsi="Aptos"/>
          <w:noProof/>
          <w:szCs w:val="24"/>
        </w:rPr>
        <w:drawing>
          <wp:inline distT="0" distB="0" distL="0" distR="0" wp14:anchorId="7B3782DB" wp14:editId="796C5F09">
            <wp:extent cx="5731510" cy="122428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1224280"/>
                    </a:xfrm>
                    <a:prstGeom prst="rect">
                      <a:avLst/>
                    </a:prstGeom>
                  </pic:spPr>
                </pic:pic>
              </a:graphicData>
            </a:graphic>
          </wp:inline>
        </w:drawing>
      </w:r>
    </w:p>
    <w:p w14:paraId="0E2D2B39" w14:textId="77777777" w:rsidR="006A533E" w:rsidRPr="00DB5E03" w:rsidRDefault="006A533E" w:rsidP="006A533E">
      <w:pPr>
        <w:rPr>
          <w:rFonts w:ascii="Aptos" w:hAnsi="Aptos"/>
          <w:szCs w:val="24"/>
        </w:rPr>
      </w:pPr>
    </w:p>
    <w:p w14:paraId="1D839327" w14:textId="0AFF9AE3" w:rsidR="00306D95" w:rsidRPr="00A205B2" w:rsidRDefault="0012059E" w:rsidP="0012059E">
      <w:pPr>
        <w:pStyle w:val="Heading3"/>
        <w:rPr>
          <w:rFonts w:ascii="Aptos" w:hAnsi="Aptos"/>
          <w:i/>
          <w:iCs/>
        </w:rPr>
      </w:pPr>
      <w:bookmarkStart w:id="40" w:name="_Toc213838228"/>
      <w:r w:rsidRPr="00A205B2">
        <w:rPr>
          <w:rFonts w:ascii="Aptos" w:hAnsi="Aptos"/>
          <w:i/>
          <w:iCs/>
        </w:rPr>
        <w:t>Potential lost medical places in</w:t>
      </w:r>
      <w:r w:rsidR="00EC7D13" w:rsidRPr="00A205B2">
        <w:rPr>
          <w:rFonts w:ascii="Aptos" w:hAnsi="Aptos"/>
          <w:i/>
          <w:iCs/>
        </w:rPr>
        <w:t xml:space="preserve"> the transition to Indigenous medical demand driven funding</w:t>
      </w:r>
      <w:bookmarkEnd w:id="40"/>
    </w:p>
    <w:p w14:paraId="1BC25677" w14:textId="3EE33838" w:rsidR="00EC7D13" w:rsidRPr="00DB5E03" w:rsidRDefault="00EC7D13" w:rsidP="00944D95">
      <w:pPr>
        <w:rPr>
          <w:rFonts w:ascii="Aptos" w:hAnsi="Aptos"/>
          <w:szCs w:val="24"/>
        </w:rPr>
      </w:pPr>
      <w:r w:rsidRPr="00DB5E03">
        <w:rPr>
          <w:rFonts w:ascii="Aptos" w:hAnsi="Aptos"/>
          <w:szCs w:val="24"/>
        </w:rPr>
        <w:t xml:space="preserve">Earlier in its term, the government extended a previous bachelor degree demand driven funding system applying to regional Indigenous students to all </w:t>
      </w:r>
      <w:r w:rsidR="00A205B2">
        <w:rPr>
          <w:rFonts w:ascii="Aptos" w:hAnsi="Aptos"/>
          <w:szCs w:val="24"/>
        </w:rPr>
        <w:t xml:space="preserve">Indigenous </w:t>
      </w:r>
      <w:r w:rsidRPr="00DB5E03">
        <w:rPr>
          <w:rFonts w:ascii="Aptos" w:hAnsi="Aptos"/>
          <w:szCs w:val="24"/>
        </w:rPr>
        <w:t>students, except</w:t>
      </w:r>
      <w:r w:rsidR="00E0424F" w:rsidRPr="00DB5E03">
        <w:rPr>
          <w:rFonts w:ascii="Aptos" w:hAnsi="Aptos"/>
          <w:szCs w:val="24"/>
        </w:rPr>
        <w:t xml:space="preserve"> at the time</w:t>
      </w:r>
      <w:r w:rsidRPr="00DB5E03">
        <w:rPr>
          <w:rFonts w:ascii="Aptos" w:hAnsi="Aptos"/>
          <w:szCs w:val="24"/>
        </w:rPr>
        <w:t xml:space="preserve"> in medicine. </w:t>
      </w:r>
    </w:p>
    <w:p w14:paraId="2D359EC8" w14:textId="7D191D38" w:rsidR="00EC7D13" w:rsidRPr="00DB5E03" w:rsidRDefault="00EC7D13" w:rsidP="00944D95">
      <w:pPr>
        <w:rPr>
          <w:rFonts w:ascii="Aptos" w:hAnsi="Aptos"/>
          <w:szCs w:val="24"/>
        </w:rPr>
      </w:pPr>
    </w:p>
    <w:p w14:paraId="26D7DC6B" w14:textId="0A41BBE7" w:rsidR="00E0424F" w:rsidRPr="00DB5E03" w:rsidRDefault="00EC7D13" w:rsidP="00944D95">
      <w:pPr>
        <w:rPr>
          <w:rFonts w:ascii="Aptos" w:hAnsi="Aptos"/>
          <w:szCs w:val="24"/>
        </w:rPr>
      </w:pPr>
      <w:r w:rsidRPr="00DB5E03">
        <w:rPr>
          <w:rFonts w:ascii="Aptos" w:hAnsi="Aptos"/>
          <w:szCs w:val="24"/>
        </w:rPr>
        <w:t>In that case, the transition was managed by first reducing the ‘higher education courses’ grant by an estimate of</w:t>
      </w:r>
      <w:r w:rsidR="0012059E" w:rsidRPr="00DB5E03">
        <w:rPr>
          <w:rFonts w:ascii="Aptos" w:hAnsi="Aptos"/>
          <w:szCs w:val="24"/>
        </w:rPr>
        <w:t xml:space="preserve"> the Commonwealth contribution value of</w:t>
      </w:r>
      <w:r w:rsidRPr="00DB5E03">
        <w:rPr>
          <w:rFonts w:ascii="Aptos" w:hAnsi="Aptos"/>
          <w:szCs w:val="24"/>
        </w:rPr>
        <w:t xml:space="preserve"> metropolitan Indigenous student load. This was </w:t>
      </w:r>
      <w:r w:rsidR="00A205B2">
        <w:rPr>
          <w:rFonts w:ascii="Aptos" w:hAnsi="Aptos"/>
          <w:szCs w:val="24"/>
        </w:rPr>
        <w:t>returned to universities</w:t>
      </w:r>
      <w:r w:rsidR="0012059E" w:rsidRPr="00DB5E03">
        <w:rPr>
          <w:rFonts w:ascii="Aptos" w:hAnsi="Aptos"/>
          <w:szCs w:val="24"/>
        </w:rPr>
        <w:t xml:space="preserve"> through</w:t>
      </w:r>
      <w:r w:rsidRPr="00DB5E03">
        <w:rPr>
          <w:rFonts w:ascii="Aptos" w:hAnsi="Aptos"/>
          <w:szCs w:val="24"/>
        </w:rPr>
        <w:t xml:space="preserve"> funding estimates for Indigenous demand driven funding. I expect the same will happen this time –</w:t>
      </w:r>
      <w:r w:rsidR="00E0424F" w:rsidRPr="00DB5E03">
        <w:rPr>
          <w:rFonts w:ascii="Aptos" w:hAnsi="Aptos"/>
          <w:szCs w:val="24"/>
        </w:rPr>
        <w:t xml:space="preserve"> </w:t>
      </w:r>
      <w:r w:rsidRPr="00DB5E03">
        <w:rPr>
          <w:rFonts w:ascii="Aptos" w:hAnsi="Aptos"/>
          <w:szCs w:val="24"/>
        </w:rPr>
        <w:t xml:space="preserve">existing Indigenous designated places </w:t>
      </w:r>
      <w:r w:rsidR="00E0424F" w:rsidRPr="00DB5E03">
        <w:rPr>
          <w:rFonts w:ascii="Aptos" w:hAnsi="Aptos"/>
          <w:szCs w:val="24"/>
        </w:rPr>
        <w:t>will be transferred to</w:t>
      </w:r>
      <w:r w:rsidRPr="00DB5E03">
        <w:rPr>
          <w:rFonts w:ascii="Aptos" w:hAnsi="Aptos"/>
          <w:szCs w:val="24"/>
        </w:rPr>
        <w:t xml:space="preserve"> the demand driven program. </w:t>
      </w:r>
      <w:r w:rsidR="00E0424F" w:rsidRPr="00DB5E03">
        <w:rPr>
          <w:rFonts w:ascii="Aptos" w:hAnsi="Aptos"/>
          <w:szCs w:val="24"/>
        </w:rPr>
        <w:t>The low estimated cost of this program is consistent with this interpretation.</w:t>
      </w:r>
    </w:p>
    <w:p w14:paraId="4782E0E2" w14:textId="4EBF9585" w:rsidR="00EC7D13" w:rsidRPr="00DB5E03" w:rsidRDefault="00E0424F" w:rsidP="00944D95">
      <w:pPr>
        <w:rPr>
          <w:rFonts w:ascii="Aptos" w:hAnsi="Aptos"/>
          <w:szCs w:val="24"/>
        </w:rPr>
      </w:pPr>
      <w:r w:rsidRPr="00DB5E03">
        <w:rPr>
          <w:rFonts w:ascii="Aptos" w:hAnsi="Aptos"/>
          <w:szCs w:val="24"/>
        </w:rPr>
        <w:t xml:space="preserve"> </w:t>
      </w:r>
    </w:p>
    <w:p w14:paraId="342C5216" w14:textId="2E4BB9A0" w:rsidR="00E0424F" w:rsidRPr="00DB5E03" w:rsidRDefault="0012059E" w:rsidP="00944D95">
      <w:pPr>
        <w:rPr>
          <w:rFonts w:ascii="Aptos" w:hAnsi="Aptos"/>
          <w:szCs w:val="24"/>
        </w:rPr>
      </w:pPr>
      <w:r w:rsidRPr="00DB5E03">
        <w:rPr>
          <w:rFonts w:ascii="Aptos" w:hAnsi="Aptos"/>
          <w:szCs w:val="24"/>
        </w:rPr>
        <w:t>The risk this creates</w:t>
      </w:r>
      <w:r w:rsidR="00E32138">
        <w:rPr>
          <w:rFonts w:ascii="Aptos" w:hAnsi="Aptos"/>
          <w:szCs w:val="24"/>
        </w:rPr>
        <w:t>,</w:t>
      </w:r>
      <w:r w:rsidRPr="00DB5E03">
        <w:rPr>
          <w:rFonts w:ascii="Aptos" w:hAnsi="Aptos"/>
          <w:szCs w:val="24"/>
        </w:rPr>
        <w:t xml:space="preserve"> with other medical places remaining designated</w:t>
      </w:r>
      <w:r w:rsidR="00E32138">
        <w:rPr>
          <w:rFonts w:ascii="Aptos" w:hAnsi="Aptos"/>
          <w:szCs w:val="24"/>
        </w:rPr>
        <w:t>,</w:t>
      </w:r>
      <w:r w:rsidRPr="00DB5E03">
        <w:rPr>
          <w:rFonts w:ascii="Aptos" w:hAnsi="Aptos"/>
          <w:szCs w:val="24"/>
        </w:rPr>
        <w:t xml:space="preserve"> is that the expected number of Indigenous medical students is not successfully recruited. As noted, there is a history of volatility in Indigenous commencing student numbers. Because other medical places are designated at a lower number than previously, universities will not have Commonwealth contribution funded places to fill </w:t>
      </w:r>
      <w:r w:rsidR="00A205B2">
        <w:rPr>
          <w:rFonts w:ascii="Aptos" w:hAnsi="Aptos"/>
          <w:szCs w:val="24"/>
        </w:rPr>
        <w:t>any</w:t>
      </w:r>
      <w:r w:rsidRPr="00DB5E03">
        <w:rPr>
          <w:rFonts w:ascii="Aptos" w:hAnsi="Aptos"/>
          <w:szCs w:val="24"/>
        </w:rPr>
        <w:t xml:space="preserve"> gap in commencing student numbers</w:t>
      </w:r>
      <w:r w:rsidR="00A205B2">
        <w:rPr>
          <w:rFonts w:ascii="Aptos" w:hAnsi="Aptos"/>
          <w:szCs w:val="24"/>
        </w:rPr>
        <w:t xml:space="preserve"> due to under-recruitment of Indigenous students</w:t>
      </w:r>
      <w:r w:rsidRPr="00DB5E03">
        <w:rPr>
          <w:rFonts w:ascii="Aptos" w:hAnsi="Aptos"/>
          <w:szCs w:val="24"/>
        </w:rPr>
        <w:t>. There is significant unmet demand for medical education so vacant places are normally easy to fill.</w:t>
      </w:r>
    </w:p>
    <w:p w14:paraId="0647895B" w14:textId="016D140C" w:rsidR="0012059E" w:rsidRPr="00DB5E03" w:rsidRDefault="0012059E" w:rsidP="00944D95">
      <w:pPr>
        <w:rPr>
          <w:rFonts w:ascii="Aptos" w:hAnsi="Aptos"/>
          <w:szCs w:val="24"/>
        </w:rPr>
      </w:pPr>
    </w:p>
    <w:p w14:paraId="50A6B560" w14:textId="0C740EEC" w:rsidR="0012059E" w:rsidRPr="00DB5E03" w:rsidRDefault="00CF71A8" w:rsidP="00944D95">
      <w:pPr>
        <w:rPr>
          <w:rFonts w:ascii="Aptos" w:hAnsi="Aptos"/>
          <w:szCs w:val="24"/>
        </w:rPr>
      </w:pPr>
      <w:r>
        <w:rPr>
          <w:rFonts w:ascii="Aptos" w:hAnsi="Aptos"/>
          <w:szCs w:val="24"/>
        </w:rPr>
        <w:t>Universities have</w:t>
      </w:r>
      <w:r w:rsidR="0012059E" w:rsidRPr="00DB5E03">
        <w:rPr>
          <w:rFonts w:ascii="Aptos" w:hAnsi="Aptos"/>
          <w:szCs w:val="24"/>
        </w:rPr>
        <w:t xml:space="preserve"> a workaround, but it would require </w:t>
      </w:r>
      <w:r>
        <w:rPr>
          <w:rFonts w:ascii="Aptos" w:hAnsi="Aptos"/>
          <w:szCs w:val="24"/>
        </w:rPr>
        <w:t>them</w:t>
      </w:r>
      <w:r w:rsidR="0012059E" w:rsidRPr="00DB5E03">
        <w:rPr>
          <w:rFonts w:ascii="Aptos" w:hAnsi="Aptos"/>
          <w:szCs w:val="24"/>
        </w:rPr>
        <w:t xml:space="preserve"> to take non-Indigenous medical students on a student contribution only basis</w:t>
      </w:r>
      <w:r w:rsidR="009935B0" w:rsidRPr="00DB5E03">
        <w:rPr>
          <w:rFonts w:ascii="Aptos" w:hAnsi="Aptos"/>
          <w:szCs w:val="24"/>
        </w:rPr>
        <w:t xml:space="preserve"> while staying within their completions cap</w:t>
      </w:r>
      <w:r w:rsidR="000137AB" w:rsidRPr="00DB5E03">
        <w:rPr>
          <w:rFonts w:ascii="Aptos" w:hAnsi="Aptos"/>
          <w:szCs w:val="24"/>
        </w:rPr>
        <w:t>. For 2026, that would mean the $13,558 student contributi</w:t>
      </w:r>
      <w:r w:rsidR="009935B0" w:rsidRPr="00DB5E03">
        <w:rPr>
          <w:rFonts w:ascii="Aptos" w:hAnsi="Aptos"/>
          <w:szCs w:val="24"/>
        </w:rPr>
        <w:t>on</w:t>
      </w:r>
      <w:r w:rsidR="000137AB" w:rsidRPr="00DB5E03">
        <w:rPr>
          <w:rFonts w:ascii="Aptos" w:hAnsi="Aptos"/>
          <w:szCs w:val="24"/>
        </w:rPr>
        <w:t>, forgoing the $32,400 Commonwealth contribution and the approximately $1780 medical loading</w:t>
      </w:r>
      <w:r w:rsidR="00011D47" w:rsidRPr="00DB5E03">
        <w:rPr>
          <w:rFonts w:ascii="Aptos" w:hAnsi="Aptos"/>
          <w:szCs w:val="24"/>
        </w:rPr>
        <w:t xml:space="preserve"> (after indexation)</w:t>
      </w:r>
      <w:r w:rsidR="000137AB" w:rsidRPr="00DB5E03">
        <w:rPr>
          <w:rFonts w:ascii="Aptos" w:hAnsi="Aptos"/>
          <w:szCs w:val="24"/>
        </w:rPr>
        <w:t xml:space="preserve">. </w:t>
      </w:r>
    </w:p>
    <w:p w14:paraId="59AF3D8C" w14:textId="77777777" w:rsidR="0012059E" w:rsidRPr="00DB5E03" w:rsidRDefault="0012059E" w:rsidP="00944D95">
      <w:pPr>
        <w:rPr>
          <w:rFonts w:ascii="Aptos" w:hAnsi="Aptos"/>
          <w:szCs w:val="24"/>
        </w:rPr>
      </w:pPr>
    </w:p>
    <w:p w14:paraId="489594C0" w14:textId="132A7915" w:rsidR="00CF71A8" w:rsidRDefault="000137AB">
      <w:pPr>
        <w:rPr>
          <w:rFonts w:ascii="Aptos" w:eastAsiaTheme="majorEastAsia" w:hAnsi="Aptos" w:cstheme="majorBidi"/>
          <w:color w:val="365F91" w:themeColor="accent1" w:themeShade="BF"/>
          <w:sz w:val="28"/>
          <w:szCs w:val="28"/>
        </w:rPr>
      </w:pPr>
      <w:r w:rsidRPr="00DB5E03">
        <w:rPr>
          <w:rFonts w:ascii="Aptos" w:hAnsi="Aptos"/>
          <w:szCs w:val="24"/>
        </w:rPr>
        <w:t xml:space="preserve">For medical </w:t>
      </w:r>
      <w:r w:rsidR="009935B0" w:rsidRPr="00DB5E03">
        <w:rPr>
          <w:rFonts w:ascii="Aptos" w:hAnsi="Aptos"/>
          <w:szCs w:val="24"/>
        </w:rPr>
        <w:t>school</w:t>
      </w:r>
      <w:r w:rsidRPr="00DB5E03">
        <w:rPr>
          <w:rFonts w:ascii="Aptos" w:hAnsi="Aptos"/>
          <w:szCs w:val="24"/>
        </w:rPr>
        <w:t xml:space="preserve">s this policy is a gamble – if Indigenous medical student numbers are higher than expected they win, if lower than expected they are worse off than before. </w:t>
      </w:r>
    </w:p>
    <w:p w14:paraId="6F45FF9C" w14:textId="5F6D249E" w:rsidR="00EC7D13" w:rsidRPr="00DB5E03" w:rsidRDefault="009935B0" w:rsidP="009935B0">
      <w:pPr>
        <w:pStyle w:val="Heading2"/>
        <w:rPr>
          <w:rFonts w:ascii="Aptos" w:hAnsi="Aptos"/>
          <w:sz w:val="28"/>
          <w:szCs w:val="28"/>
        </w:rPr>
      </w:pPr>
      <w:bookmarkStart w:id="41" w:name="_Toc213838229"/>
      <w:r w:rsidRPr="00DB5E03">
        <w:rPr>
          <w:rFonts w:ascii="Aptos" w:hAnsi="Aptos"/>
          <w:sz w:val="28"/>
          <w:szCs w:val="28"/>
        </w:rPr>
        <w:lastRenderedPageBreak/>
        <w:t xml:space="preserve">The power to </w:t>
      </w:r>
      <w:r w:rsidR="006B159E">
        <w:rPr>
          <w:rFonts w:ascii="Aptos" w:hAnsi="Aptos"/>
          <w:sz w:val="28"/>
          <w:szCs w:val="28"/>
        </w:rPr>
        <w:t>exclude</w:t>
      </w:r>
      <w:r w:rsidRPr="00DB5E03">
        <w:rPr>
          <w:rFonts w:ascii="Aptos" w:hAnsi="Aptos"/>
          <w:sz w:val="28"/>
          <w:szCs w:val="28"/>
        </w:rPr>
        <w:t xml:space="preserve"> a </w:t>
      </w:r>
      <w:r w:rsidR="00CF71A8">
        <w:rPr>
          <w:rFonts w:ascii="Aptos" w:hAnsi="Aptos"/>
          <w:sz w:val="28"/>
          <w:szCs w:val="28"/>
        </w:rPr>
        <w:t xml:space="preserve">medical </w:t>
      </w:r>
      <w:r w:rsidRPr="00DB5E03">
        <w:rPr>
          <w:rFonts w:ascii="Aptos" w:hAnsi="Aptos"/>
          <w:sz w:val="28"/>
          <w:szCs w:val="28"/>
        </w:rPr>
        <w:t xml:space="preserve">course </w:t>
      </w:r>
      <w:r w:rsidR="006B159E">
        <w:rPr>
          <w:rFonts w:ascii="Aptos" w:hAnsi="Aptos"/>
          <w:sz w:val="28"/>
          <w:szCs w:val="28"/>
        </w:rPr>
        <w:t>from demand driven funding</w:t>
      </w:r>
      <w:bookmarkEnd w:id="41"/>
    </w:p>
    <w:p w14:paraId="48C57388" w14:textId="59EDFF3F" w:rsidR="009935B0" w:rsidRPr="00DB5E03" w:rsidRDefault="009935B0" w:rsidP="009935B0">
      <w:pPr>
        <w:rPr>
          <w:rFonts w:ascii="Aptos" w:hAnsi="Aptos"/>
          <w:szCs w:val="24"/>
        </w:rPr>
      </w:pPr>
    </w:p>
    <w:p w14:paraId="1A6601BC" w14:textId="74424E18" w:rsidR="009935B0" w:rsidRPr="00DB5E03" w:rsidRDefault="00011D47" w:rsidP="009935B0">
      <w:pPr>
        <w:rPr>
          <w:rFonts w:ascii="Aptos" w:hAnsi="Aptos"/>
          <w:szCs w:val="24"/>
        </w:rPr>
      </w:pPr>
      <w:r w:rsidRPr="00DB5E03">
        <w:rPr>
          <w:rFonts w:ascii="Aptos" w:hAnsi="Aptos"/>
          <w:szCs w:val="24"/>
        </w:rPr>
        <w:t>The changed definition of ‘demand driven higher education course’ contains, in proposed Schedule 1 sub-section (b)(iii) and section (1AA)</w:t>
      </w:r>
      <w:r w:rsidR="006B159E">
        <w:rPr>
          <w:rFonts w:ascii="Aptos" w:hAnsi="Aptos"/>
          <w:szCs w:val="24"/>
        </w:rPr>
        <w:t>,</w:t>
      </w:r>
      <w:r w:rsidRPr="00DB5E03">
        <w:rPr>
          <w:rFonts w:ascii="Aptos" w:hAnsi="Aptos"/>
          <w:szCs w:val="24"/>
        </w:rPr>
        <w:t xml:space="preserve"> a ministerial power to </w:t>
      </w:r>
      <w:r w:rsidR="006B159E">
        <w:rPr>
          <w:rFonts w:ascii="Aptos" w:hAnsi="Aptos"/>
          <w:szCs w:val="24"/>
        </w:rPr>
        <w:t>exclude</w:t>
      </w:r>
      <w:r w:rsidRPr="00DB5E03">
        <w:rPr>
          <w:rFonts w:ascii="Aptos" w:hAnsi="Aptos"/>
          <w:szCs w:val="24"/>
        </w:rPr>
        <w:t xml:space="preserve"> by legislative instrument a ‘course of study in medicine’</w:t>
      </w:r>
      <w:r w:rsidR="006B159E">
        <w:rPr>
          <w:rFonts w:ascii="Aptos" w:hAnsi="Aptos"/>
          <w:szCs w:val="24"/>
        </w:rPr>
        <w:t xml:space="preserve"> from demand driven funding. </w:t>
      </w:r>
    </w:p>
    <w:p w14:paraId="501FFC33" w14:textId="761B141B" w:rsidR="00011D47" w:rsidRPr="00DB5E03" w:rsidRDefault="00011D47" w:rsidP="009935B0">
      <w:pPr>
        <w:rPr>
          <w:rFonts w:ascii="Aptos" w:hAnsi="Aptos"/>
          <w:szCs w:val="24"/>
        </w:rPr>
      </w:pPr>
    </w:p>
    <w:p w14:paraId="13F58647" w14:textId="6F03ED6B" w:rsidR="00A31299" w:rsidRPr="00DB5E03" w:rsidRDefault="00011D47" w:rsidP="009935B0">
      <w:pPr>
        <w:rPr>
          <w:rFonts w:ascii="Aptos" w:hAnsi="Aptos"/>
          <w:szCs w:val="24"/>
        </w:rPr>
      </w:pPr>
      <w:r w:rsidRPr="00DB5E03">
        <w:rPr>
          <w:rFonts w:ascii="Aptos" w:hAnsi="Aptos"/>
          <w:szCs w:val="24"/>
        </w:rPr>
        <w:t xml:space="preserve">The explanatory memorandum says that such an instrument would only be made in ‘exceptional </w:t>
      </w:r>
      <w:proofErr w:type="gramStart"/>
      <w:r w:rsidRPr="00DB5E03">
        <w:rPr>
          <w:rFonts w:ascii="Aptos" w:hAnsi="Aptos"/>
          <w:szCs w:val="24"/>
        </w:rPr>
        <w:t>circumstances’</w:t>
      </w:r>
      <w:proofErr w:type="gramEnd"/>
      <w:r w:rsidRPr="00DB5E03">
        <w:rPr>
          <w:rFonts w:ascii="Aptos" w:hAnsi="Aptos"/>
          <w:szCs w:val="24"/>
        </w:rPr>
        <w:t xml:space="preserve">. It gives as </w:t>
      </w:r>
      <w:r w:rsidR="00A31299" w:rsidRPr="00DB5E03">
        <w:rPr>
          <w:rFonts w:ascii="Aptos" w:hAnsi="Aptos"/>
          <w:szCs w:val="24"/>
        </w:rPr>
        <w:t xml:space="preserve">an </w:t>
      </w:r>
      <w:r w:rsidRPr="00DB5E03">
        <w:rPr>
          <w:rFonts w:ascii="Aptos" w:hAnsi="Aptos"/>
          <w:szCs w:val="24"/>
        </w:rPr>
        <w:t>example</w:t>
      </w:r>
      <w:r w:rsidR="00A31299" w:rsidRPr="00DB5E03">
        <w:rPr>
          <w:rFonts w:ascii="Aptos" w:hAnsi="Aptos"/>
          <w:szCs w:val="24"/>
        </w:rPr>
        <w:t>:</w:t>
      </w:r>
      <w:r w:rsidRPr="00DB5E03">
        <w:rPr>
          <w:rFonts w:ascii="Aptos" w:hAnsi="Aptos"/>
          <w:szCs w:val="24"/>
        </w:rPr>
        <w:t xml:space="preserve"> </w:t>
      </w:r>
    </w:p>
    <w:p w14:paraId="5446CD31" w14:textId="77777777" w:rsidR="00A31299" w:rsidRPr="00DB5E03" w:rsidRDefault="00A31299" w:rsidP="009935B0">
      <w:pPr>
        <w:rPr>
          <w:rFonts w:ascii="Aptos" w:hAnsi="Aptos"/>
          <w:szCs w:val="24"/>
        </w:rPr>
      </w:pPr>
    </w:p>
    <w:p w14:paraId="07DF3903" w14:textId="2DDA6A39" w:rsidR="00011D47" w:rsidRPr="00DB5E03" w:rsidRDefault="00011D47" w:rsidP="00A31299">
      <w:pPr>
        <w:ind w:left="284" w:right="454"/>
        <w:rPr>
          <w:rFonts w:ascii="Aptos" w:hAnsi="Aptos"/>
          <w:szCs w:val="24"/>
        </w:rPr>
      </w:pPr>
      <w:r w:rsidRPr="00DB5E03">
        <w:rPr>
          <w:rFonts w:ascii="Aptos" w:hAnsi="Aptos"/>
          <w:szCs w:val="24"/>
        </w:rPr>
        <w:t>‘</w:t>
      </w:r>
      <w:proofErr w:type="gramStart"/>
      <w:r w:rsidRPr="00DB5E03">
        <w:rPr>
          <w:rFonts w:ascii="Aptos" w:hAnsi="Aptos"/>
          <w:szCs w:val="24"/>
        </w:rPr>
        <w:t>where</w:t>
      </w:r>
      <w:proofErr w:type="gramEnd"/>
      <w:r w:rsidRPr="00DB5E03">
        <w:rPr>
          <w:rFonts w:ascii="Aptos" w:hAnsi="Aptos"/>
          <w:szCs w:val="24"/>
        </w:rPr>
        <w:t xml:space="preserve"> First Nations students are undertaking tuition-free medical studies pathways</w:t>
      </w:r>
      <w:r w:rsidR="00A31299" w:rsidRPr="00DB5E03">
        <w:rPr>
          <w:rFonts w:ascii="Aptos" w:hAnsi="Aptos"/>
          <w:szCs w:val="24"/>
        </w:rPr>
        <w:t>. If these students enrolled in a Commonwealth supported place, this would result in them being financially worse off as they would be obligated to pay a student contribution amount. In these circumstances, the Minister could specify the course of study in an instrument to exclude the course of study.’</w:t>
      </w:r>
    </w:p>
    <w:p w14:paraId="1562D58C" w14:textId="0BA70C31" w:rsidR="00A31299" w:rsidRPr="00DB5E03" w:rsidRDefault="00A31299" w:rsidP="00A31299">
      <w:pPr>
        <w:ind w:right="454"/>
        <w:rPr>
          <w:rFonts w:ascii="Aptos" w:hAnsi="Aptos"/>
          <w:szCs w:val="24"/>
        </w:rPr>
      </w:pPr>
    </w:p>
    <w:p w14:paraId="228B6D59" w14:textId="0A87C8D8" w:rsidR="00A31299" w:rsidRPr="00DB5E03" w:rsidRDefault="00A31299" w:rsidP="00A31299">
      <w:pPr>
        <w:ind w:right="454"/>
        <w:rPr>
          <w:rFonts w:ascii="Aptos" w:hAnsi="Aptos"/>
          <w:szCs w:val="24"/>
        </w:rPr>
      </w:pPr>
      <w:r w:rsidRPr="00DB5E03">
        <w:rPr>
          <w:rFonts w:ascii="Aptos" w:hAnsi="Aptos"/>
          <w:szCs w:val="24"/>
        </w:rPr>
        <w:t xml:space="preserve">I do not understand this explanation. The legislated definition of a ‘course of study in medicine’ is one in which ‘completion of the course would allow provisional registration as a medical practitioner’. A pathway course would not satisfy this definition. </w:t>
      </w:r>
      <w:r w:rsidR="005A2C95">
        <w:rPr>
          <w:rFonts w:ascii="Aptos" w:hAnsi="Aptos"/>
          <w:szCs w:val="24"/>
        </w:rPr>
        <w:t xml:space="preserve">A prospective Indigenous student can be offered a tuition-free medical studies pathway program under the FEE-FREE Uni Ready program (although this is not demand driven).  This amending bill has no effect on that option. </w:t>
      </w:r>
    </w:p>
    <w:p w14:paraId="77CCD618" w14:textId="083E44F1" w:rsidR="00A31299" w:rsidRPr="00DB5E03" w:rsidRDefault="00A31299" w:rsidP="00A31299">
      <w:pPr>
        <w:ind w:right="454"/>
        <w:rPr>
          <w:rFonts w:ascii="Aptos" w:hAnsi="Aptos"/>
          <w:szCs w:val="24"/>
        </w:rPr>
      </w:pPr>
    </w:p>
    <w:p w14:paraId="57E78C85" w14:textId="72D6A341" w:rsidR="00A31299" w:rsidRPr="00DB5E03" w:rsidRDefault="00314098" w:rsidP="00A31299">
      <w:pPr>
        <w:ind w:right="454"/>
        <w:rPr>
          <w:rFonts w:ascii="Aptos" w:hAnsi="Aptos"/>
          <w:szCs w:val="24"/>
        </w:rPr>
      </w:pPr>
      <w:r w:rsidRPr="00DB5E03">
        <w:rPr>
          <w:rFonts w:ascii="Aptos" w:hAnsi="Aptos"/>
          <w:szCs w:val="24"/>
        </w:rPr>
        <w:t>I wonder if this provision is intended to exclude Macquarie University’s medical courses, which currently operate</w:t>
      </w:r>
      <w:r w:rsidR="007B3620">
        <w:rPr>
          <w:rFonts w:ascii="Aptos" w:hAnsi="Aptos"/>
          <w:szCs w:val="24"/>
        </w:rPr>
        <w:t>s</w:t>
      </w:r>
      <w:r w:rsidRPr="00DB5E03">
        <w:rPr>
          <w:rFonts w:ascii="Aptos" w:hAnsi="Aptos"/>
          <w:szCs w:val="24"/>
        </w:rPr>
        <w:t xml:space="preserve"> on a </w:t>
      </w:r>
      <w:r w:rsidR="007B3620">
        <w:rPr>
          <w:rFonts w:ascii="Aptos" w:hAnsi="Aptos"/>
          <w:szCs w:val="24"/>
        </w:rPr>
        <w:t xml:space="preserve">domestic </w:t>
      </w:r>
      <w:r w:rsidRPr="00DB5E03">
        <w:rPr>
          <w:rFonts w:ascii="Aptos" w:hAnsi="Aptos"/>
          <w:szCs w:val="24"/>
        </w:rPr>
        <w:t xml:space="preserve">full-fee basis outside the Commonwealth-supported place system. </w:t>
      </w:r>
    </w:p>
    <w:p w14:paraId="43DB50E5" w14:textId="77777777" w:rsidR="00314098" w:rsidRPr="00DB5E03" w:rsidRDefault="00314098" w:rsidP="00A31299">
      <w:pPr>
        <w:ind w:right="454"/>
        <w:rPr>
          <w:rFonts w:ascii="Aptos" w:hAnsi="Aptos"/>
          <w:szCs w:val="24"/>
        </w:rPr>
      </w:pPr>
    </w:p>
    <w:p w14:paraId="5DA08A65" w14:textId="27B5AE8E" w:rsidR="00314098" w:rsidRPr="00DB5E03" w:rsidRDefault="002C3F48" w:rsidP="00944D95">
      <w:pPr>
        <w:pStyle w:val="Heading2"/>
        <w:rPr>
          <w:rFonts w:ascii="Aptos" w:hAnsi="Aptos"/>
          <w:sz w:val="28"/>
          <w:szCs w:val="28"/>
        </w:rPr>
      </w:pPr>
      <w:bookmarkStart w:id="42" w:name="_Toc213838230"/>
      <w:r w:rsidRPr="00DB5E03">
        <w:rPr>
          <w:rFonts w:ascii="Aptos" w:hAnsi="Aptos"/>
          <w:sz w:val="28"/>
          <w:szCs w:val="28"/>
        </w:rPr>
        <w:t>Conclusion</w:t>
      </w:r>
      <w:bookmarkEnd w:id="42"/>
    </w:p>
    <w:p w14:paraId="6669958A" w14:textId="7B9AC9F0" w:rsidR="00314098" w:rsidRPr="00DB5E03" w:rsidRDefault="00314098" w:rsidP="00314098">
      <w:pPr>
        <w:rPr>
          <w:rFonts w:ascii="Aptos" w:hAnsi="Aptos"/>
          <w:szCs w:val="24"/>
        </w:rPr>
      </w:pPr>
    </w:p>
    <w:p w14:paraId="7C41F139" w14:textId="75DF7FBE" w:rsidR="00314098" w:rsidRPr="00DB5E03" w:rsidRDefault="00430996" w:rsidP="00314098">
      <w:pPr>
        <w:rPr>
          <w:rFonts w:ascii="Aptos" w:hAnsi="Aptos"/>
          <w:szCs w:val="24"/>
        </w:rPr>
      </w:pPr>
      <w:r w:rsidRPr="00DB5E03">
        <w:rPr>
          <w:rFonts w:ascii="Aptos" w:hAnsi="Aptos"/>
          <w:szCs w:val="24"/>
        </w:rPr>
        <w:t xml:space="preserve">The proposed extension of demand driven funding to Indigenous medical </w:t>
      </w:r>
      <w:r w:rsidR="00F576F4">
        <w:rPr>
          <w:rFonts w:ascii="Aptos" w:hAnsi="Aptos"/>
          <w:szCs w:val="24"/>
        </w:rPr>
        <w:t>has minor policy flaws compared to</w:t>
      </w:r>
      <w:r w:rsidRPr="00DB5E03">
        <w:rPr>
          <w:rFonts w:ascii="Aptos" w:hAnsi="Aptos"/>
          <w:szCs w:val="24"/>
        </w:rPr>
        <w:t xml:space="preserve"> other parts of </w:t>
      </w:r>
      <w:r w:rsidR="002C3F48" w:rsidRPr="00DB5E03">
        <w:rPr>
          <w:rFonts w:ascii="Aptos" w:hAnsi="Aptos"/>
          <w:szCs w:val="24"/>
        </w:rPr>
        <w:t xml:space="preserve">the </w:t>
      </w:r>
      <w:r w:rsidR="002C3F48" w:rsidRPr="00DB5E03">
        <w:rPr>
          <w:rFonts w:ascii="Aptos" w:hAnsi="Aptos"/>
          <w:i/>
          <w:iCs/>
          <w:szCs w:val="24"/>
        </w:rPr>
        <w:t xml:space="preserve">Education Legislation (Integrity and Other Measures) Bill 2025. </w:t>
      </w:r>
      <w:r w:rsidR="005A2C95">
        <w:rPr>
          <w:rFonts w:ascii="Aptos" w:hAnsi="Aptos"/>
          <w:szCs w:val="24"/>
        </w:rPr>
        <w:t>As currently explained, however, it is not clear that its</w:t>
      </w:r>
      <w:r w:rsidR="002C3F48" w:rsidRPr="00DB5E03">
        <w:rPr>
          <w:rFonts w:ascii="Aptos" w:hAnsi="Aptos"/>
          <w:szCs w:val="24"/>
        </w:rPr>
        <w:t xml:space="preserve"> advantages exceed its disadvantages. Medical schools appear to already </w:t>
      </w:r>
      <w:r w:rsidR="005A2C95">
        <w:rPr>
          <w:rFonts w:ascii="Aptos" w:hAnsi="Aptos"/>
          <w:szCs w:val="24"/>
        </w:rPr>
        <w:t xml:space="preserve">be </w:t>
      </w:r>
      <w:r w:rsidR="00B55571">
        <w:rPr>
          <w:rFonts w:ascii="Aptos" w:hAnsi="Aptos"/>
          <w:szCs w:val="24"/>
        </w:rPr>
        <w:t>working hard</w:t>
      </w:r>
      <w:r w:rsidR="002C3F48" w:rsidRPr="00DB5E03">
        <w:rPr>
          <w:rFonts w:ascii="Aptos" w:hAnsi="Aptos"/>
          <w:szCs w:val="24"/>
        </w:rPr>
        <w:t xml:space="preserve"> to increase Indigenous student numbers</w:t>
      </w:r>
      <w:r w:rsidR="00B55571">
        <w:rPr>
          <w:rFonts w:ascii="Aptos" w:hAnsi="Aptos"/>
          <w:szCs w:val="24"/>
        </w:rPr>
        <w:t>, with the number of places not their principal problem</w:t>
      </w:r>
      <w:r w:rsidR="002C3F48" w:rsidRPr="00DB5E03">
        <w:rPr>
          <w:rFonts w:ascii="Aptos" w:hAnsi="Aptos"/>
          <w:szCs w:val="24"/>
        </w:rPr>
        <w:t xml:space="preserve">. Mixing designated and demand driven funding in the same course creates administrative problems that are not solved by </w:t>
      </w:r>
      <w:r w:rsidR="00A2600A" w:rsidRPr="00DB5E03">
        <w:rPr>
          <w:rFonts w:ascii="Aptos" w:hAnsi="Aptos"/>
          <w:szCs w:val="24"/>
        </w:rPr>
        <w:t xml:space="preserve">the </w:t>
      </w:r>
      <w:r w:rsidR="002C3F48" w:rsidRPr="00DB5E03">
        <w:rPr>
          <w:rFonts w:ascii="Aptos" w:hAnsi="Aptos"/>
          <w:szCs w:val="24"/>
        </w:rPr>
        <w:t>announced policy changes. On a worst-case scenario</w:t>
      </w:r>
      <w:r w:rsidR="000625AE" w:rsidRPr="00DB5E03">
        <w:rPr>
          <w:rFonts w:ascii="Aptos" w:hAnsi="Aptos"/>
          <w:szCs w:val="24"/>
        </w:rPr>
        <w:t>, the policy</w:t>
      </w:r>
      <w:r w:rsidR="002C3F48" w:rsidRPr="00DB5E03">
        <w:rPr>
          <w:rFonts w:ascii="Aptos" w:hAnsi="Aptos"/>
          <w:szCs w:val="24"/>
        </w:rPr>
        <w:t xml:space="preserve"> will reduce non-Indigenous medical student numbers without increasing Indigenous medical student numbers.</w:t>
      </w:r>
    </w:p>
    <w:p w14:paraId="06157C13" w14:textId="0145A6F5" w:rsidR="002C3F48" w:rsidRPr="00DB5E03" w:rsidRDefault="002C3F48" w:rsidP="00314098">
      <w:pPr>
        <w:rPr>
          <w:rFonts w:ascii="Aptos" w:hAnsi="Aptos"/>
          <w:szCs w:val="24"/>
        </w:rPr>
      </w:pPr>
    </w:p>
    <w:p w14:paraId="6822A9C1" w14:textId="6739943F" w:rsidR="002C3F48" w:rsidRPr="00DB5E03" w:rsidRDefault="002C3F48" w:rsidP="00314098">
      <w:pPr>
        <w:rPr>
          <w:rFonts w:ascii="Aptos" w:hAnsi="Aptos"/>
          <w:szCs w:val="24"/>
        </w:rPr>
      </w:pPr>
      <w:r w:rsidRPr="00DB5E03">
        <w:rPr>
          <w:rFonts w:ascii="Aptos" w:hAnsi="Aptos"/>
          <w:szCs w:val="24"/>
        </w:rPr>
        <w:t xml:space="preserve">It is outside the scope of this inquiry, </w:t>
      </w:r>
      <w:r w:rsidR="000625AE" w:rsidRPr="00DB5E03">
        <w:rPr>
          <w:rFonts w:ascii="Aptos" w:hAnsi="Aptos"/>
          <w:szCs w:val="24"/>
        </w:rPr>
        <w:t>but the time may have come to end the designation of medical courses. Limiting Commonwealth supported places is not the control mechanism it once was for managing the number of doctors. Macquarie University and Bond University both offer full-fee medical courses outside the CSP system. Australian universities enrol about 3,400 international medical students, some of whom remain in Australia. In 2024-25 nearly 3,000 temporary resident skills visas were awarded for offshore</w:t>
      </w:r>
      <w:r w:rsidR="007B3620">
        <w:rPr>
          <w:rFonts w:ascii="Aptos" w:hAnsi="Aptos"/>
          <w:szCs w:val="24"/>
        </w:rPr>
        <w:t>-</w:t>
      </w:r>
      <w:r w:rsidR="000625AE" w:rsidRPr="00DB5E03">
        <w:rPr>
          <w:rFonts w:ascii="Aptos" w:hAnsi="Aptos"/>
          <w:szCs w:val="24"/>
        </w:rPr>
        <w:t>applicant medical practitioner occupations</w:t>
      </w:r>
      <w:r w:rsidR="00A2600A" w:rsidRPr="00DB5E03">
        <w:rPr>
          <w:rFonts w:ascii="Aptos" w:hAnsi="Aptos"/>
          <w:szCs w:val="24"/>
        </w:rPr>
        <w:t xml:space="preserve"> </w:t>
      </w:r>
      <w:sdt>
        <w:sdtPr>
          <w:rPr>
            <w:rFonts w:ascii="Aptos" w:hAnsi="Aptos"/>
            <w:color w:val="000000"/>
            <w:szCs w:val="24"/>
          </w:rPr>
          <w:tag w:val="MENDELEY_CITATION_v3_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"/>
          <w:id w:val="-1703548589"/>
          <w:placeholder>
            <w:docPart w:val="DefaultPlaceholder_-1854013440"/>
          </w:placeholder>
        </w:sdtPr>
        <w:sdtEndPr/>
        <w:sdtContent>
          <w:r w:rsidR="001F6615" w:rsidRPr="001F6615">
            <w:rPr>
              <w:rFonts w:ascii="Aptos" w:hAnsi="Aptos"/>
              <w:color w:val="000000"/>
              <w:szCs w:val="24"/>
            </w:rPr>
            <w:t>(DHA, 2025)</w:t>
          </w:r>
        </w:sdtContent>
      </w:sdt>
      <w:r w:rsidR="000625AE" w:rsidRPr="00DB5E03">
        <w:rPr>
          <w:rFonts w:ascii="Aptos" w:hAnsi="Aptos"/>
          <w:szCs w:val="24"/>
        </w:rPr>
        <w:t>.</w:t>
      </w:r>
      <w:r w:rsidR="00A2600A" w:rsidRPr="00DB5E03">
        <w:rPr>
          <w:rFonts w:ascii="Aptos" w:hAnsi="Aptos"/>
          <w:szCs w:val="24"/>
        </w:rPr>
        <w:t xml:space="preserve"> </w:t>
      </w:r>
      <w:r w:rsidR="007B3620">
        <w:rPr>
          <w:rFonts w:ascii="Aptos" w:hAnsi="Aptos"/>
          <w:szCs w:val="24"/>
        </w:rPr>
        <w:t>If designation was lifted, u</w:t>
      </w:r>
      <w:r w:rsidR="00A2600A" w:rsidRPr="00DB5E03">
        <w:rPr>
          <w:rFonts w:ascii="Aptos" w:hAnsi="Aptos"/>
          <w:szCs w:val="24"/>
        </w:rPr>
        <w:t xml:space="preserve">niversities would still face the clinical placement bottlenecks on expansion that affect most health courses, preventing any out-of-control enrolment </w:t>
      </w:r>
      <w:r w:rsidR="00F576F4">
        <w:rPr>
          <w:rFonts w:ascii="Aptos" w:hAnsi="Aptos"/>
          <w:szCs w:val="24"/>
        </w:rPr>
        <w:t>increases</w:t>
      </w:r>
      <w:r w:rsidR="00A2600A" w:rsidRPr="00DB5E03">
        <w:rPr>
          <w:rFonts w:ascii="Aptos" w:hAnsi="Aptos"/>
          <w:szCs w:val="24"/>
        </w:rPr>
        <w:t xml:space="preserve">. </w:t>
      </w:r>
    </w:p>
    <w:p w14:paraId="68A7EA53" w14:textId="5B90C446" w:rsidR="00A2600A" w:rsidRPr="00DB5E03" w:rsidRDefault="00A2600A" w:rsidP="00314098">
      <w:pPr>
        <w:rPr>
          <w:rFonts w:ascii="Aptos" w:hAnsi="Aptos"/>
          <w:szCs w:val="24"/>
        </w:rPr>
      </w:pPr>
    </w:p>
    <w:p w14:paraId="5BC690F6" w14:textId="60053BF9" w:rsidR="00A2600A" w:rsidRPr="00DB5E03" w:rsidRDefault="00A2600A" w:rsidP="00A2600A">
      <w:pPr>
        <w:pStyle w:val="Heading2"/>
        <w:rPr>
          <w:rFonts w:ascii="Aptos" w:hAnsi="Aptos"/>
          <w:sz w:val="28"/>
          <w:szCs w:val="28"/>
        </w:rPr>
      </w:pPr>
      <w:bookmarkStart w:id="43" w:name="_Toc213838231"/>
      <w:r w:rsidRPr="00DB5E03">
        <w:rPr>
          <w:rFonts w:ascii="Aptos" w:hAnsi="Aptos"/>
          <w:sz w:val="28"/>
          <w:szCs w:val="28"/>
        </w:rPr>
        <w:t>Recommendations</w:t>
      </w:r>
      <w:bookmarkEnd w:id="43"/>
      <w:r w:rsidRPr="00DB5E03">
        <w:rPr>
          <w:rFonts w:ascii="Aptos" w:hAnsi="Aptos"/>
          <w:sz w:val="28"/>
          <w:szCs w:val="28"/>
        </w:rPr>
        <w:t xml:space="preserve"> </w:t>
      </w:r>
    </w:p>
    <w:p w14:paraId="43DAA7E8" w14:textId="2259ABAB" w:rsidR="00A2600A" w:rsidRPr="00DB5E03" w:rsidRDefault="00DB5E03" w:rsidP="00A2600A">
      <w:pPr>
        <w:rPr>
          <w:rFonts w:ascii="Aptos" w:hAnsi="Aptos"/>
          <w:szCs w:val="24"/>
        </w:rPr>
      </w:pPr>
      <w:r w:rsidRPr="00DB5E03">
        <w:rPr>
          <w:rFonts w:ascii="Aptos" w:hAnsi="Aptos"/>
          <w:szCs w:val="24"/>
        </w:rPr>
        <w:t>That the committee seek assurance from the government that:</w:t>
      </w:r>
    </w:p>
    <w:p w14:paraId="651B8195" w14:textId="393CDBF7" w:rsidR="00DB5E03" w:rsidRPr="00DB5E03" w:rsidRDefault="00DB5E03" w:rsidP="00DB5E03">
      <w:pPr>
        <w:pStyle w:val="ListParagraph"/>
        <w:numPr>
          <w:ilvl w:val="0"/>
          <w:numId w:val="19"/>
        </w:numPr>
        <w:rPr>
          <w:rFonts w:ascii="Aptos" w:hAnsi="Aptos"/>
          <w:szCs w:val="24"/>
        </w:rPr>
      </w:pPr>
      <w:r w:rsidRPr="00DB5E03">
        <w:rPr>
          <w:rFonts w:ascii="Aptos" w:hAnsi="Aptos"/>
          <w:szCs w:val="24"/>
        </w:rPr>
        <w:t>The medical student course completions cap will be lifted in line with projected Indigenous demand driven plus designated places totals.</w:t>
      </w:r>
    </w:p>
    <w:p w14:paraId="6ECF539E" w14:textId="3E4639E4" w:rsidR="00DB5E03" w:rsidRPr="00DB5E03" w:rsidRDefault="00DB5E03" w:rsidP="00DB5E03">
      <w:pPr>
        <w:pStyle w:val="ListParagraph"/>
        <w:numPr>
          <w:ilvl w:val="0"/>
          <w:numId w:val="19"/>
        </w:numPr>
        <w:rPr>
          <w:rFonts w:ascii="Aptos" w:hAnsi="Aptos"/>
          <w:szCs w:val="24"/>
        </w:rPr>
      </w:pPr>
      <w:r w:rsidRPr="00DB5E03">
        <w:rPr>
          <w:rFonts w:ascii="Aptos" w:hAnsi="Aptos"/>
          <w:szCs w:val="24"/>
        </w:rPr>
        <w:t>That the Commonwealth Grant Scheme Guidelines will be amended to support payment of the medical student loading to all Commonwealth supported student medical students.</w:t>
      </w:r>
    </w:p>
    <w:p w14:paraId="2727AF41" w14:textId="70EB1367" w:rsidR="00DB5E03" w:rsidRPr="00DB5E03" w:rsidRDefault="00DB5E03" w:rsidP="00DB5E03">
      <w:pPr>
        <w:pStyle w:val="ListParagraph"/>
        <w:numPr>
          <w:ilvl w:val="0"/>
          <w:numId w:val="19"/>
        </w:numPr>
        <w:rPr>
          <w:rFonts w:ascii="Aptos" w:hAnsi="Aptos"/>
          <w:szCs w:val="24"/>
        </w:rPr>
      </w:pPr>
      <w:r w:rsidRPr="00DB5E03">
        <w:rPr>
          <w:rFonts w:ascii="Aptos" w:hAnsi="Aptos"/>
          <w:szCs w:val="24"/>
        </w:rPr>
        <w:t>That universities that end up with fewer Indigenous medical student places than expected be offered revised funding agreements to fully fund all medical students</w:t>
      </w:r>
      <w:r w:rsidR="007B3620">
        <w:rPr>
          <w:rFonts w:ascii="Aptos" w:hAnsi="Aptos"/>
          <w:szCs w:val="24"/>
        </w:rPr>
        <w:t>,</w:t>
      </w:r>
      <w:r w:rsidRPr="00DB5E03">
        <w:rPr>
          <w:rFonts w:ascii="Aptos" w:hAnsi="Aptos"/>
          <w:szCs w:val="24"/>
        </w:rPr>
        <w:t xml:space="preserve"> up to the number they would have had without this amendment. </w:t>
      </w:r>
    </w:p>
    <w:p w14:paraId="3C11B45F" w14:textId="025C38A9" w:rsidR="00A82975" w:rsidRPr="00DB5E03" w:rsidRDefault="00093010" w:rsidP="00675ADB">
      <w:pPr>
        <w:pStyle w:val="Heading2"/>
        <w:rPr>
          <w:rFonts w:ascii="Aptos" w:hAnsi="Aptos"/>
          <w:sz w:val="24"/>
          <w:szCs w:val="24"/>
        </w:rPr>
      </w:pPr>
      <w:r w:rsidRPr="00DB5E03">
        <w:rPr>
          <w:rFonts w:ascii="Aptos" w:hAnsi="Aptos"/>
          <w:sz w:val="24"/>
          <w:szCs w:val="24"/>
        </w:rPr>
        <w:br w:type="page"/>
      </w:r>
    </w:p>
    <w:p w14:paraId="58170C76" w14:textId="58DB8462" w:rsidR="00A82975" w:rsidRPr="00DB5E03" w:rsidRDefault="00A82975" w:rsidP="00A82975">
      <w:pPr>
        <w:pStyle w:val="Heading2"/>
        <w:rPr>
          <w:rFonts w:ascii="Aptos" w:hAnsi="Aptos"/>
          <w:sz w:val="24"/>
          <w:szCs w:val="24"/>
        </w:rPr>
      </w:pPr>
      <w:bookmarkStart w:id="44" w:name="_Toc213838232"/>
      <w:r w:rsidRPr="00DB5E03">
        <w:rPr>
          <w:rFonts w:ascii="Aptos" w:hAnsi="Aptos"/>
          <w:sz w:val="24"/>
          <w:szCs w:val="24"/>
        </w:rPr>
        <w:lastRenderedPageBreak/>
        <w:t xml:space="preserve">Appendix </w:t>
      </w:r>
      <w:r w:rsidR="00675ADB">
        <w:rPr>
          <w:rFonts w:ascii="Aptos" w:hAnsi="Aptos"/>
          <w:sz w:val="24"/>
          <w:szCs w:val="24"/>
        </w:rPr>
        <w:t>1</w:t>
      </w:r>
      <w:r w:rsidRPr="00DB5E03">
        <w:rPr>
          <w:rFonts w:ascii="Aptos" w:hAnsi="Aptos"/>
          <w:sz w:val="24"/>
          <w:szCs w:val="24"/>
        </w:rPr>
        <w:t>: FEE-HELP approval with conditions</w:t>
      </w:r>
      <w:bookmarkEnd w:id="44"/>
      <w:r w:rsidRPr="00DB5E03">
        <w:rPr>
          <w:rFonts w:ascii="Aptos" w:hAnsi="Aptos"/>
          <w:sz w:val="24"/>
          <w:szCs w:val="24"/>
        </w:rPr>
        <w:t xml:space="preserve"> </w:t>
      </w:r>
    </w:p>
    <w:p w14:paraId="1FF65ED5" w14:textId="77777777" w:rsidR="00A82975" w:rsidRPr="00DB5E03" w:rsidRDefault="00A82975" w:rsidP="00E62E4A">
      <w:pPr>
        <w:rPr>
          <w:rFonts w:ascii="Aptos" w:hAnsi="Aptos"/>
          <w:szCs w:val="24"/>
        </w:rPr>
      </w:pPr>
    </w:p>
    <w:p w14:paraId="3A9B157A" w14:textId="77777777" w:rsidR="00A82975" w:rsidRPr="00DB5E03" w:rsidRDefault="00A82975" w:rsidP="00E62E4A">
      <w:pPr>
        <w:rPr>
          <w:rFonts w:ascii="Aptos" w:hAnsi="Aptos"/>
          <w:szCs w:val="24"/>
        </w:rPr>
      </w:pPr>
    </w:p>
    <w:p w14:paraId="6A93C149" w14:textId="77777777" w:rsidR="00A82975" w:rsidRPr="00DB5E03" w:rsidRDefault="00A82975" w:rsidP="00A82975">
      <w:pPr>
        <w:spacing w:line="360" w:lineRule="auto"/>
        <w:ind w:right="-45"/>
        <w:jc w:val="center"/>
        <w:rPr>
          <w:rFonts w:ascii="Aptos" w:hAnsi="Aptos" w:cs="Arial"/>
          <w:b/>
          <w:i/>
          <w:szCs w:val="24"/>
        </w:rPr>
      </w:pPr>
      <w:r w:rsidRPr="00DB5E03">
        <w:rPr>
          <w:rFonts w:ascii="Aptos" w:hAnsi="Aptos" w:cs="Arial"/>
          <w:b/>
          <w:i/>
          <w:szCs w:val="24"/>
        </w:rPr>
        <w:t>NOTICE OF APPROVAL</w:t>
      </w:r>
    </w:p>
    <w:p w14:paraId="416AF0CD" w14:textId="77777777" w:rsidR="00A82975" w:rsidRPr="00DB5E03" w:rsidRDefault="00A82975" w:rsidP="00A82975">
      <w:pPr>
        <w:spacing w:line="360" w:lineRule="auto"/>
        <w:ind w:right="-45"/>
        <w:jc w:val="center"/>
        <w:rPr>
          <w:rFonts w:ascii="Aptos" w:hAnsi="Aptos" w:cs="Arial"/>
          <w:b/>
          <w:szCs w:val="24"/>
        </w:rPr>
      </w:pPr>
      <w:r w:rsidRPr="00DB5E03">
        <w:rPr>
          <w:rFonts w:ascii="Aptos" w:hAnsi="Aptos" w:cs="Arial"/>
          <w:b/>
          <w:szCs w:val="24"/>
        </w:rPr>
        <w:t>COMMONWEALTH OF AUSTRALIA</w:t>
      </w:r>
    </w:p>
    <w:p w14:paraId="3EA4B5CD" w14:textId="77777777" w:rsidR="00A82975" w:rsidRPr="00DB5E03" w:rsidRDefault="00A82975" w:rsidP="00A82975">
      <w:pPr>
        <w:spacing w:line="360" w:lineRule="auto"/>
        <w:ind w:right="-45"/>
        <w:jc w:val="center"/>
        <w:rPr>
          <w:rFonts w:ascii="Aptos" w:hAnsi="Aptos" w:cs="Arial"/>
          <w:b/>
          <w:i/>
          <w:szCs w:val="24"/>
        </w:rPr>
      </w:pPr>
      <w:r w:rsidRPr="00DB5E03">
        <w:rPr>
          <w:rFonts w:ascii="Aptos" w:hAnsi="Aptos" w:cs="Arial"/>
          <w:b/>
          <w:i/>
          <w:szCs w:val="24"/>
        </w:rPr>
        <w:t>Higher Education Support Act 2003</w:t>
      </w:r>
    </w:p>
    <w:p w14:paraId="4FDF3E55" w14:textId="77777777" w:rsidR="00A82975" w:rsidRPr="00DB5E03" w:rsidRDefault="00A82975" w:rsidP="00A82975">
      <w:pPr>
        <w:spacing w:line="360" w:lineRule="auto"/>
        <w:ind w:right="-45"/>
        <w:jc w:val="center"/>
        <w:rPr>
          <w:rFonts w:ascii="Aptos" w:hAnsi="Aptos" w:cs="Arial"/>
          <w:szCs w:val="24"/>
        </w:rPr>
      </w:pPr>
      <w:r w:rsidRPr="00DB5E03">
        <w:rPr>
          <w:rFonts w:ascii="Aptos" w:hAnsi="Aptos" w:cs="Arial"/>
          <w:b/>
          <w:szCs w:val="24"/>
        </w:rPr>
        <w:t>Higher Education Provider Approval No. X of 2020</w:t>
      </w:r>
    </w:p>
    <w:p w14:paraId="426719F2" w14:textId="77777777" w:rsidR="00A82975" w:rsidRPr="00DB5E03" w:rsidRDefault="00A82975" w:rsidP="00A82975">
      <w:pPr>
        <w:ind w:right="-45"/>
        <w:rPr>
          <w:rFonts w:ascii="Aptos" w:hAnsi="Aptos" w:cs="Arial"/>
          <w:szCs w:val="24"/>
        </w:rPr>
      </w:pPr>
    </w:p>
    <w:p w14:paraId="085B354E" w14:textId="77777777" w:rsidR="00A82975" w:rsidRPr="00DB5E03" w:rsidRDefault="00A82975" w:rsidP="00A82975">
      <w:pPr>
        <w:spacing w:after="120" w:line="360" w:lineRule="auto"/>
        <w:ind w:right="-45"/>
        <w:rPr>
          <w:rFonts w:ascii="Aptos" w:hAnsi="Aptos" w:cs="Arial"/>
          <w:b/>
          <w:szCs w:val="24"/>
          <w:u w:val="single"/>
        </w:rPr>
      </w:pPr>
      <w:r w:rsidRPr="00DB5E03">
        <w:rPr>
          <w:rFonts w:ascii="Aptos" w:hAnsi="Aptos" w:cs="Arial"/>
          <w:b/>
          <w:szCs w:val="24"/>
          <w:u w:val="single"/>
        </w:rPr>
        <w:t xml:space="preserve">Approval under section 16-25, decision under paragraph 16-50(1a), and Notice of Approval under paragraph 16-50(1b) to the </w:t>
      </w:r>
      <w:r w:rsidRPr="00DB5E03">
        <w:rPr>
          <w:rFonts w:ascii="Aptos" w:hAnsi="Aptos" w:cs="Arial"/>
          <w:b/>
          <w:i/>
          <w:szCs w:val="24"/>
          <w:u w:val="single"/>
        </w:rPr>
        <w:t xml:space="preserve">Higher Education Support Act 2003 </w:t>
      </w:r>
      <w:r w:rsidRPr="00DB5E03">
        <w:rPr>
          <w:rFonts w:ascii="Aptos" w:hAnsi="Aptos" w:cs="Arial"/>
          <w:b/>
          <w:szCs w:val="24"/>
          <w:u w:val="single"/>
        </w:rPr>
        <w:t>(the Act).</w:t>
      </w:r>
    </w:p>
    <w:p w14:paraId="2E18A364" w14:textId="77777777" w:rsidR="00A82975" w:rsidRPr="00DB5E03" w:rsidRDefault="00A82975" w:rsidP="00A82975">
      <w:pPr>
        <w:autoSpaceDE w:val="0"/>
        <w:autoSpaceDN w:val="0"/>
        <w:adjustRightInd w:val="0"/>
        <w:spacing w:after="120"/>
        <w:rPr>
          <w:rFonts w:ascii="Aptos" w:hAnsi="Aptos" w:cs="Arial"/>
          <w:szCs w:val="24"/>
        </w:rPr>
      </w:pPr>
      <w:r w:rsidRPr="00DB5E03">
        <w:rPr>
          <w:rFonts w:ascii="Aptos" w:hAnsi="Aptos" w:cs="Arial"/>
          <w:szCs w:val="24"/>
        </w:rPr>
        <w:t>I,</w:t>
      </w:r>
      <w:r w:rsidRPr="00DB5E03">
        <w:rPr>
          <w:rFonts w:ascii="Aptos" w:hAnsi="Aptos" w:cs="Calibri"/>
          <w:szCs w:val="24"/>
        </w:rPr>
        <w:t xml:space="preserve"> YYYY ZZZZ,</w:t>
      </w:r>
      <w:r w:rsidRPr="00DB5E03">
        <w:rPr>
          <w:rFonts w:ascii="Aptos" w:hAnsi="Aptos" w:cs="Arial"/>
          <w:szCs w:val="24"/>
        </w:rPr>
        <w:t xml:space="preserve"> a delegate of the Minister for </w:t>
      </w:r>
      <w:r w:rsidRPr="00DB5E03">
        <w:rPr>
          <w:rFonts w:ascii="Aptos" w:hAnsi="Aptos" w:cs="Calibri"/>
          <w:szCs w:val="24"/>
        </w:rPr>
        <w:t xml:space="preserve">Education for the purposes of 16-25, 16-50 and 16-60 of the </w:t>
      </w:r>
      <w:r w:rsidRPr="00DB5E03">
        <w:rPr>
          <w:rFonts w:ascii="Aptos" w:hAnsi="Aptos" w:cs="Calibri"/>
          <w:i/>
          <w:szCs w:val="24"/>
        </w:rPr>
        <w:t>Higher Education Support Act 2003</w:t>
      </w:r>
      <w:r w:rsidRPr="00DB5E03">
        <w:rPr>
          <w:rFonts w:ascii="Aptos" w:hAnsi="Aptos" w:cs="Calibri"/>
          <w:szCs w:val="24"/>
        </w:rPr>
        <w:t xml:space="preserve"> (the Act):</w:t>
      </w:r>
    </w:p>
    <w:p w14:paraId="0240F3B2" w14:textId="77777777" w:rsidR="00A82975" w:rsidRPr="00DB5E03" w:rsidRDefault="00A82975" w:rsidP="00A82975">
      <w:pPr>
        <w:numPr>
          <w:ilvl w:val="0"/>
          <w:numId w:val="20"/>
        </w:numPr>
        <w:tabs>
          <w:tab w:val="clear" w:pos="930"/>
          <w:tab w:val="num" w:pos="426"/>
        </w:tabs>
        <w:spacing w:line="276" w:lineRule="auto"/>
        <w:ind w:left="426" w:right="-45" w:hanging="426"/>
        <w:rPr>
          <w:rFonts w:ascii="Aptos" w:hAnsi="Aptos" w:cs="Arial"/>
          <w:szCs w:val="24"/>
        </w:rPr>
      </w:pPr>
      <w:r w:rsidRPr="00DB5E03">
        <w:rPr>
          <w:rFonts w:ascii="Aptos" w:hAnsi="Aptos" w:cs="Arial"/>
          <w:szCs w:val="24"/>
        </w:rPr>
        <w:t xml:space="preserve">approve the application of XXXX Institute of Higher Education Pty Ltd (ABN: 22 611 573 301, ACN: 611 573 301) as a higher education provider in accordance with section 16-25 of the Act; </w:t>
      </w:r>
    </w:p>
    <w:p w14:paraId="10D1A844" w14:textId="77777777" w:rsidR="00A82975" w:rsidRPr="00DB5E03" w:rsidRDefault="00A82975" w:rsidP="00A82975">
      <w:pPr>
        <w:numPr>
          <w:ilvl w:val="0"/>
          <w:numId w:val="20"/>
        </w:numPr>
        <w:tabs>
          <w:tab w:val="clear" w:pos="930"/>
          <w:tab w:val="num" w:pos="426"/>
        </w:tabs>
        <w:spacing w:line="276" w:lineRule="auto"/>
        <w:ind w:left="426" w:right="-45" w:hanging="426"/>
        <w:rPr>
          <w:rFonts w:ascii="Aptos" w:hAnsi="Aptos" w:cs="Arial"/>
          <w:szCs w:val="24"/>
        </w:rPr>
      </w:pPr>
      <w:r w:rsidRPr="00DB5E03">
        <w:rPr>
          <w:rFonts w:ascii="Aptos" w:hAnsi="Aptos" w:cs="Arial"/>
          <w:szCs w:val="24"/>
        </w:rPr>
        <w:t xml:space="preserve">impose conditions on the approval of XXXX Institute of Higher Education Pty Ltd as a higher education provider in accordance with paragraph 16-60 of the Act; </w:t>
      </w:r>
    </w:p>
    <w:p w14:paraId="5630FFD0" w14:textId="77777777" w:rsidR="00A82975" w:rsidRPr="00DB5E03" w:rsidRDefault="00A82975" w:rsidP="00A82975">
      <w:pPr>
        <w:numPr>
          <w:ilvl w:val="0"/>
          <w:numId w:val="20"/>
        </w:numPr>
        <w:tabs>
          <w:tab w:val="clear" w:pos="930"/>
          <w:tab w:val="num" w:pos="426"/>
          <w:tab w:val="num" w:pos="900"/>
        </w:tabs>
        <w:spacing w:line="276" w:lineRule="auto"/>
        <w:ind w:left="426" w:right="-45" w:hanging="426"/>
        <w:rPr>
          <w:rFonts w:ascii="Aptos" w:hAnsi="Aptos" w:cs="Arial"/>
          <w:szCs w:val="24"/>
        </w:rPr>
      </w:pPr>
      <w:r w:rsidRPr="00DB5E03">
        <w:rPr>
          <w:rFonts w:ascii="Aptos" w:hAnsi="Aptos" w:cs="Arial"/>
          <w:szCs w:val="24"/>
        </w:rPr>
        <w:t xml:space="preserve">note that this approval decides the application of XXXX Institute of Higher Education Pty Ltd as required by paragraph 16-50 (1a) of the Act; and </w:t>
      </w:r>
    </w:p>
    <w:p w14:paraId="30D2A781" w14:textId="77777777" w:rsidR="00A82975" w:rsidRPr="00DB5E03" w:rsidRDefault="00A82975" w:rsidP="00A82975">
      <w:pPr>
        <w:numPr>
          <w:ilvl w:val="0"/>
          <w:numId w:val="20"/>
        </w:numPr>
        <w:tabs>
          <w:tab w:val="clear" w:pos="930"/>
          <w:tab w:val="num" w:pos="426"/>
          <w:tab w:val="num" w:pos="900"/>
        </w:tabs>
        <w:spacing w:after="120" w:line="276" w:lineRule="auto"/>
        <w:ind w:left="426" w:right="-45" w:hanging="426"/>
        <w:rPr>
          <w:rFonts w:ascii="Aptos" w:hAnsi="Aptos" w:cs="Arial"/>
          <w:szCs w:val="24"/>
        </w:rPr>
      </w:pPr>
      <w:r w:rsidRPr="00DB5E03">
        <w:rPr>
          <w:rFonts w:ascii="Aptos" w:hAnsi="Aptos" w:cs="Arial"/>
          <w:szCs w:val="24"/>
        </w:rPr>
        <w:t>hereby give XXXX Institute of Higher Education Pty Ltd written notice of my approval as required by paragraph 16-50 (1b) of the Act.</w:t>
      </w:r>
    </w:p>
    <w:p w14:paraId="1C70CAA5" w14:textId="77777777" w:rsidR="00A82975" w:rsidRPr="00DB5E03" w:rsidRDefault="00A82975" w:rsidP="00A82975">
      <w:pPr>
        <w:spacing w:line="360" w:lineRule="auto"/>
        <w:ind w:right="-874"/>
        <w:rPr>
          <w:rFonts w:ascii="Aptos" w:hAnsi="Aptos" w:cstheme="minorHAnsi"/>
          <w:b/>
          <w:szCs w:val="24"/>
        </w:rPr>
      </w:pPr>
    </w:p>
    <w:p w14:paraId="2E1ADA0F" w14:textId="77777777" w:rsidR="00A82975" w:rsidRPr="00DB5E03" w:rsidRDefault="00A82975" w:rsidP="00A82975">
      <w:pPr>
        <w:spacing w:line="360" w:lineRule="auto"/>
        <w:ind w:right="-874"/>
        <w:rPr>
          <w:rFonts w:ascii="Aptos" w:hAnsi="Aptos" w:cstheme="minorHAnsi"/>
          <w:b/>
          <w:szCs w:val="24"/>
        </w:rPr>
      </w:pPr>
      <w:r w:rsidRPr="00DB5E03">
        <w:rPr>
          <w:rFonts w:ascii="Aptos" w:hAnsi="Aptos" w:cstheme="minorHAnsi"/>
          <w:b/>
          <w:szCs w:val="24"/>
        </w:rPr>
        <w:t>Conditions</w:t>
      </w:r>
    </w:p>
    <w:p w14:paraId="572C3B2D" w14:textId="77777777" w:rsidR="00A82975" w:rsidRPr="00DB5E03" w:rsidRDefault="00A82975" w:rsidP="00A82975">
      <w:pPr>
        <w:pStyle w:val="Text"/>
        <w:numPr>
          <w:ilvl w:val="0"/>
          <w:numId w:val="21"/>
        </w:numPr>
        <w:tabs>
          <w:tab w:val="clear" w:pos="1080"/>
          <w:tab w:val="num" w:pos="567"/>
        </w:tabs>
        <w:ind w:left="567" w:hanging="567"/>
        <w:rPr>
          <w:rFonts w:ascii="Aptos" w:hAnsi="Aptos" w:cstheme="minorHAnsi"/>
          <w:sz w:val="24"/>
          <w:szCs w:val="24"/>
        </w:rPr>
      </w:pPr>
      <w:r w:rsidRPr="00DB5E03">
        <w:rPr>
          <w:rFonts w:ascii="Aptos" w:hAnsi="Aptos" w:cstheme="minorHAnsi"/>
          <w:sz w:val="24"/>
          <w:szCs w:val="24"/>
        </w:rPr>
        <w:t>XXXX Institute of Higher Education Pty Ltd must maintain adequate liquidity levels as measured by a current ratio of 1.0 or above for the period of its approval.</w:t>
      </w:r>
    </w:p>
    <w:p w14:paraId="56E7235C" w14:textId="77777777" w:rsidR="00A82975" w:rsidRPr="00DB5E03" w:rsidRDefault="00A82975" w:rsidP="00A82975">
      <w:pPr>
        <w:pStyle w:val="Text"/>
        <w:numPr>
          <w:ilvl w:val="0"/>
          <w:numId w:val="21"/>
        </w:numPr>
        <w:tabs>
          <w:tab w:val="clear" w:pos="1080"/>
          <w:tab w:val="num" w:pos="567"/>
        </w:tabs>
        <w:ind w:left="567" w:hanging="567"/>
        <w:rPr>
          <w:rFonts w:ascii="Aptos" w:hAnsi="Aptos" w:cstheme="minorHAnsi"/>
          <w:sz w:val="24"/>
          <w:szCs w:val="24"/>
        </w:rPr>
      </w:pPr>
      <w:r w:rsidRPr="00DB5E03">
        <w:rPr>
          <w:rFonts w:ascii="Aptos" w:hAnsi="Aptos" w:cstheme="minorHAnsi"/>
          <w:sz w:val="24"/>
          <w:szCs w:val="24"/>
        </w:rPr>
        <w:t>XXXX Institute of Higher Education Pty Ltd must maintain a positive equity position for the period of its approval.</w:t>
      </w:r>
    </w:p>
    <w:p w14:paraId="7C445D7B" w14:textId="77777777" w:rsidR="00A82975" w:rsidRPr="00DB5E03" w:rsidRDefault="00A82975" w:rsidP="00A82975">
      <w:pPr>
        <w:pStyle w:val="Text"/>
        <w:numPr>
          <w:ilvl w:val="0"/>
          <w:numId w:val="21"/>
        </w:numPr>
        <w:tabs>
          <w:tab w:val="clear" w:pos="1080"/>
          <w:tab w:val="num" w:pos="567"/>
        </w:tabs>
        <w:ind w:left="567" w:hanging="567"/>
        <w:rPr>
          <w:rFonts w:ascii="Aptos" w:hAnsi="Aptos" w:cstheme="minorHAnsi"/>
          <w:sz w:val="24"/>
          <w:szCs w:val="24"/>
        </w:rPr>
      </w:pPr>
      <w:r w:rsidRPr="00DB5E03">
        <w:rPr>
          <w:rFonts w:ascii="Aptos" w:hAnsi="Aptos" w:cstheme="minorHAnsi"/>
          <w:sz w:val="24"/>
          <w:szCs w:val="24"/>
        </w:rPr>
        <w:t>XXXX Institute of Higher Education Pty Ltd will not provide any new guarantees or loans to its directors or related entities that could have a material effect on its finances.</w:t>
      </w:r>
    </w:p>
    <w:p w14:paraId="65C32873" w14:textId="77777777" w:rsidR="00A82975" w:rsidRPr="00DB5E03" w:rsidRDefault="00A82975" w:rsidP="00A82975">
      <w:pPr>
        <w:pStyle w:val="Text"/>
        <w:numPr>
          <w:ilvl w:val="0"/>
          <w:numId w:val="21"/>
        </w:numPr>
        <w:tabs>
          <w:tab w:val="clear" w:pos="1080"/>
          <w:tab w:val="num" w:pos="567"/>
        </w:tabs>
        <w:ind w:left="567" w:hanging="567"/>
        <w:rPr>
          <w:rFonts w:ascii="Aptos" w:hAnsi="Aptos" w:cstheme="minorHAnsi"/>
          <w:sz w:val="24"/>
          <w:szCs w:val="24"/>
        </w:rPr>
      </w:pPr>
      <w:r w:rsidRPr="00DB5E03">
        <w:rPr>
          <w:rFonts w:ascii="Aptos" w:hAnsi="Aptos" w:cstheme="minorHAnsi"/>
          <w:sz w:val="24"/>
          <w:szCs w:val="24"/>
        </w:rPr>
        <w:t xml:space="preserve">XXXX Institute of Higher Education Pty Ltd must not offer its assets as security for the benefit of any other person or entity including associated entities except as a consequence of any commercial loan arrangements with a recognised financial institution for the period of its approval. Associated entity has the meaning given by section 50AAA of the </w:t>
      </w:r>
      <w:r w:rsidRPr="00DB5E03">
        <w:rPr>
          <w:rFonts w:ascii="Aptos" w:hAnsi="Aptos" w:cstheme="minorHAnsi"/>
          <w:i/>
          <w:iCs/>
          <w:sz w:val="24"/>
          <w:szCs w:val="24"/>
        </w:rPr>
        <w:t>Corporations Act 2001.</w:t>
      </w:r>
    </w:p>
    <w:p w14:paraId="0AF3ABDB" w14:textId="77777777" w:rsidR="00A82975" w:rsidRPr="00DB5E03" w:rsidRDefault="00A82975" w:rsidP="00A82975">
      <w:pPr>
        <w:pStyle w:val="Text"/>
        <w:numPr>
          <w:ilvl w:val="0"/>
          <w:numId w:val="21"/>
        </w:numPr>
        <w:tabs>
          <w:tab w:val="clear" w:pos="1080"/>
          <w:tab w:val="num" w:pos="567"/>
        </w:tabs>
        <w:ind w:left="567" w:hanging="567"/>
        <w:rPr>
          <w:rFonts w:ascii="Aptos" w:hAnsi="Aptos" w:cstheme="minorHAnsi"/>
          <w:sz w:val="24"/>
          <w:szCs w:val="24"/>
        </w:rPr>
      </w:pPr>
      <w:r w:rsidRPr="00DB5E03">
        <w:rPr>
          <w:rFonts w:ascii="Aptos" w:hAnsi="Aptos" w:cstheme="minorHAnsi"/>
          <w:sz w:val="24"/>
          <w:szCs w:val="24"/>
        </w:rPr>
        <w:lastRenderedPageBreak/>
        <w:t xml:space="preserve">XXXX Institute of Higher Education Pty Ltd must provide the department responsible for administering the </w:t>
      </w:r>
      <w:r w:rsidRPr="00DB5E03">
        <w:rPr>
          <w:rFonts w:ascii="Aptos" w:hAnsi="Aptos" w:cstheme="minorHAnsi"/>
          <w:i/>
          <w:iCs/>
          <w:sz w:val="24"/>
          <w:szCs w:val="24"/>
        </w:rPr>
        <w:t xml:space="preserve">Higher Education Support Act 2003 </w:t>
      </w:r>
      <w:r w:rsidRPr="00DB5E03">
        <w:rPr>
          <w:rFonts w:ascii="Aptos" w:hAnsi="Aptos" w:cstheme="minorHAnsi"/>
          <w:sz w:val="24"/>
          <w:szCs w:val="24"/>
        </w:rPr>
        <w:t>with all required financial information as specified in the Financial Viability Instructions, on an annual basis by no later than 31 December each year for the period of its approval.</w:t>
      </w:r>
    </w:p>
    <w:p w14:paraId="4114AF80" w14:textId="77777777" w:rsidR="00A82975" w:rsidRPr="00DB5E03" w:rsidRDefault="00A82975" w:rsidP="00A82975">
      <w:pPr>
        <w:pStyle w:val="Text"/>
        <w:numPr>
          <w:ilvl w:val="0"/>
          <w:numId w:val="21"/>
        </w:numPr>
        <w:tabs>
          <w:tab w:val="clear" w:pos="1080"/>
          <w:tab w:val="num" w:pos="567"/>
        </w:tabs>
        <w:ind w:left="567" w:hanging="567"/>
        <w:rPr>
          <w:rFonts w:ascii="Aptos" w:hAnsi="Aptos" w:cstheme="minorHAnsi"/>
          <w:sz w:val="24"/>
          <w:szCs w:val="24"/>
        </w:rPr>
      </w:pPr>
      <w:r w:rsidRPr="00DB5E03">
        <w:rPr>
          <w:rFonts w:ascii="Aptos" w:hAnsi="Aptos" w:cstheme="minorHAnsi"/>
          <w:sz w:val="24"/>
          <w:szCs w:val="24"/>
        </w:rPr>
        <w:t xml:space="preserve">XXXX Institute of Higher Education Pty Ltd must, in writing, advise the department responsible for administering the </w:t>
      </w:r>
      <w:r w:rsidRPr="00DB5E03">
        <w:rPr>
          <w:rFonts w:ascii="Aptos" w:hAnsi="Aptos" w:cstheme="minorHAnsi"/>
          <w:i/>
          <w:iCs/>
          <w:sz w:val="24"/>
          <w:szCs w:val="24"/>
        </w:rPr>
        <w:t xml:space="preserve">Higher Education Support Act 2003 </w:t>
      </w:r>
      <w:r w:rsidRPr="00DB5E03">
        <w:rPr>
          <w:rFonts w:ascii="Aptos" w:hAnsi="Aptos" w:cstheme="minorHAnsi"/>
          <w:sz w:val="24"/>
          <w:szCs w:val="24"/>
        </w:rPr>
        <w:t>of any events affecting XXXX Institute of Higher Education Pty Ltd or a related entity that may significantly affect the capacity of XXXX Institute of Higher Education Pty Ltd to meet the quality and accountability requirements under the Act for the period of its approval. The written advice must be provided within 10 working days of the event occurring.</w:t>
      </w:r>
    </w:p>
    <w:p w14:paraId="519D8B27" w14:textId="77777777" w:rsidR="00A82975" w:rsidRPr="00DB5E03" w:rsidRDefault="00A82975" w:rsidP="00A82975">
      <w:pPr>
        <w:pStyle w:val="Text"/>
        <w:numPr>
          <w:ilvl w:val="0"/>
          <w:numId w:val="21"/>
        </w:numPr>
        <w:tabs>
          <w:tab w:val="clear" w:pos="1080"/>
          <w:tab w:val="num" w:pos="567"/>
        </w:tabs>
        <w:ind w:left="567" w:hanging="567"/>
        <w:rPr>
          <w:rFonts w:ascii="Aptos" w:hAnsi="Aptos" w:cstheme="minorHAnsi"/>
          <w:sz w:val="24"/>
          <w:szCs w:val="24"/>
        </w:rPr>
      </w:pPr>
      <w:r w:rsidRPr="00DB5E03">
        <w:rPr>
          <w:rFonts w:ascii="Aptos" w:hAnsi="Aptos" w:cstheme="minorHAnsi"/>
          <w:sz w:val="24"/>
          <w:szCs w:val="24"/>
        </w:rPr>
        <w:t xml:space="preserve">XXXX Institute of Higher Education Pty Ltd must inform the department responsible for administering the </w:t>
      </w:r>
      <w:r w:rsidRPr="00DB5E03">
        <w:rPr>
          <w:rFonts w:ascii="Aptos" w:hAnsi="Aptos" w:cstheme="minorHAnsi"/>
          <w:i/>
          <w:iCs/>
          <w:sz w:val="24"/>
          <w:szCs w:val="24"/>
        </w:rPr>
        <w:t xml:space="preserve">Higher Education Support Act 2003 </w:t>
      </w:r>
      <w:r w:rsidRPr="00DB5E03">
        <w:rPr>
          <w:rFonts w:ascii="Aptos" w:hAnsi="Aptos" w:cstheme="minorHAnsi"/>
          <w:sz w:val="24"/>
          <w:szCs w:val="24"/>
        </w:rPr>
        <w:t>in writing of changes to directors, company structure and/or its constitution for the period of its approval. The written advice must be provided within 10 working days of the event occurring.</w:t>
      </w:r>
    </w:p>
    <w:p w14:paraId="23F04637" w14:textId="77777777" w:rsidR="00A82975" w:rsidRPr="00DB5E03" w:rsidRDefault="00A82975" w:rsidP="00A82975">
      <w:pPr>
        <w:pStyle w:val="Text"/>
        <w:spacing w:before="0"/>
        <w:ind w:left="0"/>
        <w:rPr>
          <w:rFonts w:ascii="Aptos" w:hAnsi="Aptos" w:cstheme="minorHAnsi"/>
          <w:sz w:val="24"/>
          <w:szCs w:val="24"/>
        </w:rPr>
      </w:pPr>
    </w:p>
    <w:p w14:paraId="53C266CC" w14:textId="77777777" w:rsidR="00A82975" w:rsidRPr="00DB5E03" w:rsidRDefault="00A82975" w:rsidP="00A82975">
      <w:pPr>
        <w:pStyle w:val="ListParagraph"/>
        <w:numPr>
          <w:ilvl w:val="0"/>
          <w:numId w:val="21"/>
        </w:numPr>
        <w:tabs>
          <w:tab w:val="clear" w:pos="1080"/>
          <w:tab w:val="num" w:pos="567"/>
        </w:tabs>
        <w:autoSpaceDE w:val="0"/>
        <w:autoSpaceDN w:val="0"/>
        <w:adjustRightInd w:val="0"/>
        <w:ind w:left="567" w:right="0" w:hanging="567"/>
        <w:contextualSpacing/>
        <w:rPr>
          <w:rFonts w:ascii="Aptos" w:hAnsi="Aptos" w:cs="Calibri"/>
          <w:szCs w:val="24"/>
        </w:rPr>
      </w:pPr>
      <w:r w:rsidRPr="00DB5E03">
        <w:rPr>
          <w:rFonts w:ascii="Aptos" w:hAnsi="Aptos" w:cstheme="minorHAnsi"/>
          <w:szCs w:val="24"/>
        </w:rPr>
        <w:t>XXXX Institute of Higher Education Pty Ltd</w:t>
      </w:r>
      <w:r w:rsidRPr="00DB5E03">
        <w:rPr>
          <w:rFonts w:ascii="Aptos" w:hAnsi="Aptos" w:cs="Arial"/>
          <w:szCs w:val="24"/>
        </w:rPr>
        <w:t xml:space="preserve">, as soon as practicable, advise the department responsible for administering the </w:t>
      </w:r>
      <w:r w:rsidRPr="00DB5E03">
        <w:rPr>
          <w:rFonts w:ascii="Aptos" w:hAnsi="Aptos" w:cs="Arial"/>
          <w:i/>
          <w:szCs w:val="24"/>
        </w:rPr>
        <w:t>Higher Education Support Act 2003</w:t>
      </w:r>
      <w:r w:rsidRPr="00DB5E03">
        <w:rPr>
          <w:rFonts w:ascii="Aptos" w:hAnsi="Aptos" w:cs="Arial"/>
          <w:szCs w:val="24"/>
        </w:rPr>
        <w:t xml:space="preserve"> of any regulatory activity undertaken or being undertaken by the Tertiary Education Quality and Standards Authority or any other regulatory body which may impact upon its operations for the period of its approval.</w:t>
      </w:r>
    </w:p>
    <w:p w14:paraId="63EE9080" w14:textId="77777777" w:rsidR="00A82975" w:rsidRPr="00DB5E03" w:rsidRDefault="00A82975" w:rsidP="00A82975">
      <w:pPr>
        <w:pStyle w:val="ListParagraph"/>
        <w:rPr>
          <w:rFonts w:ascii="Aptos" w:hAnsi="Aptos" w:cstheme="minorHAnsi"/>
          <w:szCs w:val="24"/>
        </w:rPr>
      </w:pPr>
    </w:p>
    <w:p w14:paraId="522A6A05" w14:textId="77777777" w:rsidR="00A82975" w:rsidRPr="00DB5E03" w:rsidRDefault="00A82975" w:rsidP="00A82975">
      <w:pPr>
        <w:pStyle w:val="ListParagraph"/>
        <w:numPr>
          <w:ilvl w:val="0"/>
          <w:numId w:val="21"/>
        </w:numPr>
        <w:tabs>
          <w:tab w:val="clear" w:pos="1080"/>
          <w:tab w:val="num" w:pos="567"/>
        </w:tabs>
        <w:autoSpaceDE w:val="0"/>
        <w:autoSpaceDN w:val="0"/>
        <w:adjustRightInd w:val="0"/>
        <w:ind w:left="567" w:right="0" w:hanging="567"/>
        <w:contextualSpacing/>
        <w:rPr>
          <w:rFonts w:ascii="Aptos" w:hAnsi="Aptos" w:cs="Calibri"/>
          <w:szCs w:val="24"/>
        </w:rPr>
      </w:pPr>
      <w:r w:rsidRPr="00DB5E03">
        <w:rPr>
          <w:rFonts w:ascii="Aptos" w:hAnsi="Aptos" w:cstheme="minorHAnsi"/>
          <w:szCs w:val="24"/>
        </w:rPr>
        <w:t xml:space="preserve">XXXX Institute of Higher Education Pty Ltd </w:t>
      </w:r>
      <w:r w:rsidRPr="00DB5E03">
        <w:rPr>
          <w:rFonts w:ascii="Aptos" w:hAnsi="Aptos" w:cs="Arial"/>
          <w:szCs w:val="24"/>
        </w:rPr>
        <w:t xml:space="preserve">must, as soon as practicable, advise the department responsible for administering the </w:t>
      </w:r>
      <w:r w:rsidRPr="00DB5E03">
        <w:rPr>
          <w:rFonts w:ascii="Aptos" w:hAnsi="Aptos" w:cs="Arial"/>
          <w:i/>
          <w:szCs w:val="24"/>
        </w:rPr>
        <w:t>Higher Education Support Act 2003</w:t>
      </w:r>
      <w:r w:rsidRPr="00DB5E03">
        <w:rPr>
          <w:rFonts w:ascii="Aptos" w:hAnsi="Aptos" w:cs="Arial"/>
          <w:szCs w:val="24"/>
        </w:rPr>
        <w:t xml:space="preserve"> of any regulatory activity that has been or is being undertaken in relation to Australian Consumer Law and/or </w:t>
      </w:r>
      <w:proofErr w:type="gramStart"/>
      <w:r w:rsidRPr="00DB5E03">
        <w:rPr>
          <w:rFonts w:ascii="Aptos" w:hAnsi="Aptos" w:cs="Arial"/>
          <w:szCs w:val="24"/>
        </w:rPr>
        <w:t>fair trading</w:t>
      </w:r>
      <w:proofErr w:type="gramEnd"/>
      <w:r w:rsidRPr="00DB5E03">
        <w:rPr>
          <w:rFonts w:ascii="Aptos" w:hAnsi="Aptos" w:cs="Arial"/>
          <w:szCs w:val="24"/>
        </w:rPr>
        <w:t xml:space="preserve"> laws for the period of its approval. </w:t>
      </w:r>
    </w:p>
    <w:p w14:paraId="403234C2" w14:textId="77777777" w:rsidR="00A82975" w:rsidRPr="00DB5E03" w:rsidRDefault="00A82975" w:rsidP="00A82975">
      <w:pPr>
        <w:spacing w:line="276" w:lineRule="auto"/>
        <w:ind w:right="-45"/>
        <w:rPr>
          <w:rFonts w:ascii="Aptos" w:hAnsi="Aptos" w:cs="Arial"/>
          <w:szCs w:val="24"/>
        </w:rPr>
      </w:pPr>
    </w:p>
    <w:p w14:paraId="7413DD26" w14:textId="7B7AF9CA" w:rsidR="00A82975" w:rsidRPr="00DB5E03" w:rsidRDefault="00A82975" w:rsidP="009E518A">
      <w:pPr>
        <w:spacing w:line="276" w:lineRule="auto"/>
        <w:ind w:right="-45"/>
        <w:rPr>
          <w:rFonts w:ascii="Aptos" w:hAnsi="Aptos" w:cs="Arial"/>
          <w:szCs w:val="24"/>
        </w:rPr>
      </w:pPr>
      <w:r w:rsidRPr="00DB5E03">
        <w:rPr>
          <w:rFonts w:ascii="Aptos" w:hAnsi="Aptos" w:cs="Arial"/>
          <w:szCs w:val="24"/>
        </w:rPr>
        <w:t xml:space="preserve">In accordance with section 16-55 of the Act and section 12 of the </w:t>
      </w:r>
      <w:r w:rsidRPr="00DB5E03">
        <w:rPr>
          <w:rFonts w:ascii="Aptos" w:hAnsi="Aptos" w:cs="Arial"/>
          <w:i/>
          <w:szCs w:val="24"/>
        </w:rPr>
        <w:t xml:space="preserve">Legislation Act 2003 </w:t>
      </w:r>
      <w:r w:rsidRPr="00DB5E03">
        <w:rPr>
          <w:rFonts w:ascii="Aptos" w:hAnsi="Aptos" w:cs="Arial"/>
          <w:szCs w:val="24"/>
        </w:rPr>
        <w:t xml:space="preserve">this notice of approval commences on the day after it is registered on the Federal Register of Legislation. </w:t>
      </w:r>
    </w:p>
    <w:p w14:paraId="67D74F8A" w14:textId="77777777" w:rsidR="00A82975" w:rsidRPr="00DB5E03" w:rsidRDefault="00A82975" w:rsidP="00A82975">
      <w:pPr>
        <w:spacing w:line="360" w:lineRule="auto"/>
        <w:ind w:right="-45"/>
        <w:rPr>
          <w:rFonts w:ascii="Aptos" w:hAnsi="Aptos" w:cs="Arial"/>
          <w:i/>
          <w:szCs w:val="24"/>
        </w:rPr>
      </w:pPr>
      <w:r w:rsidRPr="00DB5E03">
        <w:rPr>
          <w:rFonts w:ascii="Aptos" w:hAnsi="Aptos" w:cs="Arial"/>
          <w:i/>
          <w:szCs w:val="24"/>
        </w:rPr>
        <w:t>Date: 20 November 2020</w:t>
      </w:r>
    </w:p>
    <w:p w14:paraId="4A135D10" w14:textId="77777777" w:rsidR="00A82975" w:rsidRPr="00DB5E03" w:rsidRDefault="00A82975" w:rsidP="00A82975">
      <w:pPr>
        <w:autoSpaceDE w:val="0"/>
        <w:autoSpaceDN w:val="0"/>
        <w:adjustRightInd w:val="0"/>
        <w:rPr>
          <w:rFonts w:ascii="Aptos" w:hAnsi="Aptos" w:cs="Calibri"/>
          <w:szCs w:val="24"/>
        </w:rPr>
      </w:pPr>
      <w:r w:rsidRPr="00DB5E03">
        <w:rPr>
          <w:rFonts w:ascii="Aptos" w:hAnsi="Aptos" w:cs="Calibri"/>
          <w:szCs w:val="24"/>
        </w:rPr>
        <w:t>YYYY ZZZZ</w:t>
      </w:r>
      <w:r w:rsidRPr="00DB5E03">
        <w:rPr>
          <w:rFonts w:ascii="Aptos" w:hAnsi="Aptos" w:cs="Calibri"/>
          <w:szCs w:val="24"/>
        </w:rPr>
        <w:br/>
      </w:r>
      <w:r w:rsidRPr="00DB5E03">
        <w:rPr>
          <w:rFonts w:ascii="Aptos" w:hAnsi="Aptos" w:cstheme="minorHAnsi"/>
          <w:color w:val="000000"/>
          <w:szCs w:val="24"/>
        </w:rPr>
        <w:t>First Assistant Secretary</w:t>
      </w:r>
      <w:r w:rsidRPr="00DB5E03">
        <w:rPr>
          <w:rFonts w:ascii="Aptos" w:hAnsi="Aptos"/>
          <w:szCs w:val="24"/>
        </w:rPr>
        <w:br/>
      </w:r>
      <w:r w:rsidRPr="00DB5E03">
        <w:rPr>
          <w:rFonts w:ascii="Aptos" w:hAnsi="Aptos" w:cstheme="minorHAnsi"/>
          <w:color w:val="000000"/>
          <w:szCs w:val="24"/>
        </w:rPr>
        <w:t>HELP and Provider Integrity Branch</w:t>
      </w:r>
    </w:p>
    <w:p w14:paraId="63E61949" w14:textId="77777777" w:rsidR="00A82975" w:rsidRPr="00DB5E03" w:rsidRDefault="00A82975" w:rsidP="00A82975">
      <w:pPr>
        <w:spacing w:line="360" w:lineRule="auto"/>
        <w:ind w:right="-45"/>
        <w:rPr>
          <w:rFonts w:ascii="Aptos" w:hAnsi="Aptos" w:cs="Calibri"/>
          <w:szCs w:val="24"/>
        </w:rPr>
      </w:pPr>
      <w:r w:rsidRPr="00DB5E03">
        <w:rPr>
          <w:rFonts w:ascii="Aptos" w:hAnsi="Aptos" w:cs="Arial"/>
          <w:szCs w:val="24"/>
        </w:rPr>
        <w:t>Delegate of the Minister for</w:t>
      </w:r>
      <w:r w:rsidRPr="00DB5E03">
        <w:rPr>
          <w:rFonts w:ascii="Aptos" w:hAnsi="Aptos" w:cs="Calibri"/>
          <w:szCs w:val="24"/>
        </w:rPr>
        <w:t xml:space="preserve"> Education, Skills and Employment</w:t>
      </w:r>
    </w:p>
    <w:p w14:paraId="6098858C" w14:textId="49A0D869" w:rsidR="003F7371" w:rsidRPr="00DB5E03" w:rsidRDefault="003F7371" w:rsidP="00E62E4A">
      <w:pPr>
        <w:rPr>
          <w:rFonts w:ascii="Aptos" w:hAnsi="Aptos"/>
          <w:szCs w:val="24"/>
        </w:rPr>
      </w:pPr>
      <w:r w:rsidRPr="00DB5E03">
        <w:rPr>
          <w:rFonts w:ascii="Aptos" w:hAnsi="Aptos"/>
          <w:szCs w:val="24"/>
        </w:rPr>
        <w:br w:type="page"/>
      </w:r>
    </w:p>
    <w:p w14:paraId="6D91F215" w14:textId="6B7FC418" w:rsidR="00675ADB" w:rsidRPr="00DB5E03" w:rsidRDefault="00675ADB" w:rsidP="00675ADB">
      <w:pPr>
        <w:pStyle w:val="Heading2"/>
        <w:rPr>
          <w:rFonts w:ascii="Aptos" w:hAnsi="Aptos"/>
          <w:sz w:val="24"/>
          <w:szCs w:val="24"/>
        </w:rPr>
      </w:pPr>
      <w:bookmarkStart w:id="45" w:name="_Toc213838233"/>
      <w:r w:rsidRPr="00DB5E03">
        <w:rPr>
          <w:rFonts w:ascii="Aptos" w:hAnsi="Aptos"/>
          <w:sz w:val="24"/>
          <w:szCs w:val="24"/>
        </w:rPr>
        <w:lastRenderedPageBreak/>
        <w:t xml:space="preserve">Appendix </w:t>
      </w:r>
      <w:r>
        <w:rPr>
          <w:rFonts w:ascii="Aptos" w:hAnsi="Aptos"/>
          <w:sz w:val="24"/>
          <w:szCs w:val="24"/>
        </w:rPr>
        <w:t>2</w:t>
      </w:r>
      <w:r w:rsidRPr="00DB5E03">
        <w:rPr>
          <w:rFonts w:ascii="Aptos" w:hAnsi="Aptos"/>
          <w:sz w:val="24"/>
          <w:szCs w:val="24"/>
        </w:rPr>
        <w:t>: Higher education institutions ranked by student-assessed overall educational experience</w:t>
      </w:r>
      <w:bookmarkEnd w:id="45"/>
      <w:r w:rsidRPr="00DB5E03">
        <w:rPr>
          <w:rFonts w:ascii="Aptos" w:hAnsi="Aptos"/>
          <w:sz w:val="24"/>
          <w:szCs w:val="24"/>
        </w:rPr>
        <w:t xml:space="preserve">  </w:t>
      </w:r>
    </w:p>
    <w:tbl>
      <w:tblPr>
        <w:tblStyle w:val="TableGrid"/>
        <w:tblW w:w="0" w:type="auto"/>
        <w:tblInd w:w="119" w:type="dxa"/>
        <w:tblLook w:val="04A0" w:firstRow="1" w:lastRow="0" w:firstColumn="1" w:lastColumn="0" w:noHBand="0" w:noVBand="1"/>
      </w:tblPr>
      <w:tblGrid>
        <w:gridCol w:w="8897"/>
      </w:tblGrid>
      <w:tr w:rsidR="00675ADB" w:rsidRPr="00DB5E03" w14:paraId="3D440A20" w14:textId="77777777" w:rsidTr="00095A97">
        <w:tc>
          <w:tcPr>
            <w:tcW w:w="8897" w:type="dxa"/>
          </w:tcPr>
          <w:tbl>
            <w:tblPr>
              <w:tblW w:w="8701" w:type="dxa"/>
              <w:tblLook w:val="04A0" w:firstRow="1" w:lastRow="0" w:firstColumn="1" w:lastColumn="0" w:noHBand="0" w:noVBand="1"/>
            </w:tblPr>
            <w:tblGrid>
              <w:gridCol w:w="854"/>
              <w:gridCol w:w="3821"/>
              <w:gridCol w:w="1931"/>
              <w:gridCol w:w="2065"/>
            </w:tblGrid>
            <w:tr w:rsidR="00675ADB" w:rsidRPr="00DB5E03" w14:paraId="7D65A9EE" w14:textId="77777777" w:rsidTr="00095A97">
              <w:trPr>
                <w:trHeight w:val="3465"/>
              </w:trPr>
              <w:tc>
                <w:tcPr>
                  <w:tcW w:w="856"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1300F2FD" w14:textId="77777777" w:rsidR="00675ADB" w:rsidRPr="00DB5E03" w:rsidRDefault="00675ADB" w:rsidP="00095A97">
                  <w:pPr>
                    <w:ind w:right="0"/>
                    <w:jc w:val="center"/>
                    <w:rPr>
                      <w:rFonts w:ascii="Aptos" w:eastAsia="Times New Roman" w:hAnsi="Aptos" w:cs="Calibri"/>
                      <w:b/>
                      <w:bCs/>
                      <w:color w:val="FFFFFF"/>
                      <w:szCs w:val="24"/>
                      <w:lang w:eastAsia="en-AU"/>
                    </w:rPr>
                  </w:pPr>
                  <w:r w:rsidRPr="00DB5E03">
                    <w:rPr>
                      <w:rFonts w:ascii="Aptos" w:eastAsia="Times New Roman" w:hAnsi="Aptos" w:cs="Calibri"/>
                      <w:b/>
                      <w:bCs/>
                      <w:color w:val="FFFFFF"/>
                      <w:szCs w:val="24"/>
                      <w:lang w:eastAsia="en-AU"/>
                    </w:rPr>
                    <w:t xml:space="preserve">Rank </w:t>
                  </w:r>
                </w:p>
              </w:tc>
              <w:tc>
                <w:tcPr>
                  <w:tcW w:w="3835" w:type="dxa"/>
                  <w:tcBorders>
                    <w:top w:val="single" w:sz="4" w:space="0" w:color="auto"/>
                    <w:left w:val="nil"/>
                    <w:bottom w:val="single" w:sz="4" w:space="0" w:color="auto"/>
                    <w:right w:val="single" w:sz="4" w:space="0" w:color="auto"/>
                  </w:tcBorders>
                  <w:shd w:val="clear" w:color="000000" w:fill="305496"/>
                  <w:noWrap/>
                  <w:vAlign w:val="bottom"/>
                  <w:hideMark/>
                </w:tcPr>
                <w:p w14:paraId="267681FE" w14:textId="77777777" w:rsidR="00675ADB" w:rsidRPr="00DB5E03" w:rsidRDefault="00675ADB" w:rsidP="00095A97">
                  <w:pPr>
                    <w:ind w:right="0"/>
                    <w:jc w:val="center"/>
                    <w:rPr>
                      <w:rFonts w:ascii="Aptos" w:eastAsia="Times New Roman" w:hAnsi="Aptos" w:cs="Calibri"/>
                      <w:b/>
                      <w:bCs/>
                      <w:color w:val="FFFFFF"/>
                      <w:szCs w:val="24"/>
                      <w:lang w:eastAsia="en-AU"/>
                    </w:rPr>
                  </w:pPr>
                  <w:proofErr w:type="gramStart"/>
                  <w:r w:rsidRPr="00DB5E03">
                    <w:rPr>
                      <w:rFonts w:ascii="Aptos" w:eastAsia="Times New Roman" w:hAnsi="Aptos" w:cs="Calibri"/>
                      <w:b/>
                      <w:bCs/>
                      <w:color w:val="FFFFFF"/>
                      <w:szCs w:val="24"/>
                      <w:lang w:eastAsia="en-AU"/>
                    </w:rPr>
                    <w:t>,Institution</w:t>
                  </w:r>
                  <w:proofErr w:type="gramEnd"/>
                  <w:r w:rsidRPr="00DB5E03">
                    <w:rPr>
                      <w:rFonts w:ascii="Aptos" w:eastAsia="Times New Roman" w:hAnsi="Aptos" w:cs="Calibri"/>
                      <w:b/>
                      <w:bCs/>
                      <w:color w:val="FFFFFF"/>
                      <w:szCs w:val="24"/>
                      <w:lang w:eastAsia="en-AU"/>
                    </w:rPr>
                    <w:t xml:space="preserve"> </w:t>
                  </w:r>
                </w:p>
              </w:tc>
              <w:tc>
                <w:tcPr>
                  <w:tcW w:w="1938" w:type="dxa"/>
                  <w:tcBorders>
                    <w:top w:val="single" w:sz="4" w:space="0" w:color="auto"/>
                    <w:left w:val="nil"/>
                    <w:bottom w:val="single" w:sz="4" w:space="0" w:color="auto"/>
                    <w:right w:val="single" w:sz="4" w:space="0" w:color="auto"/>
                  </w:tcBorders>
                  <w:shd w:val="clear" w:color="000000" w:fill="305496"/>
                  <w:vAlign w:val="center"/>
                  <w:hideMark/>
                </w:tcPr>
                <w:p w14:paraId="2B65BBF3" w14:textId="77777777" w:rsidR="00675ADB" w:rsidRPr="00DB5E03" w:rsidRDefault="00675ADB" w:rsidP="00095A97">
                  <w:pPr>
                    <w:ind w:right="0"/>
                    <w:jc w:val="center"/>
                    <w:rPr>
                      <w:rFonts w:ascii="Aptos" w:eastAsia="Times New Roman" w:hAnsi="Aptos" w:cs="Calibri"/>
                      <w:b/>
                      <w:bCs/>
                      <w:color w:val="FFFFFF"/>
                      <w:szCs w:val="24"/>
                      <w:lang w:eastAsia="en-AU"/>
                    </w:rPr>
                  </w:pPr>
                  <w:r w:rsidRPr="00DB5E03">
                    <w:rPr>
                      <w:rFonts w:ascii="Aptos" w:eastAsia="Times New Roman" w:hAnsi="Aptos" w:cs="Calibri"/>
                      <w:b/>
                      <w:bCs/>
                      <w:color w:val="FFFFFF"/>
                      <w:szCs w:val="24"/>
                      <w:lang w:eastAsia="en-AU"/>
                    </w:rPr>
                    <w:t>2024: Overall Educational Experience</w:t>
                  </w:r>
                </w:p>
              </w:tc>
              <w:tc>
                <w:tcPr>
                  <w:tcW w:w="2072" w:type="dxa"/>
                  <w:tcBorders>
                    <w:top w:val="single" w:sz="4" w:space="0" w:color="auto"/>
                    <w:left w:val="nil"/>
                    <w:bottom w:val="single" w:sz="4" w:space="0" w:color="auto"/>
                    <w:right w:val="single" w:sz="4" w:space="0" w:color="auto"/>
                  </w:tcBorders>
                  <w:shd w:val="clear" w:color="000000" w:fill="305496"/>
                  <w:vAlign w:val="center"/>
                  <w:hideMark/>
                </w:tcPr>
                <w:p w14:paraId="78E82879" w14:textId="77777777" w:rsidR="00675ADB" w:rsidRPr="00DB5E03" w:rsidRDefault="00675ADB" w:rsidP="00095A97">
                  <w:pPr>
                    <w:ind w:right="0"/>
                    <w:jc w:val="center"/>
                    <w:rPr>
                      <w:rFonts w:ascii="Aptos" w:eastAsia="Times New Roman" w:hAnsi="Aptos" w:cs="Calibri"/>
                      <w:b/>
                      <w:bCs/>
                      <w:color w:val="FFFFFF"/>
                      <w:szCs w:val="24"/>
                      <w:lang w:eastAsia="en-AU"/>
                    </w:rPr>
                  </w:pPr>
                  <w:r w:rsidRPr="00DB5E03">
                    <w:rPr>
                      <w:rFonts w:ascii="Aptos" w:eastAsia="Times New Roman" w:hAnsi="Aptos" w:cs="Calibri"/>
                      <w:b/>
                      <w:bCs/>
                      <w:color w:val="FFFFFF"/>
                      <w:szCs w:val="24"/>
                      <w:lang w:eastAsia="en-AU"/>
                    </w:rPr>
                    <w:t>2024: Overall Educational Experience (90% confidence intervals)</w:t>
                  </w:r>
                </w:p>
              </w:tc>
            </w:tr>
            <w:tr w:rsidR="00675ADB" w:rsidRPr="00DB5E03" w14:paraId="5868207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03518F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w:t>
                  </w:r>
                </w:p>
              </w:tc>
              <w:tc>
                <w:tcPr>
                  <w:tcW w:w="3835" w:type="dxa"/>
                  <w:tcBorders>
                    <w:top w:val="nil"/>
                    <w:left w:val="nil"/>
                    <w:bottom w:val="single" w:sz="4" w:space="0" w:color="auto"/>
                    <w:right w:val="single" w:sz="4" w:space="0" w:color="auto"/>
                  </w:tcBorders>
                  <w:shd w:val="clear" w:color="auto" w:fill="auto"/>
                  <w:noWrap/>
                  <w:vAlign w:val="bottom"/>
                  <w:hideMark/>
                </w:tcPr>
                <w:p w14:paraId="500B2E78"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Leaders Institute</w:t>
                  </w:r>
                </w:p>
              </w:tc>
              <w:tc>
                <w:tcPr>
                  <w:tcW w:w="1938" w:type="dxa"/>
                  <w:tcBorders>
                    <w:top w:val="nil"/>
                    <w:left w:val="nil"/>
                    <w:bottom w:val="single" w:sz="4" w:space="0" w:color="auto"/>
                    <w:right w:val="single" w:sz="4" w:space="0" w:color="auto"/>
                  </w:tcBorders>
                  <w:shd w:val="clear" w:color="auto" w:fill="auto"/>
                  <w:noWrap/>
                  <w:vAlign w:val="bottom"/>
                  <w:hideMark/>
                </w:tcPr>
                <w:p w14:paraId="580285A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100.0</w:t>
                  </w:r>
                </w:p>
              </w:tc>
              <w:tc>
                <w:tcPr>
                  <w:tcW w:w="2072" w:type="dxa"/>
                  <w:tcBorders>
                    <w:top w:val="nil"/>
                    <w:left w:val="nil"/>
                    <w:bottom w:val="single" w:sz="4" w:space="0" w:color="auto"/>
                    <w:right w:val="single" w:sz="4" w:space="0" w:color="auto"/>
                  </w:tcBorders>
                  <w:shd w:val="clear" w:color="auto" w:fill="auto"/>
                  <w:noWrap/>
                  <w:vAlign w:val="bottom"/>
                  <w:hideMark/>
                </w:tcPr>
                <w:p w14:paraId="73CE9CF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100.0</w:t>
                  </w:r>
                </w:p>
              </w:tc>
            </w:tr>
            <w:tr w:rsidR="00675ADB" w:rsidRPr="00DB5E03" w14:paraId="45F5DB6F"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DB18D2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w:t>
                  </w:r>
                </w:p>
              </w:tc>
              <w:tc>
                <w:tcPr>
                  <w:tcW w:w="3835" w:type="dxa"/>
                  <w:tcBorders>
                    <w:top w:val="nil"/>
                    <w:left w:val="nil"/>
                    <w:bottom w:val="single" w:sz="4" w:space="0" w:color="auto"/>
                    <w:right w:val="single" w:sz="4" w:space="0" w:color="auto"/>
                  </w:tcBorders>
                  <w:shd w:val="clear" w:color="auto" w:fill="auto"/>
                  <w:noWrap/>
                  <w:vAlign w:val="bottom"/>
                  <w:hideMark/>
                </w:tcPr>
                <w:p w14:paraId="0F8105E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 xml:space="preserve">The </w:t>
                  </w:r>
                  <w:proofErr w:type="spellStart"/>
                  <w:r w:rsidRPr="00DB5E03">
                    <w:rPr>
                      <w:rFonts w:ascii="Aptos" w:eastAsia="Times New Roman" w:hAnsi="Aptos" w:cs="Calibri"/>
                      <w:color w:val="000000"/>
                      <w:szCs w:val="24"/>
                      <w:lang w:eastAsia="en-AU"/>
                    </w:rPr>
                    <w:t>Cairnmillar</w:t>
                  </w:r>
                  <w:proofErr w:type="spellEnd"/>
                  <w:r w:rsidRPr="00DB5E03">
                    <w:rPr>
                      <w:rFonts w:ascii="Aptos" w:eastAsia="Times New Roman" w:hAnsi="Aptos" w:cs="Calibri"/>
                      <w:color w:val="000000"/>
                      <w:szCs w:val="24"/>
                      <w:lang w:eastAsia="en-AU"/>
                    </w:rPr>
                    <w:t xml:space="preserve"> Institute</w:t>
                  </w:r>
                </w:p>
              </w:tc>
              <w:tc>
                <w:tcPr>
                  <w:tcW w:w="1938" w:type="dxa"/>
                  <w:tcBorders>
                    <w:top w:val="nil"/>
                    <w:left w:val="nil"/>
                    <w:bottom w:val="single" w:sz="4" w:space="0" w:color="auto"/>
                    <w:right w:val="single" w:sz="4" w:space="0" w:color="auto"/>
                  </w:tcBorders>
                  <w:shd w:val="clear" w:color="auto" w:fill="auto"/>
                  <w:noWrap/>
                  <w:vAlign w:val="bottom"/>
                  <w:hideMark/>
                </w:tcPr>
                <w:p w14:paraId="63CC6EF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100.0</w:t>
                  </w:r>
                </w:p>
              </w:tc>
              <w:tc>
                <w:tcPr>
                  <w:tcW w:w="2072" w:type="dxa"/>
                  <w:tcBorders>
                    <w:top w:val="nil"/>
                    <w:left w:val="nil"/>
                    <w:bottom w:val="single" w:sz="4" w:space="0" w:color="auto"/>
                    <w:right w:val="single" w:sz="4" w:space="0" w:color="auto"/>
                  </w:tcBorders>
                  <w:shd w:val="clear" w:color="auto" w:fill="auto"/>
                  <w:noWrap/>
                  <w:vAlign w:val="bottom"/>
                  <w:hideMark/>
                </w:tcPr>
                <w:p w14:paraId="34CA0A3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100.0</w:t>
                  </w:r>
                </w:p>
              </w:tc>
            </w:tr>
            <w:tr w:rsidR="00675ADB" w:rsidRPr="00DB5E03" w14:paraId="1060821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3EFFEC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w:t>
                  </w:r>
                </w:p>
              </w:tc>
              <w:tc>
                <w:tcPr>
                  <w:tcW w:w="3835" w:type="dxa"/>
                  <w:tcBorders>
                    <w:top w:val="nil"/>
                    <w:left w:val="nil"/>
                    <w:bottom w:val="single" w:sz="4" w:space="0" w:color="auto"/>
                    <w:right w:val="single" w:sz="4" w:space="0" w:color="auto"/>
                  </w:tcBorders>
                  <w:shd w:val="clear" w:color="auto" w:fill="auto"/>
                  <w:noWrap/>
                  <w:vAlign w:val="bottom"/>
                  <w:hideMark/>
                </w:tcPr>
                <w:p w14:paraId="290ED145"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Campion College Australia</w:t>
                  </w:r>
                </w:p>
              </w:tc>
              <w:tc>
                <w:tcPr>
                  <w:tcW w:w="1938" w:type="dxa"/>
                  <w:tcBorders>
                    <w:top w:val="nil"/>
                    <w:left w:val="nil"/>
                    <w:bottom w:val="single" w:sz="4" w:space="0" w:color="auto"/>
                    <w:right w:val="single" w:sz="4" w:space="0" w:color="auto"/>
                  </w:tcBorders>
                  <w:shd w:val="clear" w:color="auto" w:fill="auto"/>
                  <w:noWrap/>
                  <w:vAlign w:val="bottom"/>
                  <w:hideMark/>
                </w:tcPr>
                <w:p w14:paraId="387F12E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97.9</w:t>
                  </w:r>
                </w:p>
              </w:tc>
              <w:tc>
                <w:tcPr>
                  <w:tcW w:w="2072" w:type="dxa"/>
                  <w:tcBorders>
                    <w:top w:val="nil"/>
                    <w:left w:val="nil"/>
                    <w:bottom w:val="single" w:sz="4" w:space="0" w:color="auto"/>
                    <w:right w:val="single" w:sz="4" w:space="0" w:color="auto"/>
                  </w:tcBorders>
                  <w:shd w:val="clear" w:color="auto" w:fill="auto"/>
                  <w:noWrap/>
                  <w:vAlign w:val="bottom"/>
                  <w:hideMark/>
                </w:tcPr>
                <w:p w14:paraId="7E0491F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97.9 (91.4, 99.1)</w:t>
                  </w:r>
                </w:p>
              </w:tc>
            </w:tr>
            <w:tr w:rsidR="00675ADB" w:rsidRPr="00DB5E03" w14:paraId="45D99C7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16C037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w:t>
                  </w:r>
                </w:p>
              </w:tc>
              <w:tc>
                <w:tcPr>
                  <w:tcW w:w="3835" w:type="dxa"/>
                  <w:tcBorders>
                    <w:top w:val="nil"/>
                    <w:left w:val="nil"/>
                    <w:bottom w:val="single" w:sz="4" w:space="0" w:color="auto"/>
                    <w:right w:val="single" w:sz="4" w:space="0" w:color="auto"/>
                  </w:tcBorders>
                  <w:shd w:val="clear" w:color="auto" w:fill="auto"/>
                  <w:noWrap/>
                  <w:vAlign w:val="bottom"/>
                  <w:hideMark/>
                </w:tcPr>
                <w:p w14:paraId="07CE259B"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Tabor College of Higher Education</w:t>
                  </w:r>
                </w:p>
              </w:tc>
              <w:tc>
                <w:tcPr>
                  <w:tcW w:w="1938" w:type="dxa"/>
                  <w:tcBorders>
                    <w:top w:val="nil"/>
                    <w:left w:val="nil"/>
                    <w:bottom w:val="single" w:sz="4" w:space="0" w:color="auto"/>
                    <w:right w:val="single" w:sz="4" w:space="0" w:color="auto"/>
                  </w:tcBorders>
                  <w:shd w:val="clear" w:color="auto" w:fill="auto"/>
                  <w:noWrap/>
                  <w:vAlign w:val="bottom"/>
                  <w:hideMark/>
                </w:tcPr>
                <w:p w14:paraId="0A856D5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96.1</w:t>
                  </w:r>
                </w:p>
              </w:tc>
              <w:tc>
                <w:tcPr>
                  <w:tcW w:w="2072" w:type="dxa"/>
                  <w:tcBorders>
                    <w:top w:val="nil"/>
                    <w:left w:val="nil"/>
                    <w:bottom w:val="single" w:sz="4" w:space="0" w:color="auto"/>
                    <w:right w:val="single" w:sz="4" w:space="0" w:color="auto"/>
                  </w:tcBorders>
                  <w:shd w:val="clear" w:color="auto" w:fill="auto"/>
                  <w:noWrap/>
                  <w:vAlign w:val="bottom"/>
                  <w:hideMark/>
                </w:tcPr>
                <w:p w14:paraId="3BBFBD9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96.1 (93.1, 97.4)</w:t>
                  </w:r>
                </w:p>
              </w:tc>
            </w:tr>
            <w:tr w:rsidR="00675ADB" w:rsidRPr="00DB5E03" w14:paraId="568205F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854E4D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w:t>
                  </w:r>
                </w:p>
              </w:tc>
              <w:tc>
                <w:tcPr>
                  <w:tcW w:w="3835" w:type="dxa"/>
                  <w:tcBorders>
                    <w:top w:val="nil"/>
                    <w:left w:val="nil"/>
                    <w:bottom w:val="single" w:sz="4" w:space="0" w:color="auto"/>
                    <w:right w:val="single" w:sz="4" w:space="0" w:color="auto"/>
                  </w:tcBorders>
                  <w:shd w:val="clear" w:color="auto" w:fill="auto"/>
                  <w:noWrap/>
                  <w:vAlign w:val="bottom"/>
                  <w:hideMark/>
                </w:tcPr>
                <w:p w14:paraId="7BDCC561"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Chiropractic College</w:t>
                  </w:r>
                </w:p>
              </w:tc>
              <w:tc>
                <w:tcPr>
                  <w:tcW w:w="1938" w:type="dxa"/>
                  <w:tcBorders>
                    <w:top w:val="nil"/>
                    <w:left w:val="nil"/>
                    <w:bottom w:val="single" w:sz="4" w:space="0" w:color="auto"/>
                    <w:right w:val="single" w:sz="4" w:space="0" w:color="auto"/>
                  </w:tcBorders>
                  <w:shd w:val="clear" w:color="auto" w:fill="auto"/>
                  <w:noWrap/>
                  <w:vAlign w:val="bottom"/>
                  <w:hideMark/>
                </w:tcPr>
                <w:p w14:paraId="5F8D04E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96.0</w:t>
                  </w:r>
                </w:p>
              </w:tc>
              <w:tc>
                <w:tcPr>
                  <w:tcW w:w="2072" w:type="dxa"/>
                  <w:tcBorders>
                    <w:top w:val="nil"/>
                    <w:left w:val="nil"/>
                    <w:bottom w:val="single" w:sz="4" w:space="0" w:color="auto"/>
                    <w:right w:val="single" w:sz="4" w:space="0" w:color="auto"/>
                  </w:tcBorders>
                  <w:shd w:val="clear" w:color="auto" w:fill="auto"/>
                  <w:noWrap/>
                  <w:vAlign w:val="bottom"/>
                  <w:hideMark/>
                </w:tcPr>
                <w:p w14:paraId="400337D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96.0 (91.5, 97.3)</w:t>
                  </w:r>
                </w:p>
              </w:tc>
            </w:tr>
            <w:tr w:rsidR="00675ADB" w:rsidRPr="00DB5E03" w14:paraId="66995AE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52C1D9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w:t>
                  </w:r>
                </w:p>
              </w:tc>
              <w:tc>
                <w:tcPr>
                  <w:tcW w:w="3835" w:type="dxa"/>
                  <w:tcBorders>
                    <w:top w:val="nil"/>
                    <w:left w:val="nil"/>
                    <w:bottom w:val="single" w:sz="4" w:space="0" w:color="auto"/>
                    <w:right w:val="single" w:sz="4" w:space="0" w:color="auto"/>
                  </w:tcBorders>
                  <w:shd w:val="clear" w:color="auto" w:fill="auto"/>
                  <w:noWrap/>
                  <w:vAlign w:val="bottom"/>
                  <w:hideMark/>
                </w:tcPr>
                <w:p w14:paraId="1878E90D"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Marcus Oldham College</w:t>
                  </w:r>
                </w:p>
              </w:tc>
              <w:tc>
                <w:tcPr>
                  <w:tcW w:w="1938" w:type="dxa"/>
                  <w:tcBorders>
                    <w:top w:val="nil"/>
                    <w:left w:val="nil"/>
                    <w:bottom w:val="single" w:sz="4" w:space="0" w:color="auto"/>
                    <w:right w:val="single" w:sz="4" w:space="0" w:color="auto"/>
                  </w:tcBorders>
                  <w:shd w:val="clear" w:color="auto" w:fill="auto"/>
                  <w:noWrap/>
                  <w:vAlign w:val="bottom"/>
                  <w:hideMark/>
                </w:tcPr>
                <w:p w14:paraId="7191697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95.3</w:t>
                  </w:r>
                </w:p>
              </w:tc>
              <w:tc>
                <w:tcPr>
                  <w:tcW w:w="2072" w:type="dxa"/>
                  <w:tcBorders>
                    <w:top w:val="nil"/>
                    <w:left w:val="nil"/>
                    <w:bottom w:val="single" w:sz="4" w:space="0" w:color="auto"/>
                    <w:right w:val="single" w:sz="4" w:space="0" w:color="auto"/>
                  </w:tcBorders>
                  <w:shd w:val="clear" w:color="auto" w:fill="auto"/>
                  <w:noWrap/>
                  <w:vAlign w:val="bottom"/>
                  <w:hideMark/>
                </w:tcPr>
                <w:p w14:paraId="728800F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95.3 (92.1, 96.3)</w:t>
                  </w:r>
                </w:p>
              </w:tc>
            </w:tr>
            <w:tr w:rsidR="00675ADB" w:rsidRPr="00DB5E03" w14:paraId="51BA57B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440DD5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w:t>
                  </w:r>
                </w:p>
              </w:tc>
              <w:tc>
                <w:tcPr>
                  <w:tcW w:w="3835" w:type="dxa"/>
                  <w:tcBorders>
                    <w:top w:val="nil"/>
                    <w:left w:val="nil"/>
                    <w:bottom w:val="single" w:sz="4" w:space="0" w:color="auto"/>
                    <w:right w:val="single" w:sz="4" w:space="0" w:color="auto"/>
                  </w:tcBorders>
                  <w:shd w:val="clear" w:color="auto" w:fill="auto"/>
                  <w:noWrap/>
                  <w:vAlign w:val="bottom"/>
                  <w:hideMark/>
                </w:tcPr>
                <w:p w14:paraId="6777CD0F"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University of Theology</w:t>
                  </w:r>
                </w:p>
              </w:tc>
              <w:tc>
                <w:tcPr>
                  <w:tcW w:w="1938" w:type="dxa"/>
                  <w:tcBorders>
                    <w:top w:val="nil"/>
                    <w:left w:val="nil"/>
                    <w:bottom w:val="single" w:sz="4" w:space="0" w:color="auto"/>
                    <w:right w:val="single" w:sz="4" w:space="0" w:color="auto"/>
                  </w:tcBorders>
                  <w:shd w:val="clear" w:color="auto" w:fill="auto"/>
                  <w:noWrap/>
                  <w:vAlign w:val="bottom"/>
                  <w:hideMark/>
                </w:tcPr>
                <w:p w14:paraId="7A02A7B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95.2</w:t>
                  </w:r>
                </w:p>
              </w:tc>
              <w:tc>
                <w:tcPr>
                  <w:tcW w:w="2072" w:type="dxa"/>
                  <w:tcBorders>
                    <w:top w:val="nil"/>
                    <w:left w:val="nil"/>
                    <w:bottom w:val="single" w:sz="4" w:space="0" w:color="auto"/>
                    <w:right w:val="single" w:sz="4" w:space="0" w:color="auto"/>
                  </w:tcBorders>
                  <w:shd w:val="clear" w:color="auto" w:fill="auto"/>
                  <w:noWrap/>
                  <w:vAlign w:val="bottom"/>
                  <w:hideMark/>
                </w:tcPr>
                <w:p w14:paraId="52E90D9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95.2 (93.3, 96.3)</w:t>
                  </w:r>
                </w:p>
              </w:tc>
            </w:tr>
            <w:tr w:rsidR="00675ADB" w:rsidRPr="00DB5E03" w14:paraId="70149D5F"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4C3810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w:t>
                  </w:r>
                </w:p>
              </w:tc>
              <w:tc>
                <w:tcPr>
                  <w:tcW w:w="3835" w:type="dxa"/>
                  <w:tcBorders>
                    <w:top w:val="nil"/>
                    <w:left w:val="nil"/>
                    <w:bottom w:val="single" w:sz="4" w:space="0" w:color="auto"/>
                    <w:right w:val="single" w:sz="4" w:space="0" w:color="auto"/>
                  </w:tcBorders>
                  <w:shd w:val="clear" w:color="auto" w:fill="auto"/>
                  <w:noWrap/>
                  <w:vAlign w:val="bottom"/>
                  <w:hideMark/>
                </w:tcPr>
                <w:p w14:paraId="0B3A1EA6"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College of Christian Studies</w:t>
                  </w:r>
                </w:p>
              </w:tc>
              <w:tc>
                <w:tcPr>
                  <w:tcW w:w="1938" w:type="dxa"/>
                  <w:tcBorders>
                    <w:top w:val="nil"/>
                    <w:left w:val="nil"/>
                    <w:bottom w:val="single" w:sz="4" w:space="0" w:color="auto"/>
                    <w:right w:val="single" w:sz="4" w:space="0" w:color="auto"/>
                  </w:tcBorders>
                  <w:shd w:val="clear" w:color="auto" w:fill="auto"/>
                  <w:noWrap/>
                  <w:vAlign w:val="bottom"/>
                  <w:hideMark/>
                </w:tcPr>
                <w:p w14:paraId="4FB67AD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92.9</w:t>
                  </w:r>
                </w:p>
              </w:tc>
              <w:tc>
                <w:tcPr>
                  <w:tcW w:w="2072" w:type="dxa"/>
                  <w:tcBorders>
                    <w:top w:val="nil"/>
                    <w:left w:val="nil"/>
                    <w:bottom w:val="single" w:sz="4" w:space="0" w:color="auto"/>
                    <w:right w:val="single" w:sz="4" w:space="0" w:color="auto"/>
                  </w:tcBorders>
                  <w:shd w:val="clear" w:color="auto" w:fill="auto"/>
                  <w:noWrap/>
                  <w:vAlign w:val="bottom"/>
                  <w:hideMark/>
                </w:tcPr>
                <w:p w14:paraId="2692FD8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92.9 (82.6, 95.6)</w:t>
                  </w:r>
                </w:p>
              </w:tc>
            </w:tr>
            <w:tr w:rsidR="00675ADB" w:rsidRPr="00DB5E03" w14:paraId="40F0F82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1E63F5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w:t>
                  </w:r>
                </w:p>
              </w:tc>
              <w:tc>
                <w:tcPr>
                  <w:tcW w:w="3835" w:type="dxa"/>
                  <w:tcBorders>
                    <w:top w:val="nil"/>
                    <w:left w:val="nil"/>
                    <w:bottom w:val="single" w:sz="4" w:space="0" w:color="auto"/>
                    <w:right w:val="single" w:sz="4" w:space="0" w:color="auto"/>
                  </w:tcBorders>
                  <w:shd w:val="clear" w:color="auto" w:fill="auto"/>
                  <w:noWrap/>
                  <w:vAlign w:val="bottom"/>
                  <w:hideMark/>
                </w:tcPr>
                <w:p w14:paraId="5918FA4B"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Christian Heritage College</w:t>
                  </w:r>
                </w:p>
              </w:tc>
              <w:tc>
                <w:tcPr>
                  <w:tcW w:w="1938" w:type="dxa"/>
                  <w:tcBorders>
                    <w:top w:val="nil"/>
                    <w:left w:val="nil"/>
                    <w:bottom w:val="single" w:sz="4" w:space="0" w:color="auto"/>
                    <w:right w:val="single" w:sz="4" w:space="0" w:color="auto"/>
                  </w:tcBorders>
                  <w:shd w:val="clear" w:color="auto" w:fill="auto"/>
                  <w:noWrap/>
                  <w:vAlign w:val="bottom"/>
                  <w:hideMark/>
                </w:tcPr>
                <w:p w14:paraId="2E46FB9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92.4</w:t>
                  </w:r>
                </w:p>
              </w:tc>
              <w:tc>
                <w:tcPr>
                  <w:tcW w:w="2072" w:type="dxa"/>
                  <w:tcBorders>
                    <w:top w:val="nil"/>
                    <w:left w:val="nil"/>
                    <w:bottom w:val="single" w:sz="4" w:space="0" w:color="auto"/>
                    <w:right w:val="single" w:sz="4" w:space="0" w:color="auto"/>
                  </w:tcBorders>
                  <w:shd w:val="clear" w:color="auto" w:fill="auto"/>
                  <w:noWrap/>
                  <w:vAlign w:val="bottom"/>
                  <w:hideMark/>
                </w:tcPr>
                <w:p w14:paraId="742EC2B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92.4 (89.3, 94.3)</w:t>
                  </w:r>
                </w:p>
              </w:tc>
            </w:tr>
            <w:tr w:rsidR="00675ADB" w:rsidRPr="00DB5E03" w14:paraId="615BC1FF"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76C5B1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w:t>
                  </w:r>
                </w:p>
              </w:tc>
              <w:tc>
                <w:tcPr>
                  <w:tcW w:w="3835" w:type="dxa"/>
                  <w:tcBorders>
                    <w:top w:val="nil"/>
                    <w:left w:val="nil"/>
                    <w:bottom w:val="single" w:sz="4" w:space="0" w:color="auto"/>
                    <w:right w:val="single" w:sz="4" w:space="0" w:color="auto"/>
                  </w:tcBorders>
                  <w:shd w:val="clear" w:color="auto" w:fill="auto"/>
                  <w:noWrap/>
                  <w:vAlign w:val="bottom"/>
                  <w:hideMark/>
                </w:tcPr>
                <w:p w14:paraId="12F03FCE"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Moore Theological College</w:t>
                  </w:r>
                </w:p>
              </w:tc>
              <w:tc>
                <w:tcPr>
                  <w:tcW w:w="1938" w:type="dxa"/>
                  <w:tcBorders>
                    <w:top w:val="nil"/>
                    <w:left w:val="nil"/>
                    <w:bottom w:val="single" w:sz="4" w:space="0" w:color="auto"/>
                    <w:right w:val="single" w:sz="4" w:space="0" w:color="auto"/>
                  </w:tcBorders>
                  <w:shd w:val="clear" w:color="auto" w:fill="auto"/>
                  <w:noWrap/>
                  <w:vAlign w:val="bottom"/>
                  <w:hideMark/>
                </w:tcPr>
                <w:p w14:paraId="25CC746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92.1</w:t>
                  </w:r>
                </w:p>
              </w:tc>
              <w:tc>
                <w:tcPr>
                  <w:tcW w:w="2072" w:type="dxa"/>
                  <w:tcBorders>
                    <w:top w:val="nil"/>
                    <w:left w:val="nil"/>
                    <w:bottom w:val="single" w:sz="4" w:space="0" w:color="auto"/>
                    <w:right w:val="single" w:sz="4" w:space="0" w:color="auto"/>
                  </w:tcBorders>
                  <w:shd w:val="clear" w:color="auto" w:fill="auto"/>
                  <w:noWrap/>
                  <w:vAlign w:val="bottom"/>
                  <w:hideMark/>
                </w:tcPr>
                <w:p w14:paraId="2F9AD14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92.1 (88.7, 94.0)</w:t>
                  </w:r>
                </w:p>
              </w:tc>
            </w:tr>
            <w:tr w:rsidR="00675ADB" w:rsidRPr="00DB5E03" w14:paraId="7F2D61E3"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82E43B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w:t>
                  </w:r>
                </w:p>
              </w:tc>
              <w:tc>
                <w:tcPr>
                  <w:tcW w:w="3835" w:type="dxa"/>
                  <w:tcBorders>
                    <w:top w:val="nil"/>
                    <w:left w:val="nil"/>
                    <w:bottom w:val="single" w:sz="4" w:space="0" w:color="auto"/>
                    <w:right w:val="single" w:sz="4" w:space="0" w:color="auto"/>
                  </w:tcBorders>
                  <w:shd w:val="clear" w:color="auto" w:fill="auto"/>
                  <w:noWrap/>
                  <w:vAlign w:val="bottom"/>
                  <w:hideMark/>
                </w:tcPr>
                <w:p w14:paraId="41E92C95"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Divinity</w:t>
                  </w:r>
                </w:p>
              </w:tc>
              <w:tc>
                <w:tcPr>
                  <w:tcW w:w="1938" w:type="dxa"/>
                  <w:tcBorders>
                    <w:top w:val="nil"/>
                    <w:left w:val="nil"/>
                    <w:bottom w:val="single" w:sz="4" w:space="0" w:color="auto"/>
                    <w:right w:val="single" w:sz="4" w:space="0" w:color="auto"/>
                  </w:tcBorders>
                  <w:shd w:val="clear" w:color="auto" w:fill="auto"/>
                  <w:noWrap/>
                  <w:vAlign w:val="bottom"/>
                  <w:hideMark/>
                </w:tcPr>
                <w:p w14:paraId="29602D3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92.0</w:t>
                  </w:r>
                </w:p>
              </w:tc>
              <w:tc>
                <w:tcPr>
                  <w:tcW w:w="2072" w:type="dxa"/>
                  <w:tcBorders>
                    <w:top w:val="nil"/>
                    <w:left w:val="nil"/>
                    <w:bottom w:val="single" w:sz="4" w:space="0" w:color="auto"/>
                    <w:right w:val="single" w:sz="4" w:space="0" w:color="auto"/>
                  </w:tcBorders>
                  <w:shd w:val="clear" w:color="auto" w:fill="auto"/>
                  <w:noWrap/>
                  <w:vAlign w:val="bottom"/>
                  <w:hideMark/>
                </w:tcPr>
                <w:p w14:paraId="69B27B3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92.0 (86.3, 94.7)</w:t>
                  </w:r>
                </w:p>
              </w:tc>
            </w:tr>
            <w:tr w:rsidR="00675ADB" w:rsidRPr="00DB5E03" w14:paraId="3EB582B9"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B11462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12</w:t>
                  </w:r>
                </w:p>
              </w:tc>
              <w:tc>
                <w:tcPr>
                  <w:tcW w:w="3835" w:type="dxa"/>
                  <w:tcBorders>
                    <w:top w:val="nil"/>
                    <w:left w:val="nil"/>
                    <w:bottom w:val="single" w:sz="4" w:space="0" w:color="auto"/>
                    <w:right w:val="single" w:sz="4" w:space="0" w:color="auto"/>
                  </w:tcBorders>
                  <w:shd w:val="clear" w:color="auto" w:fill="auto"/>
                  <w:noWrap/>
                  <w:vAlign w:val="bottom"/>
                  <w:hideMark/>
                </w:tcPr>
                <w:p w14:paraId="30BD871C"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Adelaide Central School of Art</w:t>
                  </w:r>
                </w:p>
              </w:tc>
              <w:tc>
                <w:tcPr>
                  <w:tcW w:w="1938" w:type="dxa"/>
                  <w:tcBorders>
                    <w:top w:val="nil"/>
                    <w:left w:val="nil"/>
                    <w:bottom w:val="single" w:sz="4" w:space="0" w:color="auto"/>
                    <w:right w:val="single" w:sz="4" w:space="0" w:color="auto"/>
                  </w:tcBorders>
                  <w:shd w:val="clear" w:color="auto" w:fill="auto"/>
                  <w:noWrap/>
                  <w:vAlign w:val="bottom"/>
                  <w:hideMark/>
                </w:tcPr>
                <w:p w14:paraId="71F50C7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91.3</w:t>
                  </w:r>
                </w:p>
              </w:tc>
              <w:tc>
                <w:tcPr>
                  <w:tcW w:w="2072" w:type="dxa"/>
                  <w:tcBorders>
                    <w:top w:val="nil"/>
                    <w:left w:val="nil"/>
                    <w:bottom w:val="single" w:sz="4" w:space="0" w:color="auto"/>
                    <w:right w:val="single" w:sz="4" w:space="0" w:color="auto"/>
                  </w:tcBorders>
                  <w:shd w:val="clear" w:color="auto" w:fill="auto"/>
                  <w:noWrap/>
                  <w:vAlign w:val="bottom"/>
                  <w:hideMark/>
                </w:tcPr>
                <w:p w14:paraId="60EB51F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91.3 (87.1, 93.5)</w:t>
                  </w:r>
                </w:p>
              </w:tc>
            </w:tr>
            <w:tr w:rsidR="00675ADB" w:rsidRPr="00DB5E03" w14:paraId="42690267"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464B9F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13</w:t>
                  </w:r>
                </w:p>
              </w:tc>
              <w:tc>
                <w:tcPr>
                  <w:tcW w:w="3835" w:type="dxa"/>
                  <w:tcBorders>
                    <w:top w:val="nil"/>
                    <w:left w:val="nil"/>
                    <w:bottom w:val="single" w:sz="4" w:space="0" w:color="auto"/>
                    <w:right w:val="single" w:sz="4" w:space="0" w:color="auto"/>
                  </w:tcBorders>
                  <w:shd w:val="clear" w:color="auto" w:fill="auto"/>
                  <w:noWrap/>
                  <w:vAlign w:val="bottom"/>
                  <w:hideMark/>
                </w:tcPr>
                <w:p w14:paraId="373E1803"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Sheridan Institute of Higher Education</w:t>
                  </w:r>
                </w:p>
              </w:tc>
              <w:tc>
                <w:tcPr>
                  <w:tcW w:w="1938" w:type="dxa"/>
                  <w:tcBorders>
                    <w:top w:val="nil"/>
                    <w:left w:val="nil"/>
                    <w:bottom w:val="single" w:sz="4" w:space="0" w:color="auto"/>
                    <w:right w:val="single" w:sz="4" w:space="0" w:color="auto"/>
                  </w:tcBorders>
                  <w:shd w:val="clear" w:color="auto" w:fill="auto"/>
                  <w:noWrap/>
                  <w:vAlign w:val="bottom"/>
                  <w:hideMark/>
                </w:tcPr>
                <w:p w14:paraId="642BED2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91.2</w:t>
                  </w:r>
                </w:p>
              </w:tc>
              <w:tc>
                <w:tcPr>
                  <w:tcW w:w="2072" w:type="dxa"/>
                  <w:tcBorders>
                    <w:top w:val="nil"/>
                    <w:left w:val="nil"/>
                    <w:bottom w:val="single" w:sz="4" w:space="0" w:color="auto"/>
                    <w:right w:val="single" w:sz="4" w:space="0" w:color="auto"/>
                  </w:tcBorders>
                  <w:shd w:val="clear" w:color="auto" w:fill="auto"/>
                  <w:noWrap/>
                  <w:vAlign w:val="bottom"/>
                  <w:hideMark/>
                </w:tcPr>
                <w:p w14:paraId="0436B92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91.2 (85.0, 91.3)</w:t>
                  </w:r>
                </w:p>
              </w:tc>
            </w:tr>
            <w:tr w:rsidR="00675ADB" w:rsidRPr="00DB5E03" w14:paraId="49A8E64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18DF3F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14</w:t>
                  </w:r>
                </w:p>
              </w:tc>
              <w:tc>
                <w:tcPr>
                  <w:tcW w:w="3835" w:type="dxa"/>
                  <w:tcBorders>
                    <w:top w:val="nil"/>
                    <w:left w:val="nil"/>
                    <w:bottom w:val="single" w:sz="4" w:space="0" w:color="auto"/>
                    <w:right w:val="single" w:sz="4" w:space="0" w:color="auto"/>
                  </w:tcBorders>
                  <w:shd w:val="clear" w:color="auto" w:fill="auto"/>
                  <w:noWrap/>
                  <w:vAlign w:val="bottom"/>
                  <w:hideMark/>
                </w:tcPr>
                <w:p w14:paraId="4DD56708"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Equals International</w:t>
                  </w:r>
                </w:p>
              </w:tc>
              <w:tc>
                <w:tcPr>
                  <w:tcW w:w="1938" w:type="dxa"/>
                  <w:tcBorders>
                    <w:top w:val="nil"/>
                    <w:left w:val="nil"/>
                    <w:bottom w:val="single" w:sz="4" w:space="0" w:color="auto"/>
                    <w:right w:val="single" w:sz="4" w:space="0" w:color="auto"/>
                  </w:tcBorders>
                  <w:shd w:val="clear" w:color="auto" w:fill="auto"/>
                  <w:noWrap/>
                  <w:vAlign w:val="bottom"/>
                  <w:hideMark/>
                </w:tcPr>
                <w:p w14:paraId="0EDE740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90.1</w:t>
                  </w:r>
                </w:p>
              </w:tc>
              <w:tc>
                <w:tcPr>
                  <w:tcW w:w="2072" w:type="dxa"/>
                  <w:tcBorders>
                    <w:top w:val="nil"/>
                    <w:left w:val="nil"/>
                    <w:bottom w:val="single" w:sz="4" w:space="0" w:color="auto"/>
                    <w:right w:val="single" w:sz="4" w:space="0" w:color="auto"/>
                  </w:tcBorders>
                  <w:shd w:val="clear" w:color="auto" w:fill="auto"/>
                  <w:noWrap/>
                  <w:vAlign w:val="bottom"/>
                  <w:hideMark/>
                </w:tcPr>
                <w:p w14:paraId="0714F28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90.1 (85.9, 92.0)</w:t>
                  </w:r>
                </w:p>
              </w:tc>
            </w:tr>
            <w:tr w:rsidR="00675ADB" w:rsidRPr="00DB5E03" w14:paraId="74DA94C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F98203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15</w:t>
                  </w:r>
                </w:p>
              </w:tc>
              <w:tc>
                <w:tcPr>
                  <w:tcW w:w="3835" w:type="dxa"/>
                  <w:tcBorders>
                    <w:top w:val="nil"/>
                    <w:left w:val="nil"/>
                    <w:bottom w:val="single" w:sz="4" w:space="0" w:color="auto"/>
                    <w:right w:val="single" w:sz="4" w:space="0" w:color="auto"/>
                  </w:tcBorders>
                  <w:shd w:val="clear" w:color="auto" w:fill="auto"/>
                  <w:noWrap/>
                  <w:vAlign w:val="bottom"/>
                  <w:hideMark/>
                </w:tcPr>
                <w:p w14:paraId="3A17DA2F"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University College of Divinity</w:t>
                  </w:r>
                </w:p>
              </w:tc>
              <w:tc>
                <w:tcPr>
                  <w:tcW w:w="1938" w:type="dxa"/>
                  <w:tcBorders>
                    <w:top w:val="nil"/>
                    <w:left w:val="nil"/>
                    <w:bottom w:val="single" w:sz="4" w:space="0" w:color="auto"/>
                    <w:right w:val="single" w:sz="4" w:space="0" w:color="auto"/>
                  </w:tcBorders>
                  <w:shd w:val="clear" w:color="auto" w:fill="auto"/>
                  <w:noWrap/>
                  <w:vAlign w:val="bottom"/>
                  <w:hideMark/>
                </w:tcPr>
                <w:p w14:paraId="401A039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89.8</w:t>
                  </w:r>
                </w:p>
              </w:tc>
              <w:tc>
                <w:tcPr>
                  <w:tcW w:w="2072" w:type="dxa"/>
                  <w:tcBorders>
                    <w:top w:val="nil"/>
                    <w:left w:val="nil"/>
                    <w:bottom w:val="single" w:sz="4" w:space="0" w:color="auto"/>
                    <w:right w:val="single" w:sz="4" w:space="0" w:color="auto"/>
                  </w:tcBorders>
                  <w:shd w:val="clear" w:color="auto" w:fill="auto"/>
                  <w:noWrap/>
                  <w:vAlign w:val="bottom"/>
                  <w:hideMark/>
                </w:tcPr>
                <w:p w14:paraId="4108420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89.8 (86.5, 92.2)</w:t>
                  </w:r>
                </w:p>
              </w:tc>
            </w:tr>
            <w:tr w:rsidR="00675ADB" w:rsidRPr="00DB5E03" w14:paraId="7AABDB07"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08BA9D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16</w:t>
                  </w:r>
                </w:p>
              </w:tc>
              <w:tc>
                <w:tcPr>
                  <w:tcW w:w="3835" w:type="dxa"/>
                  <w:tcBorders>
                    <w:top w:val="nil"/>
                    <w:left w:val="nil"/>
                    <w:bottom w:val="single" w:sz="4" w:space="0" w:color="auto"/>
                    <w:right w:val="single" w:sz="4" w:space="0" w:color="auto"/>
                  </w:tcBorders>
                  <w:shd w:val="clear" w:color="auto" w:fill="auto"/>
                  <w:noWrap/>
                  <w:vAlign w:val="bottom"/>
                  <w:hideMark/>
                </w:tcPr>
                <w:p w14:paraId="09001CB1"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School of Accounting</w:t>
                  </w:r>
                </w:p>
              </w:tc>
              <w:tc>
                <w:tcPr>
                  <w:tcW w:w="1938" w:type="dxa"/>
                  <w:tcBorders>
                    <w:top w:val="nil"/>
                    <w:left w:val="nil"/>
                    <w:bottom w:val="single" w:sz="4" w:space="0" w:color="auto"/>
                    <w:right w:val="single" w:sz="4" w:space="0" w:color="auto"/>
                  </w:tcBorders>
                  <w:shd w:val="clear" w:color="auto" w:fill="auto"/>
                  <w:noWrap/>
                  <w:vAlign w:val="bottom"/>
                  <w:hideMark/>
                </w:tcPr>
                <w:p w14:paraId="6459558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88.9</w:t>
                  </w:r>
                </w:p>
              </w:tc>
              <w:tc>
                <w:tcPr>
                  <w:tcW w:w="2072" w:type="dxa"/>
                  <w:tcBorders>
                    <w:top w:val="nil"/>
                    <w:left w:val="nil"/>
                    <w:bottom w:val="single" w:sz="4" w:space="0" w:color="auto"/>
                    <w:right w:val="single" w:sz="4" w:space="0" w:color="auto"/>
                  </w:tcBorders>
                  <w:shd w:val="clear" w:color="auto" w:fill="auto"/>
                  <w:noWrap/>
                  <w:vAlign w:val="bottom"/>
                  <w:hideMark/>
                </w:tcPr>
                <w:p w14:paraId="52329C8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88.9 (81.0, 93.5)</w:t>
                  </w:r>
                </w:p>
              </w:tc>
            </w:tr>
            <w:tr w:rsidR="00675ADB" w:rsidRPr="00DB5E03" w14:paraId="425504D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DFEA2A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17</w:t>
                  </w:r>
                </w:p>
              </w:tc>
              <w:tc>
                <w:tcPr>
                  <w:tcW w:w="3835" w:type="dxa"/>
                  <w:tcBorders>
                    <w:top w:val="nil"/>
                    <w:left w:val="nil"/>
                    <w:bottom w:val="single" w:sz="4" w:space="0" w:color="auto"/>
                    <w:right w:val="single" w:sz="4" w:space="0" w:color="auto"/>
                  </w:tcBorders>
                  <w:shd w:val="clear" w:color="auto" w:fill="auto"/>
                  <w:noWrap/>
                  <w:vAlign w:val="bottom"/>
                  <w:hideMark/>
                </w:tcPr>
                <w:p w14:paraId="1CB2343D"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Avondale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7B8AC6A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88.8</w:t>
                  </w:r>
                </w:p>
              </w:tc>
              <w:tc>
                <w:tcPr>
                  <w:tcW w:w="2072" w:type="dxa"/>
                  <w:tcBorders>
                    <w:top w:val="nil"/>
                    <w:left w:val="nil"/>
                    <w:bottom w:val="single" w:sz="4" w:space="0" w:color="auto"/>
                    <w:right w:val="single" w:sz="4" w:space="0" w:color="auto"/>
                  </w:tcBorders>
                  <w:shd w:val="clear" w:color="auto" w:fill="auto"/>
                  <w:noWrap/>
                  <w:vAlign w:val="bottom"/>
                  <w:hideMark/>
                </w:tcPr>
                <w:p w14:paraId="15F3BAE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88.8 (85.7, 91.0)</w:t>
                  </w:r>
                </w:p>
              </w:tc>
            </w:tr>
            <w:tr w:rsidR="00675ADB" w:rsidRPr="00DB5E03" w14:paraId="1B1F6D6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2A82B7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18</w:t>
                  </w:r>
                </w:p>
              </w:tc>
              <w:tc>
                <w:tcPr>
                  <w:tcW w:w="3835" w:type="dxa"/>
                  <w:tcBorders>
                    <w:top w:val="nil"/>
                    <w:left w:val="nil"/>
                    <w:bottom w:val="single" w:sz="4" w:space="0" w:color="auto"/>
                    <w:right w:val="single" w:sz="4" w:space="0" w:color="auto"/>
                  </w:tcBorders>
                  <w:shd w:val="clear" w:color="auto" w:fill="auto"/>
                  <w:noWrap/>
                  <w:vAlign w:val="bottom"/>
                  <w:hideMark/>
                </w:tcPr>
                <w:p w14:paraId="189828E8" w14:textId="77777777" w:rsidR="00675ADB" w:rsidRPr="00DB5E03" w:rsidRDefault="00675ADB" w:rsidP="00095A97">
                  <w:pPr>
                    <w:ind w:right="0"/>
                    <w:rPr>
                      <w:rFonts w:ascii="Aptos" w:eastAsia="Times New Roman" w:hAnsi="Aptos" w:cs="Calibri"/>
                      <w:color w:val="000000"/>
                      <w:szCs w:val="24"/>
                      <w:lang w:eastAsia="en-AU"/>
                    </w:rPr>
                  </w:pPr>
                  <w:proofErr w:type="spellStart"/>
                  <w:r w:rsidRPr="00DB5E03">
                    <w:rPr>
                      <w:rFonts w:ascii="Aptos" w:eastAsia="Times New Roman" w:hAnsi="Aptos" w:cs="Calibri"/>
                      <w:color w:val="000000"/>
                      <w:szCs w:val="24"/>
                      <w:lang w:eastAsia="en-AU"/>
                    </w:rPr>
                    <w:t>Collarts</w:t>
                  </w:r>
                  <w:proofErr w:type="spellEnd"/>
                  <w:r w:rsidRPr="00DB5E03">
                    <w:rPr>
                      <w:rFonts w:ascii="Aptos" w:eastAsia="Times New Roman" w:hAnsi="Aptos" w:cs="Calibri"/>
                      <w:color w:val="000000"/>
                      <w:szCs w:val="24"/>
                      <w:lang w:eastAsia="en-AU"/>
                    </w:rPr>
                    <w:t xml:space="preserve"> </w:t>
                  </w:r>
                </w:p>
              </w:tc>
              <w:tc>
                <w:tcPr>
                  <w:tcW w:w="1938" w:type="dxa"/>
                  <w:tcBorders>
                    <w:top w:val="nil"/>
                    <w:left w:val="nil"/>
                    <w:bottom w:val="single" w:sz="4" w:space="0" w:color="auto"/>
                    <w:right w:val="single" w:sz="4" w:space="0" w:color="auto"/>
                  </w:tcBorders>
                  <w:shd w:val="clear" w:color="auto" w:fill="auto"/>
                  <w:noWrap/>
                  <w:vAlign w:val="bottom"/>
                  <w:hideMark/>
                </w:tcPr>
                <w:p w14:paraId="20661A5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88.7</w:t>
                  </w:r>
                </w:p>
              </w:tc>
              <w:tc>
                <w:tcPr>
                  <w:tcW w:w="2072" w:type="dxa"/>
                  <w:tcBorders>
                    <w:top w:val="nil"/>
                    <w:left w:val="nil"/>
                    <w:bottom w:val="single" w:sz="4" w:space="0" w:color="auto"/>
                    <w:right w:val="single" w:sz="4" w:space="0" w:color="auto"/>
                  </w:tcBorders>
                  <w:shd w:val="clear" w:color="auto" w:fill="auto"/>
                  <w:noWrap/>
                  <w:vAlign w:val="bottom"/>
                  <w:hideMark/>
                </w:tcPr>
                <w:p w14:paraId="080DF93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88.7 (86.5, 90.4)</w:t>
                  </w:r>
                </w:p>
              </w:tc>
            </w:tr>
            <w:tr w:rsidR="00675ADB" w:rsidRPr="00DB5E03" w14:paraId="05F7D207"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FB4026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19</w:t>
                  </w:r>
                </w:p>
              </w:tc>
              <w:tc>
                <w:tcPr>
                  <w:tcW w:w="3835" w:type="dxa"/>
                  <w:tcBorders>
                    <w:top w:val="nil"/>
                    <w:left w:val="nil"/>
                    <w:bottom w:val="single" w:sz="4" w:space="0" w:color="auto"/>
                    <w:right w:val="single" w:sz="4" w:space="0" w:color="auto"/>
                  </w:tcBorders>
                  <w:shd w:val="clear" w:color="auto" w:fill="auto"/>
                  <w:noWrap/>
                  <w:vAlign w:val="bottom"/>
                  <w:hideMark/>
                </w:tcPr>
                <w:p w14:paraId="57CBD213"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 xml:space="preserve">Photography Studies College </w:t>
                  </w:r>
                </w:p>
              </w:tc>
              <w:tc>
                <w:tcPr>
                  <w:tcW w:w="1938" w:type="dxa"/>
                  <w:tcBorders>
                    <w:top w:val="nil"/>
                    <w:left w:val="nil"/>
                    <w:bottom w:val="single" w:sz="4" w:space="0" w:color="auto"/>
                    <w:right w:val="single" w:sz="4" w:space="0" w:color="auto"/>
                  </w:tcBorders>
                  <w:shd w:val="clear" w:color="auto" w:fill="auto"/>
                  <w:noWrap/>
                  <w:vAlign w:val="bottom"/>
                  <w:hideMark/>
                </w:tcPr>
                <w:p w14:paraId="4146FB6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88.5</w:t>
                  </w:r>
                </w:p>
              </w:tc>
              <w:tc>
                <w:tcPr>
                  <w:tcW w:w="2072" w:type="dxa"/>
                  <w:tcBorders>
                    <w:top w:val="nil"/>
                    <w:left w:val="nil"/>
                    <w:bottom w:val="single" w:sz="4" w:space="0" w:color="auto"/>
                    <w:right w:val="single" w:sz="4" w:space="0" w:color="auto"/>
                  </w:tcBorders>
                  <w:shd w:val="clear" w:color="auto" w:fill="auto"/>
                  <w:noWrap/>
                  <w:vAlign w:val="bottom"/>
                  <w:hideMark/>
                </w:tcPr>
                <w:p w14:paraId="5B27190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88.5 (82.5, 91.3)</w:t>
                  </w:r>
                </w:p>
              </w:tc>
            </w:tr>
            <w:tr w:rsidR="00675ADB" w:rsidRPr="00DB5E03" w14:paraId="22A7626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F40F7A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20</w:t>
                  </w:r>
                </w:p>
              </w:tc>
              <w:tc>
                <w:tcPr>
                  <w:tcW w:w="3835" w:type="dxa"/>
                  <w:tcBorders>
                    <w:top w:val="nil"/>
                    <w:left w:val="nil"/>
                    <w:bottom w:val="single" w:sz="4" w:space="0" w:color="auto"/>
                    <w:right w:val="single" w:sz="4" w:space="0" w:color="auto"/>
                  </w:tcBorders>
                  <w:shd w:val="clear" w:color="auto" w:fill="auto"/>
                  <w:noWrap/>
                  <w:vAlign w:val="bottom"/>
                  <w:hideMark/>
                </w:tcPr>
                <w:p w14:paraId="4A69F32C"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Western Sydney University International College</w:t>
                  </w:r>
                </w:p>
              </w:tc>
              <w:tc>
                <w:tcPr>
                  <w:tcW w:w="1938" w:type="dxa"/>
                  <w:tcBorders>
                    <w:top w:val="nil"/>
                    <w:left w:val="nil"/>
                    <w:bottom w:val="single" w:sz="4" w:space="0" w:color="auto"/>
                    <w:right w:val="single" w:sz="4" w:space="0" w:color="auto"/>
                  </w:tcBorders>
                  <w:shd w:val="clear" w:color="auto" w:fill="auto"/>
                  <w:noWrap/>
                  <w:vAlign w:val="bottom"/>
                  <w:hideMark/>
                </w:tcPr>
                <w:p w14:paraId="5DA2C49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87.4</w:t>
                  </w:r>
                </w:p>
              </w:tc>
              <w:tc>
                <w:tcPr>
                  <w:tcW w:w="2072" w:type="dxa"/>
                  <w:tcBorders>
                    <w:top w:val="nil"/>
                    <w:left w:val="nil"/>
                    <w:bottom w:val="single" w:sz="4" w:space="0" w:color="auto"/>
                    <w:right w:val="single" w:sz="4" w:space="0" w:color="auto"/>
                  </w:tcBorders>
                  <w:shd w:val="clear" w:color="auto" w:fill="auto"/>
                  <w:noWrap/>
                  <w:vAlign w:val="bottom"/>
                  <w:hideMark/>
                </w:tcPr>
                <w:p w14:paraId="485C940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87.4 (83.4, 89.9)</w:t>
                  </w:r>
                </w:p>
              </w:tc>
            </w:tr>
            <w:tr w:rsidR="00675ADB" w:rsidRPr="00DB5E03" w14:paraId="7C6F80A3"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A75DF8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21</w:t>
                  </w:r>
                </w:p>
              </w:tc>
              <w:tc>
                <w:tcPr>
                  <w:tcW w:w="3835" w:type="dxa"/>
                  <w:tcBorders>
                    <w:top w:val="nil"/>
                    <w:left w:val="nil"/>
                    <w:bottom w:val="single" w:sz="4" w:space="0" w:color="auto"/>
                    <w:right w:val="single" w:sz="4" w:space="0" w:color="auto"/>
                  </w:tcBorders>
                  <w:shd w:val="clear" w:color="auto" w:fill="auto"/>
                  <w:noWrap/>
                  <w:vAlign w:val="bottom"/>
                  <w:hideMark/>
                </w:tcPr>
                <w:p w14:paraId="670E2CE4"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Bond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25DD0CA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86.3</w:t>
                  </w:r>
                </w:p>
              </w:tc>
              <w:tc>
                <w:tcPr>
                  <w:tcW w:w="2072" w:type="dxa"/>
                  <w:tcBorders>
                    <w:top w:val="nil"/>
                    <w:left w:val="nil"/>
                    <w:bottom w:val="single" w:sz="4" w:space="0" w:color="auto"/>
                    <w:right w:val="single" w:sz="4" w:space="0" w:color="auto"/>
                  </w:tcBorders>
                  <w:shd w:val="clear" w:color="auto" w:fill="auto"/>
                  <w:noWrap/>
                  <w:vAlign w:val="bottom"/>
                  <w:hideMark/>
                </w:tcPr>
                <w:p w14:paraId="2C3B5D1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86.3 (84.3, 88.0)</w:t>
                  </w:r>
                </w:p>
              </w:tc>
            </w:tr>
            <w:tr w:rsidR="00675ADB" w:rsidRPr="00DB5E03" w14:paraId="4A92142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CA6F76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22</w:t>
                  </w:r>
                </w:p>
              </w:tc>
              <w:tc>
                <w:tcPr>
                  <w:tcW w:w="3835" w:type="dxa"/>
                  <w:tcBorders>
                    <w:top w:val="nil"/>
                    <w:left w:val="nil"/>
                    <w:bottom w:val="single" w:sz="4" w:space="0" w:color="auto"/>
                    <w:right w:val="single" w:sz="4" w:space="0" w:color="auto"/>
                  </w:tcBorders>
                  <w:shd w:val="clear" w:color="auto" w:fill="auto"/>
                  <w:noWrap/>
                  <w:vAlign w:val="bottom"/>
                  <w:hideMark/>
                </w:tcPr>
                <w:p w14:paraId="0C6D425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Polytechnic Institute Australia</w:t>
                  </w:r>
                </w:p>
              </w:tc>
              <w:tc>
                <w:tcPr>
                  <w:tcW w:w="1938" w:type="dxa"/>
                  <w:tcBorders>
                    <w:top w:val="nil"/>
                    <w:left w:val="nil"/>
                    <w:bottom w:val="single" w:sz="4" w:space="0" w:color="auto"/>
                    <w:right w:val="single" w:sz="4" w:space="0" w:color="auto"/>
                  </w:tcBorders>
                  <w:shd w:val="clear" w:color="auto" w:fill="auto"/>
                  <w:noWrap/>
                  <w:vAlign w:val="bottom"/>
                  <w:hideMark/>
                </w:tcPr>
                <w:p w14:paraId="5696F85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85.4</w:t>
                  </w:r>
                </w:p>
              </w:tc>
              <w:tc>
                <w:tcPr>
                  <w:tcW w:w="2072" w:type="dxa"/>
                  <w:tcBorders>
                    <w:top w:val="nil"/>
                    <w:left w:val="nil"/>
                    <w:bottom w:val="single" w:sz="4" w:space="0" w:color="auto"/>
                    <w:right w:val="single" w:sz="4" w:space="0" w:color="auto"/>
                  </w:tcBorders>
                  <w:shd w:val="clear" w:color="auto" w:fill="auto"/>
                  <w:noWrap/>
                  <w:vAlign w:val="bottom"/>
                  <w:hideMark/>
                </w:tcPr>
                <w:p w14:paraId="78C221A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85.4 (75.2, 91.1)</w:t>
                  </w:r>
                </w:p>
              </w:tc>
            </w:tr>
            <w:tr w:rsidR="00675ADB" w:rsidRPr="00DB5E03" w14:paraId="40A20527"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11B179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23</w:t>
                  </w:r>
                </w:p>
              </w:tc>
              <w:tc>
                <w:tcPr>
                  <w:tcW w:w="3835" w:type="dxa"/>
                  <w:tcBorders>
                    <w:top w:val="nil"/>
                    <w:left w:val="nil"/>
                    <w:bottom w:val="single" w:sz="4" w:space="0" w:color="auto"/>
                    <w:right w:val="single" w:sz="4" w:space="0" w:color="auto"/>
                  </w:tcBorders>
                  <w:shd w:val="clear" w:color="auto" w:fill="auto"/>
                  <w:noWrap/>
                  <w:vAlign w:val="bottom"/>
                  <w:hideMark/>
                </w:tcPr>
                <w:p w14:paraId="6765FC3C" w14:textId="77777777" w:rsidR="00675ADB" w:rsidRPr="00DB5E03" w:rsidRDefault="00675ADB" w:rsidP="00095A97">
                  <w:pPr>
                    <w:ind w:right="0"/>
                    <w:rPr>
                      <w:rFonts w:ascii="Aptos" w:eastAsia="Times New Roman" w:hAnsi="Aptos" w:cs="Calibri"/>
                      <w:color w:val="000000"/>
                      <w:szCs w:val="24"/>
                      <w:lang w:eastAsia="en-AU"/>
                    </w:rPr>
                  </w:pPr>
                  <w:proofErr w:type="spellStart"/>
                  <w:r w:rsidRPr="00DB5E03">
                    <w:rPr>
                      <w:rFonts w:ascii="Aptos" w:eastAsia="Times New Roman" w:hAnsi="Aptos" w:cs="Calibri"/>
                      <w:color w:val="000000"/>
                      <w:szCs w:val="24"/>
                      <w:lang w:eastAsia="en-AU"/>
                    </w:rPr>
                    <w:t>Alphacrucis</w:t>
                  </w:r>
                  <w:proofErr w:type="spellEnd"/>
                  <w:r w:rsidRPr="00DB5E03">
                    <w:rPr>
                      <w:rFonts w:ascii="Aptos" w:eastAsia="Times New Roman" w:hAnsi="Aptos" w:cs="Calibri"/>
                      <w:color w:val="000000"/>
                      <w:szCs w:val="24"/>
                      <w:lang w:eastAsia="en-AU"/>
                    </w:rPr>
                    <w:t xml:space="preserve"> University College</w:t>
                  </w:r>
                </w:p>
              </w:tc>
              <w:tc>
                <w:tcPr>
                  <w:tcW w:w="1938" w:type="dxa"/>
                  <w:tcBorders>
                    <w:top w:val="nil"/>
                    <w:left w:val="nil"/>
                    <w:bottom w:val="single" w:sz="4" w:space="0" w:color="auto"/>
                    <w:right w:val="single" w:sz="4" w:space="0" w:color="auto"/>
                  </w:tcBorders>
                  <w:shd w:val="clear" w:color="auto" w:fill="auto"/>
                  <w:noWrap/>
                  <w:vAlign w:val="bottom"/>
                  <w:hideMark/>
                </w:tcPr>
                <w:p w14:paraId="4E8A82F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84.9</w:t>
                  </w:r>
                </w:p>
              </w:tc>
              <w:tc>
                <w:tcPr>
                  <w:tcW w:w="2072" w:type="dxa"/>
                  <w:tcBorders>
                    <w:top w:val="nil"/>
                    <w:left w:val="nil"/>
                    <w:bottom w:val="single" w:sz="4" w:space="0" w:color="auto"/>
                    <w:right w:val="single" w:sz="4" w:space="0" w:color="auto"/>
                  </w:tcBorders>
                  <w:shd w:val="clear" w:color="auto" w:fill="auto"/>
                  <w:noWrap/>
                  <w:vAlign w:val="bottom"/>
                  <w:hideMark/>
                </w:tcPr>
                <w:p w14:paraId="32CEBFD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84.9 (82.1, 87.2)</w:t>
                  </w:r>
                </w:p>
              </w:tc>
            </w:tr>
            <w:tr w:rsidR="00675ADB" w:rsidRPr="00DB5E03" w14:paraId="7C2200A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2AC7A8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24</w:t>
                  </w:r>
                </w:p>
              </w:tc>
              <w:tc>
                <w:tcPr>
                  <w:tcW w:w="3835" w:type="dxa"/>
                  <w:tcBorders>
                    <w:top w:val="nil"/>
                    <w:left w:val="nil"/>
                    <w:bottom w:val="single" w:sz="4" w:space="0" w:color="auto"/>
                    <w:right w:val="single" w:sz="4" w:space="0" w:color="auto"/>
                  </w:tcBorders>
                  <w:shd w:val="clear" w:color="auto" w:fill="auto"/>
                  <w:noWrap/>
                  <w:vAlign w:val="bottom"/>
                  <w:hideMark/>
                </w:tcPr>
                <w:p w14:paraId="4DE5E403"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Chisholm Institute</w:t>
                  </w:r>
                </w:p>
              </w:tc>
              <w:tc>
                <w:tcPr>
                  <w:tcW w:w="1938" w:type="dxa"/>
                  <w:tcBorders>
                    <w:top w:val="nil"/>
                    <w:left w:val="nil"/>
                    <w:bottom w:val="single" w:sz="4" w:space="0" w:color="auto"/>
                    <w:right w:val="single" w:sz="4" w:space="0" w:color="auto"/>
                  </w:tcBorders>
                  <w:shd w:val="clear" w:color="auto" w:fill="auto"/>
                  <w:noWrap/>
                  <w:vAlign w:val="bottom"/>
                  <w:hideMark/>
                </w:tcPr>
                <w:p w14:paraId="076925C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84.9</w:t>
                  </w:r>
                </w:p>
              </w:tc>
              <w:tc>
                <w:tcPr>
                  <w:tcW w:w="2072" w:type="dxa"/>
                  <w:tcBorders>
                    <w:top w:val="nil"/>
                    <w:left w:val="nil"/>
                    <w:bottom w:val="single" w:sz="4" w:space="0" w:color="auto"/>
                    <w:right w:val="single" w:sz="4" w:space="0" w:color="auto"/>
                  </w:tcBorders>
                  <w:shd w:val="clear" w:color="auto" w:fill="auto"/>
                  <w:noWrap/>
                  <w:vAlign w:val="bottom"/>
                  <w:hideMark/>
                </w:tcPr>
                <w:p w14:paraId="67DBF3B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84.9 (78.4, 88.9)</w:t>
                  </w:r>
                </w:p>
              </w:tc>
            </w:tr>
            <w:tr w:rsidR="00675ADB" w:rsidRPr="00DB5E03" w14:paraId="0E008B23"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F7F2D6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25</w:t>
                  </w:r>
                </w:p>
              </w:tc>
              <w:tc>
                <w:tcPr>
                  <w:tcW w:w="3835" w:type="dxa"/>
                  <w:tcBorders>
                    <w:top w:val="nil"/>
                    <w:left w:val="nil"/>
                    <w:bottom w:val="single" w:sz="4" w:space="0" w:color="auto"/>
                    <w:right w:val="single" w:sz="4" w:space="0" w:color="auto"/>
                  </w:tcBorders>
                  <w:shd w:val="clear" w:color="auto" w:fill="auto"/>
                  <w:noWrap/>
                  <w:vAlign w:val="bottom"/>
                  <w:hideMark/>
                </w:tcPr>
                <w:p w14:paraId="0CFEA211"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Melbourne Polytechnic</w:t>
                  </w:r>
                </w:p>
              </w:tc>
              <w:tc>
                <w:tcPr>
                  <w:tcW w:w="1938" w:type="dxa"/>
                  <w:tcBorders>
                    <w:top w:val="nil"/>
                    <w:left w:val="nil"/>
                    <w:bottom w:val="single" w:sz="4" w:space="0" w:color="auto"/>
                    <w:right w:val="single" w:sz="4" w:space="0" w:color="auto"/>
                  </w:tcBorders>
                  <w:shd w:val="clear" w:color="auto" w:fill="auto"/>
                  <w:noWrap/>
                  <w:vAlign w:val="bottom"/>
                  <w:hideMark/>
                </w:tcPr>
                <w:p w14:paraId="1F9C162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84.7</w:t>
                  </w:r>
                </w:p>
              </w:tc>
              <w:tc>
                <w:tcPr>
                  <w:tcW w:w="2072" w:type="dxa"/>
                  <w:tcBorders>
                    <w:top w:val="nil"/>
                    <w:left w:val="nil"/>
                    <w:bottom w:val="single" w:sz="4" w:space="0" w:color="auto"/>
                    <w:right w:val="single" w:sz="4" w:space="0" w:color="auto"/>
                  </w:tcBorders>
                  <w:shd w:val="clear" w:color="auto" w:fill="auto"/>
                  <w:noWrap/>
                  <w:vAlign w:val="bottom"/>
                  <w:hideMark/>
                </w:tcPr>
                <w:p w14:paraId="4209D36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84.7 (81.1, 87.6)</w:t>
                  </w:r>
                </w:p>
              </w:tc>
            </w:tr>
            <w:tr w:rsidR="00675ADB" w:rsidRPr="00DB5E03" w14:paraId="684811B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5E67A5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26</w:t>
                  </w:r>
                </w:p>
              </w:tc>
              <w:tc>
                <w:tcPr>
                  <w:tcW w:w="3835" w:type="dxa"/>
                  <w:tcBorders>
                    <w:top w:val="nil"/>
                    <w:left w:val="nil"/>
                    <w:bottom w:val="single" w:sz="4" w:space="0" w:color="auto"/>
                    <w:right w:val="single" w:sz="4" w:space="0" w:color="auto"/>
                  </w:tcBorders>
                  <w:shd w:val="clear" w:color="auto" w:fill="auto"/>
                  <w:noWrap/>
                  <w:vAlign w:val="bottom"/>
                  <w:hideMark/>
                </w:tcPr>
                <w:p w14:paraId="35EFE6B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Box Hill Institute</w:t>
                  </w:r>
                </w:p>
              </w:tc>
              <w:tc>
                <w:tcPr>
                  <w:tcW w:w="1938" w:type="dxa"/>
                  <w:tcBorders>
                    <w:top w:val="nil"/>
                    <w:left w:val="nil"/>
                    <w:bottom w:val="single" w:sz="4" w:space="0" w:color="auto"/>
                    <w:right w:val="single" w:sz="4" w:space="0" w:color="auto"/>
                  </w:tcBorders>
                  <w:shd w:val="clear" w:color="auto" w:fill="auto"/>
                  <w:noWrap/>
                  <w:vAlign w:val="bottom"/>
                  <w:hideMark/>
                </w:tcPr>
                <w:p w14:paraId="4F72100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83.5</w:t>
                  </w:r>
                </w:p>
              </w:tc>
              <w:tc>
                <w:tcPr>
                  <w:tcW w:w="2072" w:type="dxa"/>
                  <w:tcBorders>
                    <w:top w:val="nil"/>
                    <w:left w:val="nil"/>
                    <w:bottom w:val="single" w:sz="4" w:space="0" w:color="auto"/>
                    <w:right w:val="single" w:sz="4" w:space="0" w:color="auto"/>
                  </w:tcBorders>
                  <w:shd w:val="clear" w:color="auto" w:fill="auto"/>
                  <w:noWrap/>
                  <w:vAlign w:val="bottom"/>
                  <w:hideMark/>
                </w:tcPr>
                <w:p w14:paraId="65DCF24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83.5 (78.4, 87.2)</w:t>
                  </w:r>
                </w:p>
              </w:tc>
            </w:tr>
            <w:tr w:rsidR="00675ADB" w:rsidRPr="00DB5E03" w14:paraId="6473239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FDC9DF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27</w:t>
                  </w:r>
                </w:p>
              </w:tc>
              <w:tc>
                <w:tcPr>
                  <w:tcW w:w="3835" w:type="dxa"/>
                  <w:tcBorders>
                    <w:top w:val="nil"/>
                    <w:left w:val="nil"/>
                    <w:bottom w:val="single" w:sz="4" w:space="0" w:color="auto"/>
                    <w:right w:val="single" w:sz="4" w:space="0" w:color="auto"/>
                  </w:tcBorders>
                  <w:shd w:val="clear" w:color="auto" w:fill="auto"/>
                  <w:noWrap/>
                  <w:vAlign w:val="bottom"/>
                  <w:hideMark/>
                </w:tcPr>
                <w:p w14:paraId="3DA478E0"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ACAP University College</w:t>
                  </w:r>
                </w:p>
              </w:tc>
              <w:tc>
                <w:tcPr>
                  <w:tcW w:w="1938" w:type="dxa"/>
                  <w:tcBorders>
                    <w:top w:val="nil"/>
                    <w:left w:val="nil"/>
                    <w:bottom w:val="single" w:sz="4" w:space="0" w:color="auto"/>
                    <w:right w:val="single" w:sz="4" w:space="0" w:color="auto"/>
                  </w:tcBorders>
                  <w:shd w:val="clear" w:color="auto" w:fill="auto"/>
                  <w:noWrap/>
                  <w:vAlign w:val="bottom"/>
                  <w:hideMark/>
                </w:tcPr>
                <w:p w14:paraId="69BDFE0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82.9</w:t>
                  </w:r>
                </w:p>
              </w:tc>
              <w:tc>
                <w:tcPr>
                  <w:tcW w:w="2072" w:type="dxa"/>
                  <w:tcBorders>
                    <w:top w:val="nil"/>
                    <w:left w:val="nil"/>
                    <w:bottom w:val="single" w:sz="4" w:space="0" w:color="auto"/>
                    <w:right w:val="single" w:sz="4" w:space="0" w:color="auto"/>
                  </w:tcBorders>
                  <w:shd w:val="clear" w:color="auto" w:fill="auto"/>
                  <w:noWrap/>
                  <w:vAlign w:val="bottom"/>
                  <w:hideMark/>
                </w:tcPr>
                <w:p w14:paraId="38C7CF9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82.9 (81.0, 84.5)</w:t>
                  </w:r>
                </w:p>
              </w:tc>
            </w:tr>
            <w:tr w:rsidR="00675ADB" w:rsidRPr="00DB5E03" w14:paraId="58CACE39"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029A5A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lastRenderedPageBreak/>
                    <w:t>28</w:t>
                  </w:r>
                </w:p>
              </w:tc>
              <w:tc>
                <w:tcPr>
                  <w:tcW w:w="3835" w:type="dxa"/>
                  <w:tcBorders>
                    <w:top w:val="nil"/>
                    <w:left w:val="nil"/>
                    <w:bottom w:val="single" w:sz="4" w:space="0" w:color="auto"/>
                    <w:right w:val="single" w:sz="4" w:space="0" w:color="auto"/>
                  </w:tcBorders>
                  <w:shd w:val="clear" w:color="auto" w:fill="auto"/>
                  <w:noWrap/>
                  <w:vAlign w:val="bottom"/>
                  <w:hideMark/>
                </w:tcPr>
                <w:p w14:paraId="48C60324"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South Australian Institute of Business and Technology</w:t>
                  </w:r>
                </w:p>
              </w:tc>
              <w:tc>
                <w:tcPr>
                  <w:tcW w:w="1938" w:type="dxa"/>
                  <w:tcBorders>
                    <w:top w:val="nil"/>
                    <w:left w:val="nil"/>
                    <w:bottom w:val="single" w:sz="4" w:space="0" w:color="auto"/>
                    <w:right w:val="single" w:sz="4" w:space="0" w:color="auto"/>
                  </w:tcBorders>
                  <w:shd w:val="clear" w:color="auto" w:fill="auto"/>
                  <w:noWrap/>
                  <w:vAlign w:val="bottom"/>
                  <w:hideMark/>
                </w:tcPr>
                <w:p w14:paraId="6F734A6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82.7</w:t>
                  </w:r>
                </w:p>
              </w:tc>
              <w:tc>
                <w:tcPr>
                  <w:tcW w:w="2072" w:type="dxa"/>
                  <w:tcBorders>
                    <w:top w:val="nil"/>
                    <w:left w:val="nil"/>
                    <w:bottom w:val="single" w:sz="4" w:space="0" w:color="auto"/>
                    <w:right w:val="single" w:sz="4" w:space="0" w:color="auto"/>
                  </w:tcBorders>
                  <w:shd w:val="clear" w:color="auto" w:fill="auto"/>
                  <w:noWrap/>
                  <w:vAlign w:val="bottom"/>
                  <w:hideMark/>
                </w:tcPr>
                <w:p w14:paraId="34F93DF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82.7 (78.1, 86.2)</w:t>
                  </w:r>
                </w:p>
              </w:tc>
            </w:tr>
            <w:tr w:rsidR="00675ADB" w:rsidRPr="00DB5E03" w14:paraId="7542226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75641F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29</w:t>
                  </w:r>
                </w:p>
              </w:tc>
              <w:tc>
                <w:tcPr>
                  <w:tcW w:w="3835" w:type="dxa"/>
                  <w:tcBorders>
                    <w:top w:val="nil"/>
                    <w:left w:val="nil"/>
                    <w:bottom w:val="single" w:sz="4" w:space="0" w:color="auto"/>
                    <w:right w:val="single" w:sz="4" w:space="0" w:color="auto"/>
                  </w:tcBorders>
                  <w:shd w:val="clear" w:color="auto" w:fill="auto"/>
                  <w:noWrap/>
                  <w:vAlign w:val="bottom"/>
                  <w:hideMark/>
                </w:tcPr>
                <w:p w14:paraId="432D71BA"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Engineering Institute of Technology</w:t>
                  </w:r>
                </w:p>
              </w:tc>
              <w:tc>
                <w:tcPr>
                  <w:tcW w:w="1938" w:type="dxa"/>
                  <w:tcBorders>
                    <w:top w:val="nil"/>
                    <w:left w:val="nil"/>
                    <w:bottom w:val="single" w:sz="4" w:space="0" w:color="auto"/>
                    <w:right w:val="single" w:sz="4" w:space="0" w:color="auto"/>
                  </w:tcBorders>
                  <w:shd w:val="clear" w:color="auto" w:fill="auto"/>
                  <w:noWrap/>
                  <w:vAlign w:val="bottom"/>
                  <w:hideMark/>
                </w:tcPr>
                <w:p w14:paraId="4170D40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82.4</w:t>
                  </w:r>
                </w:p>
              </w:tc>
              <w:tc>
                <w:tcPr>
                  <w:tcW w:w="2072" w:type="dxa"/>
                  <w:tcBorders>
                    <w:top w:val="nil"/>
                    <w:left w:val="nil"/>
                    <w:bottom w:val="single" w:sz="4" w:space="0" w:color="auto"/>
                    <w:right w:val="single" w:sz="4" w:space="0" w:color="auto"/>
                  </w:tcBorders>
                  <w:shd w:val="clear" w:color="auto" w:fill="auto"/>
                  <w:noWrap/>
                  <w:vAlign w:val="bottom"/>
                  <w:hideMark/>
                </w:tcPr>
                <w:p w14:paraId="2083A44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82.4 (78.4, 85.3)</w:t>
                  </w:r>
                </w:p>
              </w:tc>
            </w:tr>
            <w:tr w:rsidR="00675ADB" w:rsidRPr="00DB5E03" w14:paraId="6EAE2B2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52F288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30</w:t>
                  </w:r>
                </w:p>
              </w:tc>
              <w:tc>
                <w:tcPr>
                  <w:tcW w:w="3835" w:type="dxa"/>
                  <w:tcBorders>
                    <w:top w:val="nil"/>
                    <w:left w:val="nil"/>
                    <w:bottom w:val="single" w:sz="4" w:space="0" w:color="auto"/>
                    <w:right w:val="single" w:sz="4" w:space="0" w:color="auto"/>
                  </w:tcBorders>
                  <w:shd w:val="clear" w:color="auto" w:fill="auto"/>
                  <w:noWrap/>
                  <w:vAlign w:val="bottom"/>
                  <w:hideMark/>
                </w:tcPr>
                <w:p w14:paraId="7D33A6B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TAFE NSW</w:t>
                  </w:r>
                </w:p>
              </w:tc>
              <w:tc>
                <w:tcPr>
                  <w:tcW w:w="1938" w:type="dxa"/>
                  <w:tcBorders>
                    <w:top w:val="nil"/>
                    <w:left w:val="nil"/>
                    <w:bottom w:val="single" w:sz="4" w:space="0" w:color="auto"/>
                    <w:right w:val="single" w:sz="4" w:space="0" w:color="auto"/>
                  </w:tcBorders>
                  <w:shd w:val="clear" w:color="auto" w:fill="auto"/>
                  <w:noWrap/>
                  <w:vAlign w:val="bottom"/>
                  <w:hideMark/>
                </w:tcPr>
                <w:p w14:paraId="419010E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82.4</w:t>
                  </w:r>
                </w:p>
              </w:tc>
              <w:tc>
                <w:tcPr>
                  <w:tcW w:w="2072" w:type="dxa"/>
                  <w:tcBorders>
                    <w:top w:val="nil"/>
                    <w:left w:val="nil"/>
                    <w:bottom w:val="single" w:sz="4" w:space="0" w:color="auto"/>
                    <w:right w:val="single" w:sz="4" w:space="0" w:color="auto"/>
                  </w:tcBorders>
                  <w:shd w:val="clear" w:color="auto" w:fill="auto"/>
                  <w:noWrap/>
                  <w:vAlign w:val="bottom"/>
                  <w:hideMark/>
                </w:tcPr>
                <w:p w14:paraId="4EE6288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82.4 (80.7, 83.9)</w:t>
                  </w:r>
                </w:p>
              </w:tc>
            </w:tr>
            <w:tr w:rsidR="00675ADB" w:rsidRPr="00DB5E03" w14:paraId="68C6C9D6"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ABB062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31</w:t>
                  </w:r>
                </w:p>
              </w:tc>
              <w:tc>
                <w:tcPr>
                  <w:tcW w:w="3835" w:type="dxa"/>
                  <w:tcBorders>
                    <w:top w:val="nil"/>
                    <w:left w:val="nil"/>
                    <w:bottom w:val="single" w:sz="4" w:space="0" w:color="auto"/>
                    <w:right w:val="single" w:sz="4" w:space="0" w:color="auto"/>
                  </w:tcBorders>
                  <w:shd w:val="clear" w:color="auto" w:fill="auto"/>
                  <w:noWrap/>
                  <w:vAlign w:val="bottom"/>
                  <w:hideMark/>
                </w:tcPr>
                <w:p w14:paraId="63E912C3"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William Angliss Institute</w:t>
                  </w:r>
                </w:p>
              </w:tc>
              <w:tc>
                <w:tcPr>
                  <w:tcW w:w="1938" w:type="dxa"/>
                  <w:tcBorders>
                    <w:top w:val="nil"/>
                    <w:left w:val="nil"/>
                    <w:bottom w:val="single" w:sz="4" w:space="0" w:color="auto"/>
                    <w:right w:val="single" w:sz="4" w:space="0" w:color="auto"/>
                  </w:tcBorders>
                  <w:shd w:val="clear" w:color="auto" w:fill="auto"/>
                  <w:noWrap/>
                  <w:vAlign w:val="bottom"/>
                  <w:hideMark/>
                </w:tcPr>
                <w:p w14:paraId="7F81ACE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81.4</w:t>
                  </w:r>
                </w:p>
              </w:tc>
              <w:tc>
                <w:tcPr>
                  <w:tcW w:w="2072" w:type="dxa"/>
                  <w:tcBorders>
                    <w:top w:val="nil"/>
                    <w:left w:val="nil"/>
                    <w:bottom w:val="single" w:sz="4" w:space="0" w:color="auto"/>
                    <w:right w:val="single" w:sz="4" w:space="0" w:color="auto"/>
                  </w:tcBorders>
                  <w:shd w:val="clear" w:color="auto" w:fill="auto"/>
                  <w:noWrap/>
                  <w:vAlign w:val="bottom"/>
                  <w:hideMark/>
                </w:tcPr>
                <w:p w14:paraId="2CD454D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81.4 (75.1, 86.1)</w:t>
                  </w:r>
                </w:p>
              </w:tc>
            </w:tr>
            <w:tr w:rsidR="00675ADB" w:rsidRPr="00DB5E03" w14:paraId="6C9B90E6"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D3A16D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32</w:t>
                  </w:r>
                </w:p>
              </w:tc>
              <w:tc>
                <w:tcPr>
                  <w:tcW w:w="3835" w:type="dxa"/>
                  <w:tcBorders>
                    <w:top w:val="nil"/>
                    <w:left w:val="nil"/>
                    <w:bottom w:val="single" w:sz="4" w:space="0" w:color="auto"/>
                    <w:right w:val="single" w:sz="4" w:space="0" w:color="auto"/>
                  </w:tcBorders>
                  <w:shd w:val="clear" w:color="auto" w:fill="auto"/>
                  <w:noWrap/>
                  <w:vAlign w:val="bottom"/>
                  <w:hideMark/>
                </w:tcPr>
                <w:p w14:paraId="288C33B8"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Eynesbury College</w:t>
                  </w:r>
                </w:p>
              </w:tc>
              <w:tc>
                <w:tcPr>
                  <w:tcW w:w="1938" w:type="dxa"/>
                  <w:tcBorders>
                    <w:top w:val="nil"/>
                    <w:left w:val="nil"/>
                    <w:bottom w:val="single" w:sz="4" w:space="0" w:color="auto"/>
                    <w:right w:val="single" w:sz="4" w:space="0" w:color="auto"/>
                  </w:tcBorders>
                  <w:shd w:val="clear" w:color="auto" w:fill="auto"/>
                  <w:noWrap/>
                  <w:vAlign w:val="bottom"/>
                  <w:hideMark/>
                </w:tcPr>
                <w:p w14:paraId="25A8D0F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81.3</w:t>
                  </w:r>
                </w:p>
              </w:tc>
              <w:tc>
                <w:tcPr>
                  <w:tcW w:w="2072" w:type="dxa"/>
                  <w:tcBorders>
                    <w:top w:val="nil"/>
                    <w:left w:val="nil"/>
                    <w:bottom w:val="single" w:sz="4" w:space="0" w:color="auto"/>
                    <w:right w:val="single" w:sz="4" w:space="0" w:color="auto"/>
                  </w:tcBorders>
                  <w:shd w:val="clear" w:color="auto" w:fill="auto"/>
                  <w:noWrap/>
                  <w:vAlign w:val="bottom"/>
                  <w:hideMark/>
                </w:tcPr>
                <w:p w14:paraId="58666E1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81.3 (69.4, 88.2)</w:t>
                  </w:r>
                </w:p>
              </w:tc>
            </w:tr>
            <w:tr w:rsidR="00675ADB" w:rsidRPr="00DB5E03" w14:paraId="3471BCA5"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712A82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33</w:t>
                  </w:r>
                </w:p>
              </w:tc>
              <w:tc>
                <w:tcPr>
                  <w:tcW w:w="3835" w:type="dxa"/>
                  <w:tcBorders>
                    <w:top w:val="nil"/>
                    <w:left w:val="nil"/>
                    <w:bottom w:val="single" w:sz="4" w:space="0" w:color="auto"/>
                    <w:right w:val="single" w:sz="4" w:space="0" w:color="auto"/>
                  </w:tcBorders>
                  <w:shd w:val="clear" w:color="auto" w:fill="auto"/>
                  <w:noWrap/>
                  <w:vAlign w:val="bottom"/>
                  <w:hideMark/>
                </w:tcPr>
                <w:p w14:paraId="11C925CD"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King's Own Institute</w:t>
                  </w:r>
                </w:p>
              </w:tc>
              <w:tc>
                <w:tcPr>
                  <w:tcW w:w="1938" w:type="dxa"/>
                  <w:tcBorders>
                    <w:top w:val="nil"/>
                    <w:left w:val="nil"/>
                    <w:bottom w:val="single" w:sz="4" w:space="0" w:color="auto"/>
                    <w:right w:val="single" w:sz="4" w:space="0" w:color="auto"/>
                  </w:tcBorders>
                  <w:shd w:val="clear" w:color="auto" w:fill="auto"/>
                  <w:noWrap/>
                  <w:vAlign w:val="bottom"/>
                  <w:hideMark/>
                </w:tcPr>
                <w:p w14:paraId="6CBBF03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81.3</w:t>
                  </w:r>
                </w:p>
              </w:tc>
              <w:tc>
                <w:tcPr>
                  <w:tcW w:w="2072" w:type="dxa"/>
                  <w:tcBorders>
                    <w:top w:val="nil"/>
                    <w:left w:val="nil"/>
                    <w:bottom w:val="single" w:sz="4" w:space="0" w:color="auto"/>
                    <w:right w:val="single" w:sz="4" w:space="0" w:color="auto"/>
                  </w:tcBorders>
                  <w:shd w:val="clear" w:color="auto" w:fill="auto"/>
                  <w:noWrap/>
                  <w:vAlign w:val="bottom"/>
                  <w:hideMark/>
                </w:tcPr>
                <w:p w14:paraId="00FAE6B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81.3 (78.8, 83.3)</w:t>
                  </w:r>
                </w:p>
              </w:tc>
            </w:tr>
            <w:tr w:rsidR="00675ADB" w:rsidRPr="00DB5E03" w14:paraId="006EAD8C"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A5EC85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34</w:t>
                  </w:r>
                </w:p>
              </w:tc>
              <w:tc>
                <w:tcPr>
                  <w:tcW w:w="3835" w:type="dxa"/>
                  <w:tcBorders>
                    <w:top w:val="nil"/>
                    <w:left w:val="nil"/>
                    <w:bottom w:val="single" w:sz="4" w:space="0" w:color="auto"/>
                    <w:right w:val="single" w:sz="4" w:space="0" w:color="auto"/>
                  </w:tcBorders>
                  <w:shd w:val="clear" w:color="auto" w:fill="auto"/>
                  <w:noWrap/>
                  <w:vAlign w:val="bottom"/>
                  <w:hideMark/>
                </w:tcPr>
                <w:p w14:paraId="7138214E"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Australian College of Physical Education</w:t>
                  </w:r>
                </w:p>
              </w:tc>
              <w:tc>
                <w:tcPr>
                  <w:tcW w:w="1938" w:type="dxa"/>
                  <w:tcBorders>
                    <w:top w:val="nil"/>
                    <w:left w:val="nil"/>
                    <w:bottom w:val="single" w:sz="4" w:space="0" w:color="auto"/>
                    <w:right w:val="single" w:sz="4" w:space="0" w:color="auto"/>
                  </w:tcBorders>
                  <w:shd w:val="clear" w:color="auto" w:fill="auto"/>
                  <w:noWrap/>
                  <w:vAlign w:val="bottom"/>
                  <w:hideMark/>
                </w:tcPr>
                <w:p w14:paraId="1162AD4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81.3</w:t>
                  </w:r>
                </w:p>
              </w:tc>
              <w:tc>
                <w:tcPr>
                  <w:tcW w:w="2072" w:type="dxa"/>
                  <w:tcBorders>
                    <w:top w:val="nil"/>
                    <w:left w:val="nil"/>
                    <w:bottom w:val="single" w:sz="4" w:space="0" w:color="auto"/>
                    <w:right w:val="single" w:sz="4" w:space="0" w:color="auto"/>
                  </w:tcBorders>
                  <w:shd w:val="clear" w:color="auto" w:fill="auto"/>
                  <w:noWrap/>
                  <w:vAlign w:val="bottom"/>
                  <w:hideMark/>
                </w:tcPr>
                <w:p w14:paraId="119E494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81.3 (77.0, 84.8)</w:t>
                  </w:r>
                </w:p>
              </w:tc>
            </w:tr>
            <w:tr w:rsidR="00675ADB" w:rsidRPr="00DB5E03" w14:paraId="2FA200D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1048B8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35</w:t>
                  </w:r>
                </w:p>
              </w:tc>
              <w:tc>
                <w:tcPr>
                  <w:tcW w:w="3835" w:type="dxa"/>
                  <w:tcBorders>
                    <w:top w:val="nil"/>
                    <w:left w:val="nil"/>
                    <w:bottom w:val="single" w:sz="4" w:space="0" w:color="auto"/>
                    <w:right w:val="single" w:sz="4" w:space="0" w:color="auto"/>
                  </w:tcBorders>
                  <w:shd w:val="clear" w:color="auto" w:fill="auto"/>
                  <w:noWrap/>
                  <w:vAlign w:val="bottom"/>
                  <w:hideMark/>
                </w:tcPr>
                <w:p w14:paraId="1669B8AD"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Universal Business School Sydney</w:t>
                  </w:r>
                </w:p>
              </w:tc>
              <w:tc>
                <w:tcPr>
                  <w:tcW w:w="1938" w:type="dxa"/>
                  <w:tcBorders>
                    <w:top w:val="nil"/>
                    <w:left w:val="nil"/>
                    <w:bottom w:val="single" w:sz="4" w:space="0" w:color="auto"/>
                    <w:right w:val="single" w:sz="4" w:space="0" w:color="auto"/>
                  </w:tcBorders>
                  <w:shd w:val="clear" w:color="auto" w:fill="auto"/>
                  <w:noWrap/>
                  <w:vAlign w:val="bottom"/>
                  <w:hideMark/>
                </w:tcPr>
                <w:p w14:paraId="70DE82C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81.2</w:t>
                  </w:r>
                </w:p>
              </w:tc>
              <w:tc>
                <w:tcPr>
                  <w:tcW w:w="2072" w:type="dxa"/>
                  <w:tcBorders>
                    <w:top w:val="nil"/>
                    <w:left w:val="nil"/>
                    <w:bottom w:val="single" w:sz="4" w:space="0" w:color="auto"/>
                    <w:right w:val="single" w:sz="4" w:space="0" w:color="auto"/>
                  </w:tcBorders>
                  <w:shd w:val="clear" w:color="auto" w:fill="auto"/>
                  <w:noWrap/>
                  <w:vAlign w:val="bottom"/>
                  <w:hideMark/>
                </w:tcPr>
                <w:p w14:paraId="234BD7C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81.2 (73.9, 86.1)</w:t>
                  </w:r>
                </w:p>
              </w:tc>
            </w:tr>
            <w:tr w:rsidR="00675ADB" w:rsidRPr="00DB5E03" w14:paraId="7155EF5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506917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36</w:t>
                  </w:r>
                </w:p>
              </w:tc>
              <w:tc>
                <w:tcPr>
                  <w:tcW w:w="3835" w:type="dxa"/>
                  <w:tcBorders>
                    <w:top w:val="nil"/>
                    <w:left w:val="nil"/>
                    <w:bottom w:val="single" w:sz="4" w:space="0" w:color="auto"/>
                    <w:right w:val="single" w:sz="4" w:space="0" w:color="auto"/>
                  </w:tcBorders>
                  <w:shd w:val="clear" w:color="auto" w:fill="auto"/>
                  <w:noWrap/>
                  <w:vAlign w:val="bottom"/>
                  <w:hideMark/>
                </w:tcPr>
                <w:p w14:paraId="1806806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Wollongong</w:t>
                  </w:r>
                </w:p>
              </w:tc>
              <w:tc>
                <w:tcPr>
                  <w:tcW w:w="1938" w:type="dxa"/>
                  <w:tcBorders>
                    <w:top w:val="nil"/>
                    <w:left w:val="nil"/>
                    <w:bottom w:val="single" w:sz="4" w:space="0" w:color="auto"/>
                    <w:right w:val="single" w:sz="4" w:space="0" w:color="auto"/>
                  </w:tcBorders>
                  <w:shd w:val="clear" w:color="auto" w:fill="auto"/>
                  <w:noWrap/>
                  <w:vAlign w:val="bottom"/>
                  <w:hideMark/>
                </w:tcPr>
                <w:p w14:paraId="4C77EB7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80.9</w:t>
                  </w:r>
                </w:p>
              </w:tc>
              <w:tc>
                <w:tcPr>
                  <w:tcW w:w="2072" w:type="dxa"/>
                  <w:tcBorders>
                    <w:top w:val="nil"/>
                    <w:left w:val="nil"/>
                    <w:bottom w:val="single" w:sz="4" w:space="0" w:color="auto"/>
                    <w:right w:val="single" w:sz="4" w:space="0" w:color="auto"/>
                  </w:tcBorders>
                  <w:shd w:val="clear" w:color="auto" w:fill="auto"/>
                  <w:noWrap/>
                  <w:vAlign w:val="bottom"/>
                  <w:hideMark/>
                </w:tcPr>
                <w:p w14:paraId="2F91397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80.9 (79.9, 81.8)</w:t>
                  </w:r>
                </w:p>
              </w:tc>
            </w:tr>
            <w:tr w:rsidR="00675ADB" w:rsidRPr="00DB5E03" w14:paraId="33BA612D"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8CB61B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37</w:t>
                  </w:r>
                </w:p>
              </w:tc>
              <w:tc>
                <w:tcPr>
                  <w:tcW w:w="3835" w:type="dxa"/>
                  <w:tcBorders>
                    <w:top w:val="nil"/>
                    <w:left w:val="nil"/>
                    <w:bottom w:val="single" w:sz="4" w:space="0" w:color="auto"/>
                    <w:right w:val="single" w:sz="4" w:space="0" w:color="auto"/>
                  </w:tcBorders>
                  <w:shd w:val="clear" w:color="auto" w:fill="auto"/>
                  <w:noWrap/>
                  <w:vAlign w:val="bottom"/>
                  <w:hideMark/>
                </w:tcPr>
                <w:p w14:paraId="7D6FF75A"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Stanley College</w:t>
                  </w:r>
                </w:p>
              </w:tc>
              <w:tc>
                <w:tcPr>
                  <w:tcW w:w="1938" w:type="dxa"/>
                  <w:tcBorders>
                    <w:top w:val="nil"/>
                    <w:left w:val="nil"/>
                    <w:bottom w:val="single" w:sz="4" w:space="0" w:color="auto"/>
                    <w:right w:val="single" w:sz="4" w:space="0" w:color="auto"/>
                  </w:tcBorders>
                  <w:shd w:val="clear" w:color="auto" w:fill="auto"/>
                  <w:noWrap/>
                  <w:vAlign w:val="bottom"/>
                  <w:hideMark/>
                </w:tcPr>
                <w:p w14:paraId="4B71240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80.6</w:t>
                  </w:r>
                </w:p>
              </w:tc>
              <w:tc>
                <w:tcPr>
                  <w:tcW w:w="2072" w:type="dxa"/>
                  <w:tcBorders>
                    <w:top w:val="nil"/>
                    <w:left w:val="nil"/>
                    <w:bottom w:val="single" w:sz="4" w:space="0" w:color="auto"/>
                    <w:right w:val="single" w:sz="4" w:space="0" w:color="auto"/>
                  </w:tcBorders>
                  <w:shd w:val="clear" w:color="auto" w:fill="auto"/>
                  <w:noWrap/>
                  <w:vAlign w:val="bottom"/>
                  <w:hideMark/>
                </w:tcPr>
                <w:p w14:paraId="4E8086A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80.6 (77.6, 83.1)</w:t>
                  </w:r>
                </w:p>
              </w:tc>
            </w:tr>
            <w:tr w:rsidR="00675ADB" w:rsidRPr="00DB5E03" w14:paraId="066C1CD6"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02ED12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38</w:t>
                  </w:r>
                </w:p>
              </w:tc>
              <w:tc>
                <w:tcPr>
                  <w:tcW w:w="3835" w:type="dxa"/>
                  <w:tcBorders>
                    <w:top w:val="nil"/>
                    <w:left w:val="nil"/>
                    <w:bottom w:val="single" w:sz="4" w:space="0" w:color="auto"/>
                    <w:right w:val="single" w:sz="4" w:space="0" w:color="auto"/>
                  </w:tcBorders>
                  <w:shd w:val="clear" w:color="auto" w:fill="auto"/>
                  <w:noWrap/>
                  <w:vAlign w:val="bottom"/>
                  <w:hideMark/>
                </w:tcPr>
                <w:p w14:paraId="6F1A2B1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Catholic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59F4097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80.5</w:t>
                  </w:r>
                </w:p>
              </w:tc>
              <w:tc>
                <w:tcPr>
                  <w:tcW w:w="2072" w:type="dxa"/>
                  <w:tcBorders>
                    <w:top w:val="nil"/>
                    <w:left w:val="nil"/>
                    <w:bottom w:val="single" w:sz="4" w:space="0" w:color="auto"/>
                    <w:right w:val="single" w:sz="4" w:space="0" w:color="auto"/>
                  </w:tcBorders>
                  <w:shd w:val="clear" w:color="auto" w:fill="auto"/>
                  <w:noWrap/>
                  <w:vAlign w:val="bottom"/>
                  <w:hideMark/>
                </w:tcPr>
                <w:p w14:paraId="021BFAA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80.5 (79.7, 81.3)</w:t>
                  </w:r>
                </w:p>
              </w:tc>
            </w:tr>
            <w:tr w:rsidR="00675ADB" w:rsidRPr="00DB5E03" w14:paraId="745F3200"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C9ADF6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39</w:t>
                  </w:r>
                </w:p>
              </w:tc>
              <w:tc>
                <w:tcPr>
                  <w:tcW w:w="3835" w:type="dxa"/>
                  <w:tcBorders>
                    <w:top w:val="nil"/>
                    <w:left w:val="nil"/>
                    <w:bottom w:val="single" w:sz="4" w:space="0" w:color="auto"/>
                    <w:right w:val="single" w:sz="4" w:space="0" w:color="auto"/>
                  </w:tcBorders>
                  <w:shd w:val="clear" w:color="auto" w:fill="auto"/>
                  <w:noWrap/>
                  <w:vAlign w:val="bottom"/>
                  <w:hideMark/>
                </w:tcPr>
                <w:p w14:paraId="5C78B8CA"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International College of Management, Sydney</w:t>
                  </w:r>
                </w:p>
              </w:tc>
              <w:tc>
                <w:tcPr>
                  <w:tcW w:w="1938" w:type="dxa"/>
                  <w:tcBorders>
                    <w:top w:val="nil"/>
                    <w:left w:val="nil"/>
                    <w:bottom w:val="single" w:sz="4" w:space="0" w:color="auto"/>
                    <w:right w:val="single" w:sz="4" w:space="0" w:color="auto"/>
                  </w:tcBorders>
                  <w:shd w:val="clear" w:color="auto" w:fill="auto"/>
                  <w:noWrap/>
                  <w:vAlign w:val="bottom"/>
                  <w:hideMark/>
                </w:tcPr>
                <w:p w14:paraId="1E55F43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80.4</w:t>
                  </w:r>
                </w:p>
              </w:tc>
              <w:tc>
                <w:tcPr>
                  <w:tcW w:w="2072" w:type="dxa"/>
                  <w:tcBorders>
                    <w:top w:val="nil"/>
                    <w:left w:val="nil"/>
                    <w:bottom w:val="single" w:sz="4" w:space="0" w:color="auto"/>
                    <w:right w:val="single" w:sz="4" w:space="0" w:color="auto"/>
                  </w:tcBorders>
                  <w:shd w:val="clear" w:color="auto" w:fill="auto"/>
                  <w:noWrap/>
                  <w:vAlign w:val="bottom"/>
                  <w:hideMark/>
                </w:tcPr>
                <w:p w14:paraId="62871C8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80.4 (76.3, 83.7)</w:t>
                  </w:r>
                </w:p>
              </w:tc>
            </w:tr>
            <w:tr w:rsidR="00675ADB" w:rsidRPr="00DB5E03" w14:paraId="64C77F7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30E0F9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40</w:t>
                  </w:r>
                </w:p>
              </w:tc>
              <w:tc>
                <w:tcPr>
                  <w:tcW w:w="3835" w:type="dxa"/>
                  <w:tcBorders>
                    <w:top w:val="nil"/>
                    <w:left w:val="nil"/>
                    <w:bottom w:val="single" w:sz="4" w:space="0" w:color="auto"/>
                    <w:right w:val="single" w:sz="4" w:space="0" w:color="auto"/>
                  </w:tcBorders>
                  <w:shd w:val="clear" w:color="auto" w:fill="auto"/>
                  <w:noWrap/>
                  <w:vAlign w:val="bottom"/>
                  <w:hideMark/>
                </w:tcPr>
                <w:p w14:paraId="4D796C7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Deakin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46433C8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80.1</w:t>
                  </w:r>
                </w:p>
              </w:tc>
              <w:tc>
                <w:tcPr>
                  <w:tcW w:w="2072" w:type="dxa"/>
                  <w:tcBorders>
                    <w:top w:val="nil"/>
                    <w:left w:val="nil"/>
                    <w:bottom w:val="single" w:sz="4" w:space="0" w:color="auto"/>
                    <w:right w:val="single" w:sz="4" w:space="0" w:color="auto"/>
                  </w:tcBorders>
                  <w:shd w:val="clear" w:color="auto" w:fill="auto"/>
                  <w:noWrap/>
                  <w:vAlign w:val="bottom"/>
                  <w:hideMark/>
                </w:tcPr>
                <w:p w14:paraId="1C758DA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80.1 (79.4, 80.8)</w:t>
                  </w:r>
                </w:p>
              </w:tc>
            </w:tr>
            <w:tr w:rsidR="00675ADB" w:rsidRPr="00DB5E03" w14:paraId="0069B2B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4716BC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41</w:t>
                  </w:r>
                </w:p>
              </w:tc>
              <w:tc>
                <w:tcPr>
                  <w:tcW w:w="3835" w:type="dxa"/>
                  <w:tcBorders>
                    <w:top w:val="nil"/>
                    <w:left w:val="nil"/>
                    <w:bottom w:val="single" w:sz="4" w:space="0" w:color="auto"/>
                    <w:right w:val="single" w:sz="4" w:space="0" w:color="auto"/>
                  </w:tcBorders>
                  <w:shd w:val="clear" w:color="auto" w:fill="auto"/>
                  <w:noWrap/>
                  <w:vAlign w:val="bottom"/>
                  <w:hideMark/>
                </w:tcPr>
                <w:p w14:paraId="1E411EBE"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LCI Melbourne</w:t>
                  </w:r>
                </w:p>
              </w:tc>
              <w:tc>
                <w:tcPr>
                  <w:tcW w:w="1938" w:type="dxa"/>
                  <w:tcBorders>
                    <w:top w:val="nil"/>
                    <w:left w:val="nil"/>
                    <w:bottom w:val="single" w:sz="4" w:space="0" w:color="auto"/>
                    <w:right w:val="single" w:sz="4" w:space="0" w:color="auto"/>
                  </w:tcBorders>
                  <w:shd w:val="clear" w:color="auto" w:fill="auto"/>
                  <w:noWrap/>
                  <w:vAlign w:val="bottom"/>
                  <w:hideMark/>
                </w:tcPr>
                <w:p w14:paraId="43452A4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80.0</w:t>
                  </w:r>
                </w:p>
              </w:tc>
              <w:tc>
                <w:tcPr>
                  <w:tcW w:w="2072" w:type="dxa"/>
                  <w:tcBorders>
                    <w:top w:val="nil"/>
                    <w:left w:val="nil"/>
                    <w:bottom w:val="single" w:sz="4" w:space="0" w:color="auto"/>
                    <w:right w:val="single" w:sz="4" w:space="0" w:color="auto"/>
                  </w:tcBorders>
                  <w:shd w:val="clear" w:color="auto" w:fill="auto"/>
                  <w:noWrap/>
                  <w:vAlign w:val="bottom"/>
                  <w:hideMark/>
                </w:tcPr>
                <w:p w14:paraId="4F72C12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80.0 (68.9, 86.8)</w:t>
                  </w:r>
                </w:p>
              </w:tc>
            </w:tr>
            <w:tr w:rsidR="00675ADB" w:rsidRPr="00DB5E03" w14:paraId="1688BD8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1F9E86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42</w:t>
                  </w:r>
                </w:p>
              </w:tc>
              <w:tc>
                <w:tcPr>
                  <w:tcW w:w="3835" w:type="dxa"/>
                  <w:tcBorders>
                    <w:top w:val="nil"/>
                    <w:left w:val="nil"/>
                    <w:bottom w:val="single" w:sz="4" w:space="0" w:color="auto"/>
                    <w:right w:val="single" w:sz="4" w:space="0" w:color="auto"/>
                  </w:tcBorders>
                  <w:shd w:val="clear" w:color="auto" w:fill="auto"/>
                  <w:noWrap/>
                  <w:vAlign w:val="bottom"/>
                  <w:hideMark/>
                </w:tcPr>
                <w:p w14:paraId="1B54992C"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the Sunshine Coast</w:t>
                  </w:r>
                </w:p>
              </w:tc>
              <w:tc>
                <w:tcPr>
                  <w:tcW w:w="1938" w:type="dxa"/>
                  <w:tcBorders>
                    <w:top w:val="nil"/>
                    <w:left w:val="nil"/>
                    <w:bottom w:val="single" w:sz="4" w:space="0" w:color="auto"/>
                    <w:right w:val="single" w:sz="4" w:space="0" w:color="auto"/>
                  </w:tcBorders>
                  <w:shd w:val="clear" w:color="auto" w:fill="auto"/>
                  <w:noWrap/>
                  <w:vAlign w:val="bottom"/>
                  <w:hideMark/>
                </w:tcPr>
                <w:p w14:paraId="1784FD3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80.0</w:t>
                  </w:r>
                </w:p>
              </w:tc>
              <w:tc>
                <w:tcPr>
                  <w:tcW w:w="2072" w:type="dxa"/>
                  <w:tcBorders>
                    <w:top w:val="nil"/>
                    <w:left w:val="nil"/>
                    <w:bottom w:val="single" w:sz="4" w:space="0" w:color="auto"/>
                    <w:right w:val="single" w:sz="4" w:space="0" w:color="auto"/>
                  </w:tcBorders>
                  <w:shd w:val="clear" w:color="auto" w:fill="auto"/>
                  <w:noWrap/>
                  <w:vAlign w:val="bottom"/>
                  <w:hideMark/>
                </w:tcPr>
                <w:p w14:paraId="63F3AEE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80.0 (78.9, 81.1)</w:t>
                  </w:r>
                </w:p>
              </w:tc>
            </w:tr>
            <w:tr w:rsidR="00675ADB" w:rsidRPr="00DB5E03" w14:paraId="019E6390"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6DC1BC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43</w:t>
                  </w:r>
                </w:p>
              </w:tc>
              <w:tc>
                <w:tcPr>
                  <w:tcW w:w="3835" w:type="dxa"/>
                  <w:tcBorders>
                    <w:top w:val="nil"/>
                    <w:left w:val="nil"/>
                    <w:bottom w:val="single" w:sz="4" w:space="0" w:color="auto"/>
                    <w:right w:val="single" w:sz="4" w:space="0" w:color="auto"/>
                  </w:tcBorders>
                  <w:shd w:val="clear" w:color="auto" w:fill="auto"/>
                  <w:noWrap/>
                  <w:vAlign w:val="bottom"/>
                  <w:hideMark/>
                </w:tcPr>
                <w:p w14:paraId="152216BB"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Charles Sturt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57CEC65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79.7</w:t>
                  </w:r>
                </w:p>
              </w:tc>
              <w:tc>
                <w:tcPr>
                  <w:tcW w:w="2072" w:type="dxa"/>
                  <w:tcBorders>
                    <w:top w:val="nil"/>
                    <w:left w:val="nil"/>
                    <w:bottom w:val="single" w:sz="4" w:space="0" w:color="auto"/>
                    <w:right w:val="single" w:sz="4" w:space="0" w:color="auto"/>
                  </w:tcBorders>
                  <w:shd w:val="clear" w:color="auto" w:fill="auto"/>
                  <w:noWrap/>
                  <w:vAlign w:val="bottom"/>
                  <w:hideMark/>
                </w:tcPr>
                <w:p w14:paraId="329B0F1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79.7 (78.7, 80.7)</w:t>
                  </w:r>
                </w:p>
              </w:tc>
            </w:tr>
            <w:tr w:rsidR="00675ADB" w:rsidRPr="00DB5E03" w14:paraId="566689EF"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45E310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44</w:t>
                  </w:r>
                </w:p>
              </w:tc>
              <w:tc>
                <w:tcPr>
                  <w:tcW w:w="3835" w:type="dxa"/>
                  <w:tcBorders>
                    <w:top w:val="nil"/>
                    <w:left w:val="nil"/>
                    <w:bottom w:val="single" w:sz="4" w:space="0" w:color="auto"/>
                    <w:right w:val="single" w:sz="4" w:space="0" w:color="auto"/>
                  </w:tcBorders>
                  <w:shd w:val="clear" w:color="auto" w:fill="auto"/>
                  <w:noWrap/>
                  <w:vAlign w:val="bottom"/>
                  <w:hideMark/>
                </w:tcPr>
                <w:p w14:paraId="1C8AB4DB"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Edith Cowan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1048EB1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79.7</w:t>
                  </w:r>
                </w:p>
              </w:tc>
              <w:tc>
                <w:tcPr>
                  <w:tcW w:w="2072" w:type="dxa"/>
                  <w:tcBorders>
                    <w:top w:val="nil"/>
                    <w:left w:val="nil"/>
                    <w:bottom w:val="single" w:sz="4" w:space="0" w:color="auto"/>
                    <w:right w:val="single" w:sz="4" w:space="0" w:color="auto"/>
                  </w:tcBorders>
                  <w:shd w:val="clear" w:color="auto" w:fill="auto"/>
                  <w:noWrap/>
                  <w:vAlign w:val="bottom"/>
                  <w:hideMark/>
                </w:tcPr>
                <w:p w14:paraId="586FDC6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79.7 (78.9, 80.5)</w:t>
                  </w:r>
                </w:p>
              </w:tc>
            </w:tr>
            <w:tr w:rsidR="00675ADB" w:rsidRPr="00DB5E03" w14:paraId="78D49136"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6C66E6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45</w:t>
                  </w:r>
                </w:p>
              </w:tc>
              <w:tc>
                <w:tcPr>
                  <w:tcW w:w="3835" w:type="dxa"/>
                  <w:tcBorders>
                    <w:top w:val="nil"/>
                    <w:left w:val="nil"/>
                    <w:bottom w:val="single" w:sz="4" w:space="0" w:color="auto"/>
                    <w:right w:val="single" w:sz="4" w:space="0" w:color="auto"/>
                  </w:tcBorders>
                  <w:shd w:val="clear" w:color="auto" w:fill="auto"/>
                  <w:noWrap/>
                  <w:vAlign w:val="bottom"/>
                  <w:hideMark/>
                </w:tcPr>
                <w:p w14:paraId="7585C0A0"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Academies Australasia Polytechnic</w:t>
                  </w:r>
                </w:p>
              </w:tc>
              <w:tc>
                <w:tcPr>
                  <w:tcW w:w="1938" w:type="dxa"/>
                  <w:tcBorders>
                    <w:top w:val="nil"/>
                    <w:left w:val="nil"/>
                    <w:bottom w:val="single" w:sz="4" w:space="0" w:color="auto"/>
                    <w:right w:val="single" w:sz="4" w:space="0" w:color="auto"/>
                  </w:tcBorders>
                  <w:shd w:val="clear" w:color="auto" w:fill="auto"/>
                  <w:noWrap/>
                  <w:vAlign w:val="bottom"/>
                  <w:hideMark/>
                </w:tcPr>
                <w:p w14:paraId="273BB33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79.5</w:t>
                  </w:r>
                </w:p>
              </w:tc>
              <w:tc>
                <w:tcPr>
                  <w:tcW w:w="2072" w:type="dxa"/>
                  <w:tcBorders>
                    <w:top w:val="nil"/>
                    <w:left w:val="nil"/>
                    <w:bottom w:val="single" w:sz="4" w:space="0" w:color="auto"/>
                    <w:right w:val="single" w:sz="4" w:space="0" w:color="auto"/>
                  </w:tcBorders>
                  <w:shd w:val="clear" w:color="auto" w:fill="auto"/>
                  <w:noWrap/>
                  <w:vAlign w:val="bottom"/>
                  <w:hideMark/>
                </w:tcPr>
                <w:p w14:paraId="3856E67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79.5 (75.5, 82.5)</w:t>
                  </w:r>
                </w:p>
              </w:tc>
            </w:tr>
            <w:tr w:rsidR="00675ADB" w:rsidRPr="00DB5E03" w14:paraId="46D186C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DD3BBF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46</w:t>
                  </w:r>
                </w:p>
              </w:tc>
              <w:tc>
                <w:tcPr>
                  <w:tcW w:w="3835" w:type="dxa"/>
                  <w:tcBorders>
                    <w:top w:val="nil"/>
                    <w:left w:val="nil"/>
                    <w:bottom w:val="single" w:sz="4" w:space="0" w:color="auto"/>
                    <w:right w:val="single" w:sz="4" w:space="0" w:color="auto"/>
                  </w:tcBorders>
                  <w:shd w:val="clear" w:color="auto" w:fill="auto"/>
                  <w:noWrap/>
                  <w:vAlign w:val="bottom"/>
                  <w:hideMark/>
                </w:tcPr>
                <w:p w14:paraId="0EDF4D4D"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Holmes Institute</w:t>
                  </w:r>
                </w:p>
              </w:tc>
              <w:tc>
                <w:tcPr>
                  <w:tcW w:w="1938" w:type="dxa"/>
                  <w:tcBorders>
                    <w:top w:val="nil"/>
                    <w:left w:val="nil"/>
                    <w:bottom w:val="single" w:sz="4" w:space="0" w:color="auto"/>
                    <w:right w:val="single" w:sz="4" w:space="0" w:color="auto"/>
                  </w:tcBorders>
                  <w:shd w:val="clear" w:color="auto" w:fill="auto"/>
                  <w:noWrap/>
                  <w:vAlign w:val="bottom"/>
                  <w:hideMark/>
                </w:tcPr>
                <w:p w14:paraId="27A5308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79.5</w:t>
                  </w:r>
                </w:p>
              </w:tc>
              <w:tc>
                <w:tcPr>
                  <w:tcW w:w="2072" w:type="dxa"/>
                  <w:tcBorders>
                    <w:top w:val="nil"/>
                    <w:left w:val="nil"/>
                    <w:bottom w:val="single" w:sz="4" w:space="0" w:color="auto"/>
                    <w:right w:val="single" w:sz="4" w:space="0" w:color="auto"/>
                  </w:tcBorders>
                  <w:shd w:val="clear" w:color="auto" w:fill="auto"/>
                  <w:noWrap/>
                  <w:vAlign w:val="bottom"/>
                  <w:hideMark/>
                </w:tcPr>
                <w:p w14:paraId="074395A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79.5 (75.0, 83.0)</w:t>
                  </w:r>
                </w:p>
              </w:tc>
            </w:tr>
            <w:tr w:rsidR="00675ADB" w:rsidRPr="00DB5E03" w14:paraId="10F4C4E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F2D63D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47</w:t>
                  </w:r>
                </w:p>
              </w:tc>
              <w:tc>
                <w:tcPr>
                  <w:tcW w:w="3835" w:type="dxa"/>
                  <w:tcBorders>
                    <w:top w:val="nil"/>
                    <w:left w:val="nil"/>
                    <w:bottom w:val="single" w:sz="4" w:space="0" w:color="auto"/>
                    <w:right w:val="single" w:sz="4" w:space="0" w:color="auto"/>
                  </w:tcBorders>
                  <w:shd w:val="clear" w:color="auto" w:fill="auto"/>
                  <w:noWrap/>
                  <w:vAlign w:val="bottom"/>
                  <w:hideMark/>
                </w:tcPr>
                <w:p w14:paraId="3B5B916F"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New England</w:t>
                  </w:r>
                </w:p>
              </w:tc>
              <w:tc>
                <w:tcPr>
                  <w:tcW w:w="1938" w:type="dxa"/>
                  <w:tcBorders>
                    <w:top w:val="nil"/>
                    <w:left w:val="nil"/>
                    <w:bottom w:val="single" w:sz="4" w:space="0" w:color="auto"/>
                    <w:right w:val="single" w:sz="4" w:space="0" w:color="auto"/>
                  </w:tcBorders>
                  <w:shd w:val="clear" w:color="auto" w:fill="auto"/>
                  <w:noWrap/>
                  <w:vAlign w:val="bottom"/>
                  <w:hideMark/>
                </w:tcPr>
                <w:p w14:paraId="42E72BD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79.5</w:t>
                  </w:r>
                </w:p>
              </w:tc>
              <w:tc>
                <w:tcPr>
                  <w:tcW w:w="2072" w:type="dxa"/>
                  <w:tcBorders>
                    <w:top w:val="nil"/>
                    <w:left w:val="nil"/>
                    <w:bottom w:val="single" w:sz="4" w:space="0" w:color="auto"/>
                    <w:right w:val="single" w:sz="4" w:space="0" w:color="auto"/>
                  </w:tcBorders>
                  <w:shd w:val="clear" w:color="auto" w:fill="auto"/>
                  <w:noWrap/>
                  <w:vAlign w:val="bottom"/>
                  <w:hideMark/>
                </w:tcPr>
                <w:p w14:paraId="398A7D4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79.5 (78.3, 80.6)</w:t>
                  </w:r>
                </w:p>
              </w:tc>
            </w:tr>
            <w:tr w:rsidR="00675ADB" w:rsidRPr="00DB5E03" w14:paraId="09CED516"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93320B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48</w:t>
                  </w:r>
                </w:p>
              </w:tc>
              <w:tc>
                <w:tcPr>
                  <w:tcW w:w="3835" w:type="dxa"/>
                  <w:tcBorders>
                    <w:top w:val="nil"/>
                    <w:left w:val="nil"/>
                    <w:bottom w:val="single" w:sz="4" w:space="0" w:color="auto"/>
                    <w:right w:val="single" w:sz="4" w:space="0" w:color="auto"/>
                  </w:tcBorders>
                  <w:shd w:val="clear" w:color="auto" w:fill="auto"/>
                  <w:noWrap/>
                  <w:vAlign w:val="bottom"/>
                  <w:hideMark/>
                </w:tcPr>
                <w:p w14:paraId="597B1945"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Victoria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6285518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79.1</w:t>
                  </w:r>
                </w:p>
              </w:tc>
              <w:tc>
                <w:tcPr>
                  <w:tcW w:w="2072" w:type="dxa"/>
                  <w:tcBorders>
                    <w:top w:val="nil"/>
                    <w:left w:val="nil"/>
                    <w:bottom w:val="single" w:sz="4" w:space="0" w:color="auto"/>
                    <w:right w:val="single" w:sz="4" w:space="0" w:color="auto"/>
                  </w:tcBorders>
                  <w:shd w:val="clear" w:color="auto" w:fill="auto"/>
                  <w:noWrap/>
                  <w:vAlign w:val="bottom"/>
                  <w:hideMark/>
                </w:tcPr>
                <w:p w14:paraId="2F9532E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79.1 (78.1, 80.0)</w:t>
                  </w:r>
                </w:p>
              </w:tc>
            </w:tr>
            <w:tr w:rsidR="00675ADB" w:rsidRPr="00DB5E03" w14:paraId="1DEF3485"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ED1688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49</w:t>
                  </w:r>
                </w:p>
              </w:tc>
              <w:tc>
                <w:tcPr>
                  <w:tcW w:w="3835" w:type="dxa"/>
                  <w:tcBorders>
                    <w:top w:val="nil"/>
                    <w:left w:val="nil"/>
                    <w:bottom w:val="single" w:sz="4" w:space="0" w:color="auto"/>
                    <w:right w:val="single" w:sz="4" w:space="0" w:color="auto"/>
                  </w:tcBorders>
                  <w:shd w:val="clear" w:color="auto" w:fill="auto"/>
                  <w:noWrap/>
                  <w:vAlign w:val="bottom"/>
                  <w:hideMark/>
                </w:tcPr>
                <w:p w14:paraId="22A51F4D"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Federation University Australia</w:t>
                  </w:r>
                </w:p>
              </w:tc>
              <w:tc>
                <w:tcPr>
                  <w:tcW w:w="1938" w:type="dxa"/>
                  <w:tcBorders>
                    <w:top w:val="nil"/>
                    <w:left w:val="nil"/>
                    <w:bottom w:val="single" w:sz="4" w:space="0" w:color="auto"/>
                    <w:right w:val="single" w:sz="4" w:space="0" w:color="auto"/>
                  </w:tcBorders>
                  <w:shd w:val="clear" w:color="auto" w:fill="auto"/>
                  <w:noWrap/>
                  <w:vAlign w:val="bottom"/>
                  <w:hideMark/>
                </w:tcPr>
                <w:p w14:paraId="33AE8F4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78.9</w:t>
                  </w:r>
                </w:p>
              </w:tc>
              <w:tc>
                <w:tcPr>
                  <w:tcW w:w="2072" w:type="dxa"/>
                  <w:tcBorders>
                    <w:top w:val="nil"/>
                    <w:left w:val="nil"/>
                    <w:bottom w:val="single" w:sz="4" w:space="0" w:color="auto"/>
                    <w:right w:val="single" w:sz="4" w:space="0" w:color="auto"/>
                  </w:tcBorders>
                  <w:shd w:val="clear" w:color="auto" w:fill="auto"/>
                  <w:noWrap/>
                  <w:vAlign w:val="bottom"/>
                  <w:hideMark/>
                </w:tcPr>
                <w:p w14:paraId="4ABBB3D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78.9 (77.2, 80.5)</w:t>
                  </w:r>
                </w:p>
              </w:tc>
            </w:tr>
            <w:tr w:rsidR="00675ADB" w:rsidRPr="00DB5E03" w14:paraId="11CA5C8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CBE9DF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50</w:t>
                  </w:r>
                </w:p>
              </w:tc>
              <w:tc>
                <w:tcPr>
                  <w:tcW w:w="3835" w:type="dxa"/>
                  <w:tcBorders>
                    <w:top w:val="nil"/>
                    <w:left w:val="nil"/>
                    <w:bottom w:val="single" w:sz="4" w:space="0" w:color="auto"/>
                    <w:right w:val="single" w:sz="4" w:space="0" w:color="auto"/>
                  </w:tcBorders>
                  <w:shd w:val="clear" w:color="auto" w:fill="auto"/>
                  <w:noWrap/>
                  <w:vAlign w:val="bottom"/>
                  <w:hideMark/>
                </w:tcPr>
                <w:p w14:paraId="37C004A6"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La Trobe College Australia</w:t>
                  </w:r>
                </w:p>
              </w:tc>
              <w:tc>
                <w:tcPr>
                  <w:tcW w:w="1938" w:type="dxa"/>
                  <w:tcBorders>
                    <w:top w:val="nil"/>
                    <w:left w:val="nil"/>
                    <w:bottom w:val="single" w:sz="4" w:space="0" w:color="auto"/>
                    <w:right w:val="single" w:sz="4" w:space="0" w:color="auto"/>
                  </w:tcBorders>
                  <w:shd w:val="clear" w:color="auto" w:fill="auto"/>
                  <w:noWrap/>
                  <w:vAlign w:val="bottom"/>
                  <w:hideMark/>
                </w:tcPr>
                <w:p w14:paraId="5C7F130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78.7</w:t>
                  </w:r>
                </w:p>
              </w:tc>
              <w:tc>
                <w:tcPr>
                  <w:tcW w:w="2072" w:type="dxa"/>
                  <w:tcBorders>
                    <w:top w:val="nil"/>
                    <w:left w:val="nil"/>
                    <w:bottom w:val="single" w:sz="4" w:space="0" w:color="auto"/>
                    <w:right w:val="single" w:sz="4" w:space="0" w:color="auto"/>
                  </w:tcBorders>
                  <w:shd w:val="clear" w:color="auto" w:fill="auto"/>
                  <w:noWrap/>
                  <w:vAlign w:val="bottom"/>
                  <w:hideMark/>
                </w:tcPr>
                <w:p w14:paraId="120981E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78.7 (75.3, 81.5)</w:t>
                  </w:r>
                </w:p>
              </w:tc>
            </w:tr>
            <w:tr w:rsidR="00675ADB" w:rsidRPr="00DB5E03" w14:paraId="0AF1DB4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B4BA0E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51</w:t>
                  </w:r>
                </w:p>
              </w:tc>
              <w:tc>
                <w:tcPr>
                  <w:tcW w:w="3835" w:type="dxa"/>
                  <w:tcBorders>
                    <w:top w:val="nil"/>
                    <w:left w:val="nil"/>
                    <w:bottom w:val="single" w:sz="4" w:space="0" w:color="auto"/>
                    <w:right w:val="single" w:sz="4" w:space="0" w:color="auto"/>
                  </w:tcBorders>
                  <w:shd w:val="clear" w:color="auto" w:fill="auto"/>
                  <w:noWrap/>
                  <w:vAlign w:val="bottom"/>
                  <w:hideMark/>
                </w:tcPr>
                <w:p w14:paraId="3F695254" w14:textId="77777777" w:rsidR="00675ADB" w:rsidRPr="00DB5E03" w:rsidRDefault="00675ADB" w:rsidP="00095A97">
                  <w:pPr>
                    <w:ind w:right="0"/>
                    <w:rPr>
                      <w:rFonts w:ascii="Aptos" w:eastAsia="Times New Roman" w:hAnsi="Aptos" w:cs="Calibri"/>
                      <w:color w:val="000000"/>
                      <w:szCs w:val="24"/>
                      <w:lang w:eastAsia="en-AU"/>
                    </w:rPr>
                  </w:pPr>
                  <w:proofErr w:type="spellStart"/>
                  <w:r w:rsidRPr="00DB5E03">
                    <w:rPr>
                      <w:rFonts w:ascii="Aptos" w:eastAsia="Times New Roman" w:hAnsi="Aptos" w:cs="Calibri"/>
                      <w:color w:val="000000"/>
                      <w:szCs w:val="24"/>
                      <w:lang w:eastAsia="en-AU"/>
                    </w:rPr>
                    <w:t>Excelsia</w:t>
                  </w:r>
                  <w:proofErr w:type="spellEnd"/>
                  <w:r w:rsidRPr="00DB5E03">
                    <w:rPr>
                      <w:rFonts w:ascii="Aptos" w:eastAsia="Times New Roman" w:hAnsi="Aptos" w:cs="Calibri"/>
                      <w:color w:val="000000"/>
                      <w:szCs w:val="24"/>
                      <w:lang w:eastAsia="en-AU"/>
                    </w:rPr>
                    <w:t xml:space="preserve"> University College</w:t>
                  </w:r>
                </w:p>
              </w:tc>
              <w:tc>
                <w:tcPr>
                  <w:tcW w:w="1938" w:type="dxa"/>
                  <w:tcBorders>
                    <w:top w:val="nil"/>
                    <w:left w:val="nil"/>
                    <w:bottom w:val="single" w:sz="4" w:space="0" w:color="auto"/>
                    <w:right w:val="single" w:sz="4" w:space="0" w:color="auto"/>
                  </w:tcBorders>
                  <w:shd w:val="clear" w:color="auto" w:fill="auto"/>
                  <w:noWrap/>
                  <w:vAlign w:val="bottom"/>
                  <w:hideMark/>
                </w:tcPr>
                <w:p w14:paraId="46883D2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78.6</w:t>
                  </w:r>
                </w:p>
              </w:tc>
              <w:tc>
                <w:tcPr>
                  <w:tcW w:w="2072" w:type="dxa"/>
                  <w:tcBorders>
                    <w:top w:val="nil"/>
                    <w:left w:val="nil"/>
                    <w:bottom w:val="single" w:sz="4" w:space="0" w:color="auto"/>
                    <w:right w:val="single" w:sz="4" w:space="0" w:color="auto"/>
                  </w:tcBorders>
                  <w:shd w:val="clear" w:color="auto" w:fill="auto"/>
                  <w:noWrap/>
                  <w:vAlign w:val="bottom"/>
                  <w:hideMark/>
                </w:tcPr>
                <w:p w14:paraId="739DE1F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78.6 (75.7, 81.2)</w:t>
                  </w:r>
                </w:p>
              </w:tc>
            </w:tr>
            <w:tr w:rsidR="00675ADB" w:rsidRPr="00DB5E03" w14:paraId="30B46C6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B760F0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52</w:t>
                  </w:r>
                </w:p>
              </w:tc>
              <w:tc>
                <w:tcPr>
                  <w:tcW w:w="3835" w:type="dxa"/>
                  <w:tcBorders>
                    <w:top w:val="nil"/>
                    <w:left w:val="nil"/>
                    <w:bottom w:val="single" w:sz="4" w:space="0" w:color="auto"/>
                    <w:right w:val="single" w:sz="4" w:space="0" w:color="auto"/>
                  </w:tcBorders>
                  <w:shd w:val="clear" w:color="auto" w:fill="auto"/>
                  <w:noWrap/>
                  <w:vAlign w:val="bottom"/>
                  <w:hideMark/>
                </w:tcPr>
                <w:p w14:paraId="7B2B706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Flinders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4C834EB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78.6</w:t>
                  </w:r>
                </w:p>
              </w:tc>
              <w:tc>
                <w:tcPr>
                  <w:tcW w:w="2072" w:type="dxa"/>
                  <w:tcBorders>
                    <w:top w:val="nil"/>
                    <w:left w:val="nil"/>
                    <w:bottom w:val="single" w:sz="4" w:space="0" w:color="auto"/>
                    <w:right w:val="single" w:sz="4" w:space="0" w:color="auto"/>
                  </w:tcBorders>
                  <w:shd w:val="clear" w:color="auto" w:fill="auto"/>
                  <w:noWrap/>
                  <w:vAlign w:val="bottom"/>
                  <w:hideMark/>
                </w:tcPr>
                <w:p w14:paraId="646FD11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78.6 (77.5, 79.7)</w:t>
                  </w:r>
                </w:p>
              </w:tc>
            </w:tr>
            <w:tr w:rsidR="00675ADB" w:rsidRPr="00DB5E03" w14:paraId="316658F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4B0064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53</w:t>
                  </w:r>
                </w:p>
              </w:tc>
              <w:tc>
                <w:tcPr>
                  <w:tcW w:w="3835" w:type="dxa"/>
                  <w:tcBorders>
                    <w:top w:val="nil"/>
                    <w:left w:val="nil"/>
                    <w:bottom w:val="single" w:sz="4" w:space="0" w:color="auto"/>
                    <w:right w:val="single" w:sz="4" w:space="0" w:color="auto"/>
                  </w:tcBorders>
                  <w:shd w:val="clear" w:color="auto" w:fill="auto"/>
                  <w:noWrap/>
                  <w:vAlign w:val="bottom"/>
                  <w:hideMark/>
                </w:tcPr>
                <w:p w14:paraId="3FEDE7F3"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Australasian College of Health and Wellness</w:t>
                  </w:r>
                </w:p>
              </w:tc>
              <w:tc>
                <w:tcPr>
                  <w:tcW w:w="1938" w:type="dxa"/>
                  <w:tcBorders>
                    <w:top w:val="nil"/>
                    <w:left w:val="nil"/>
                    <w:bottom w:val="single" w:sz="4" w:space="0" w:color="auto"/>
                    <w:right w:val="single" w:sz="4" w:space="0" w:color="auto"/>
                  </w:tcBorders>
                  <w:shd w:val="clear" w:color="auto" w:fill="auto"/>
                  <w:noWrap/>
                  <w:vAlign w:val="bottom"/>
                  <w:hideMark/>
                </w:tcPr>
                <w:p w14:paraId="24E82F6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78.5</w:t>
                  </w:r>
                </w:p>
              </w:tc>
              <w:tc>
                <w:tcPr>
                  <w:tcW w:w="2072" w:type="dxa"/>
                  <w:tcBorders>
                    <w:top w:val="nil"/>
                    <w:left w:val="nil"/>
                    <w:bottom w:val="single" w:sz="4" w:space="0" w:color="auto"/>
                    <w:right w:val="single" w:sz="4" w:space="0" w:color="auto"/>
                  </w:tcBorders>
                  <w:shd w:val="clear" w:color="auto" w:fill="auto"/>
                  <w:noWrap/>
                  <w:vAlign w:val="bottom"/>
                  <w:hideMark/>
                </w:tcPr>
                <w:p w14:paraId="7A6FE30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78.5 (73.2, 82.8)</w:t>
                  </w:r>
                </w:p>
              </w:tc>
            </w:tr>
            <w:tr w:rsidR="00675ADB" w:rsidRPr="00DB5E03" w14:paraId="1765D7E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E70D81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54</w:t>
                  </w:r>
                </w:p>
              </w:tc>
              <w:tc>
                <w:tcPr>
                  <w:tcW w:w="3835" w:type="dxa"/>
                  <w:tcBorders>
                    <w:top w:val="nil"/>
                    <w:left w:val="nil"/>
                    <w:bottom w:val="single" w:sz="4" w:space="0" w:color="auto"/>
                    <w:right w:val="single" w:sz="4" w:space="0" w:color="auto"/>
                  </w:tcBorders>
                  <w:shd w:val="clear" w:color="auto" w:fill="auto"/>
                  <w:noWrap/>
                  <w:vAlign w:val="bottom"/>
                  <w:hideMark/>
                </w:tcPr>
                <w:p w14:paraId="0A1E158A"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La Trobe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3F2D114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78.5</w:t>
                  </w:r>
                </w:p>
              </w:tc>
              <w:tc>
                <w:tcPr>
                  <w:tcW w:w="2072" w:type="dxa"/>
                  <w:tcBorders>
                    <w:top w:val="nil"/>
                    <w:left w:val="nil"/>
                    <w:bottom w:val="single" w:sz="4" w:space="0" w:color="auto"/>
                    <w:right w:val="single" w:sz="4" w:space="0" w:color="auto"/>
                  </w:tcBorders>
                  <w:shd w:val="clear" w:color="auto" w:fill="auto"/>
                  <w:noWrap/>
                  <w:vAlign w:val="bottom"/>
                  <w:hideMark/>
                </w:tcPr>
                <w:p w14:paraId="3EFD52F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78.5 (77.6, 79.3)</w:t>
                  </w:r>
                </w:p>
              </w:tc>
            </w:tr>
            <w:tr w:rsidR="00675ADB" w:rsidRPr="00DB5E03" w14:paraId="2E6FED2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919906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55</w:t>
                  </w:r>
                </w:p>
              </w:tc>
              <w:tc>
                <w:tcPr>
                  <w:tcW w:w="3835" w:type="dxa"/>
                  <w:tcBorders>
                    <w:top w:val="nil"/>
                    <w:left w:val="nil"/>
                    <w:bottom w:val="single" w:sz="4" w:space="0" w:color="auto"/>
                    <w:right w:val="single" w:sz="4" w:space="0" w:color="auto"/>
                  </w:tcBorders>
                  <w:shd w:val="clear" w:color="auto" w:fill="auto"/>
                  <w:noWrap/>
                  <w:vAlign w:val="bottom"/>
                  <w:hideMark/>
                </w:tcPr>
                <w:p w14:paraId="24C5186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Ikon Institute of Australia</w:t>
                  </w:r>
                </w:p>
              </w:tc>
              <w:tc>
                <w:tcPr>
                  <w:tcW w:w="1938" w:type="dxa"/>
                  <w:tcBorders>
                    <w:top w:val="nil"/>
                    <w:left w:val="nil"/>
                    <w:bottom w:val="single" w:sz="4" w:space="0" w:color="auto"/>
                    <w:right w:val="single" w:sz="4" w:space="0" w:color="auto"/>
                  </w:tcBorders>
                  <w:shd w:val="clear" w:color="auto" w:fill="auto"/>
                  <w:noWrap/>
                  <w:vAlign w:val="bottom"/>
                  <w:hideMark/>
                </w:tcPr>
                <w:p w14:paraId="3845291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78.3</w:t>
                  </w:r>
                </w:p>
              </w:tc>
              <w:tc>
                <w:tcPr>
                  <w:tcW w:w="2072" w:type="dxa"/>
                  <w:tcBorders>
                    <w:top w:val="nil"/>
                    <w:left w:val="nil"/>
                    <w:bottom w:val="single" w:sz="4" w:space="0" w:color="auto"/>
                    <w:right w:val="single" w:sz="4" w:space="0" w:color="auto"/>
                  </w:tcBorders>
                  <w:shd w:val="clear" w:color="auto" w:fill="auto"/>
                  <w:noWrap/>
                  <w:vAlign w:val="bottom"/>
                  <w:hideMark/>
                </w:tcPr>
                <w:p w14:paraId="504627C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78.3 (76.2, 80.1)</w:t>
                  </w:r>
                </w:p>
              </w:tc>
            </w:tr>
            <w:tr w:rsidR="00675ADB" w:rsidRPr="00DB5E03" w14:paraId="5D69F9A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6E8F8E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56</w:t>
                  </w:r>
                </w:p>
              </w:tc>
              <w:tc>
                <w:tcPr>
                  <w:tcW w:w="3835" w:type="dxa"/>
                  <w:tcBorders>
                    <w:top w:val="nil"/>
                    <w:left w:val="nil"/>
                    <w:bottom w:val="single" w:sz="4" w:space="0" w:color="auto"/>
                    <w:right w:val="single" w:sz="4" w:space="0" w:color="auto"/>
                  </w:tcBorders>
                  <w:shd w:val="clear" w:color="auto" w:fill="auto"/>
                  <w:noWrap/>
                  <w:vAlign w:val="bottom"/>
                  <w:hideMark/>
                </w:tcPr>
                <w:p w14:paraId="02A1C808"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Kaplan Business School</w:t>
                  </w:r>
                </w:p>
              </w:tc>
              <w:tc>
                <w:tcPr>
                  <w:tcW w:w="1938" w:type="dxa"/>
                  <w:tcBorders>
                    <w:top w:val="nil"/>
                    <w:left w:val="nil"/>
                    <w:bottom w:val="single" w:sz="4" w:space="0" w:color="auto"/>
                    <w:right w:val="single" w:sz="4" w:space="0" w:color="auto"/>
                  </w:tcBorders>
                  <w:shd w:val="clear" w:color="auto" w:fill="auto"/>
                  <w:noWrap/>
                  <w:vAlign w:val="bottom"/>
                  <w:hideMark/>
                </w:tcPr>
                <w:p w14:paraId="1383960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78.3</w:t>
                  </w:r>
                </w:p>
              </w:tc>
              <w:tc>
                <w:tcPr>
                  <w:tcW w:w="2072" w:type="dxa"/>
                  <w:tcBorders>
                    <w:top w:val="nil"/>
                    <w:left w:val="nil"/>
                    <w:bottom w:val="single" w:sz="4" w:space="0" w:color="auto"/>
                    <w:right w:val="single" w:sz="4" w:space="0" w:color="auto"/>
                  </w:tcBorders>
                  <w:shd w:val="clear" w:color="auto" w:fill="auto"/>
                  <w:noWrap/>
                  <w:vAlign w:val="bottom"/>
                  <w:hideMark/>
                </w:tcPr>
                <w:p w14:paraId="3A1F4A1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78.3 (74.9, 81.2)</w:t>
                  </w:r>
                </w:p>
              </w:tc>
            </w:tr>
            <w:tr w:rsidR="00675ADB" w:rsidRPr="00DB5E03" w14:paraId="2A8C3BE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59C007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57</w:t>
                  </w:r>
                </w:p>
              </w:tc>
              <w:tc>
                <w:tcPr>
                  <w:tcW w:w="3835" w:type="dxa"/>
                  <w:tcBorders>
                    <w:top w:val="nil"/>
                    <w:left w:val="nil"/>
                    <w:bottom w:val="single" w:sz="4" w:space="0" w:color="auto"/>
                    <w:right w:val="single" w:sz="4" w:space="0" w:color="auto"/>
                  </w:tcBorders>
                  <w:shd w:val="clear" w:color="auto" w:fill="auto"/>
                  <w:noWrap/>
                  <w:vAlign w:val="bottom"/>
                  <w:hideMark/>
                </w:tcPr>
                <w:p w14:paraId="0CCBC6C8"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Newcastle</w:t>
                  </w:r>
                </w:p>
              </w:tc>
              <w:tc>
                <w:tcPr>
                  <w:tcW w:w="1938" w:type="dxa"/>
                  <w:tcBorders>
                    <w:top w:val="nil"/>
                    <w:left w:val="nil"/>
                    <w:bottom w:val="single" w:sz="4" w:space="0" w:color="auto"/>
                    <w:right w:val="single" w:sz="4" w:space="0" w:color="auto"/>
                  </w:tcBorders>
                  <w:shd w:val="clear" w:color="auto" w:fill="auto"/>
                  <w:noWrap/>
                  <w:vAlign w:val="bottom"/>
                  <w:hideMark/>
                </w:tcPr>
                <w:p w14:paraId="0095947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78.3</w:t>
                  </w:r>
                </w:p>
              </w:tc>
              <w:tc>
                <w:tcPr>
                  <w:tcW w:w="2072" w:type="dxa"/>
                  <w:tcBorders>
                    <w:top w:val="nil"/>
                    <w:left w:val="nil"/>
                    <w:bottom w:val="single" w:sz="4" w:space="0" w:color="auto"/>
                    <w:right w:val="single" w:sz="4" w:space="0" w:color="auto"/>
                  </w:tcBorders>
                  <w:shd w:val="clear" w:color="auto" w:fill="auto"/>
                  <w:noWrap/>
                  <w:vAlign w:val="bottom"/>
                  <w:hideMark/>
                </w:tcPr>
                <w:p w14:paraId="056C65D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78.3 (77.4, 79.3)</w:t>
                  </w:r>
                </w:p>
              </w:tc>
            </w:tr>
            <w:tr w:rsidR="00675ADB" w:rsidRPr="00DB5E03" w14:paraId="12AAF5A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0E20A5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58</w:t>
                  </w:r>
                </w:p>
              </w:tc>
              <w:tc>
                <w:tcPr>
                  <w:tcW w:w="3835" w:type="dxa"/>
                  <w:tcBorders>
                    <w:top w:val="nil"/>
                    <w:left w:val="nil"/>
                    <w:bottom w:val="single" w:sz="4" w:space="0" w:color="auto"/>
                    <w:right w:val="single" w:sz="4" w:space="0" w:color="auto"/>
                  </w:tcBorders>
                  <w:shd w:val="clear" w:color="auto" w:fill="auto"/>
                  <w:noWrap/>
                  <w:vAlign w:val="bottom"/>
                  <w:hideMark/>
                </w:tcPr>
                <w:p w14:paraId="5AB3F08E"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Institute of Higher Education</w:t>
                  </w:r>
                </w:p>
              </w:tc>
              <w:tc>
                <w:tcPr>
                  <w:tcW w:w="1938" w:type="dxa"/>
                  <w:tcBorders>
                    <w:top w:val="nil"/>
                    <w:left w:val="nil"/>
                    <w:bottom w:val="single" w:sz="4" w:space="0" w:color="auto"/>
                    <w:right w:val="single" w:sz="4" w:space="0" w:color="auto"/>
                  </w:tcBorders>
                  <w:shd w:val="clear" w:color="auto" w:fill="auto"/>
                  <w:noWrap/>
                  <w:vAlign w:val="bottom"/>
                  <w:hideMark/>
                </w:tcPr>
                <w:p w14:paraId="44204F4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78.1</w:t>
                  </w:r>
                </w:p>
              </w:tc>
              <w:tc>
                <w:tcPr>
                  <w:tcW w:w="2072" w:type="dxa"/>
                  <w:tcBorders>
                    <w:top w:val="nil"/>
                    <w:left w:val="nil"/>
                    <w:bottom w:val="single" w:sz="4" w:space="0" w:color="auto"/>
                    <w:right w:val="single" w:sz="4" w:space="0" w:color="auto"/>
                  </w:tcBorders>
                  <w:shd w:val="clear" w:color="auto" w:fill="auto"/>
                  <w:noWrap/>
                  <w:vAlign w:val="bottom"/>
                  <w:hideMark/>
                </w:tcPr>
                <w:p w14:paraId="268D380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78.1 (73.1, 82.2)</w:t>
                  </w:r>
                </w:p>
              </w:tc>
            </w:tr>
            <w:tr w:rsidR="00675ADB" w:rsidRPr="00DB5E03" w14:paraId="1470E795"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39DE4D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59</w:t>
                  </w:r>
                </w:p>
              </w:tc>
              <w:tc>
                <w:tcPr>
                  <w:tcW w:w="3835" w:type="dxa"/>
                  <w:tcBorders>
                    <w:top w:val="nil"/>
                    <w:left w:val="nil"/>
                    <w:bottom w:val="single" w:sz="4" w:space="0" w:color="auto"/>
                    <w:right w:val="single" w:sz="4" w:space="0" w:color="auto"/>
                  </w:tcBorders>
                  <w:shd w:val="clear" w:color="auto" w:fill="auto"/>
                  <w:noWrap/>
                  <w:vAlign w:val="bottom"/>
                  <w:hideMark/>
                </w:tcPr>
                <w:p w14:paraId="1B613DFD"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JMC Academy</w:t>
                  </w:r>
                </w:p>
              </w:tc>
              <w:tc>
                <w:tcPr>
                  <w:tcW w:w="1938" w:type="dxa"/>
                  <w:tcBorders>
                    <w:top w:val="nil"/>
                    <w:left w:val="nil"/>
                    <w:bottom w:val="single" w:sz="4" w:space="0" w:color="auto"/>
                    <w:right w:val="single" w:sz="4" w:space="0" w:color="auto"/>
                  </w:tcBorders>
                  <w:shd w:val="clear" w:color="auto" w:fill="auto"/>
                  <w:noWrap/>
                  <w:vAlign w:val="bottom"/>
                  <w:hideMark/>
                </w:tcPr>
                <w:p w14:paraId="7C93CEA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78.1</w:t>
                  </w:r>
                </w:p>
              </w:tc>
              <w:tc>
                <w:tcPr>
                  <w:tcW w:w="2072" w:type="dxa"/>
                  <w:tcBorders>
                    <w:top w:val="nil"/>
                    <w:left w:val="nil"/>
                    <w:bottom w:val="single" w:sz="4" w:space="0" w:color="auto"/>
                    <w:right w:val="single" w:sz="4" w:space="0" w:color="auto"/>
                  </w:tcBorders>
                  <w:shd w:val="clear" w:color="auto" w:fill="auto"/>
                  <w:noWrap/>
                  <w:vAlign w:val="bottom"/>
                  <w:hideMark/>
                </w:tcPr>
                <w:p w14:paraId="4D6AC76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78.1 (75.9, 80.1)</w:t>
                  </w:r>
                </w:p>
              </w:tc>
            </w:tr>
            <w:tr w:rsidR="00675ADB" w:rsidRPr="00DB5E03" w14:paraId="79844E1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A70E9D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60</w:t>
                  </w:r>
                </w:p>
              </w:tc>
              <w:tc>
                <w:tcPr>
                  <w:tcW w:w="3835" w:type="dxa"/>
                  <w:tcBorders>
                    <w:top w:val="nil"/>
                    <w:left w:val="nil"/>
                    <w:bottom w:val="single" w:sz="4" w:space="0" w:color="auto"/>
                    <w:right w:val="single" w:sz="4" w:space="0" w:color="auto"/>
                  </w:tcBorders>
                  <w:shd w:val="clear" w:color="auto" w:fill="auto"/>
                  <w:noWrap/>
                  <w:vAlign w:val="bottom"/>
                  <w:hideMark/>
                </w:tcPr>
                <w:p w14:paraId="68C7A51C"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University of Queensland</w:t>
                  </w:r>
                </w:p>
              </w:tc>
              <w:tc>
                <w:tcPr>
                  <w:tcW w:w="1938" w:type="dxa"/>
                  <w:tcBorders>
                    <w:top w:val="nil"/>
                    <w:left w:val="nil"/>
                    <w:bottom w:val="single" w:sz="4" w:space="0" w:color="auto"/>
                    <w:right w:val="single" w:sz="4" w:space="0" w:color="auto"/>
                  </w:tcBorders>
                  <w:shd w:val="clear" w:color="auto" w:fill="auto"/>
                  <w:noWrap/>
                  <w:vAlign w:val="bottom"/>
                  <w:hideMark/>
                </w:tcPr>
                <w:p w14:paraId="4E16125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78.1</w:t>
                  </w:r>
                </w:p>
              </w:tc>
              <w:tc>
                <w:tcPr>
                  <w:tcW w:w="2072" w:type="dxa"/>
                  <w:tcBorders>
                    <w:top w:val="nil"/>
                    <w:left w:val="nil"/>
                    <w:bottom w:val="single" w:sz="4" w:space="0" w:color="auto"/>
                    <w:right w:val="single" w:sz="4" w:space="0" w:color="auto"/>
                  </w:tcBorders>
                  <w:shd w:val="clear" w:color="auto" w:fill="auto"/>
                  <w:noWrap/>
                  <w:vAlign w:val="bottom"/>
                  <w:hideMark/>
                </w:tcPr>
                <w:p w14:paraId="3FCB68E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78.1 (77.3, 78.8)</w:t>
                  </w:r>
                </w:p>
              </w:tc>
            </w:tr>
            <w:tr w:rsidR="00675ADB" w:rsidRPr="00DB5E03" w14:paraId="1B11AEF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3B3CE7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61</w:t>
                  </w:r>
                </w:p>
              </w:tc>
              <w:tc>
                <w:tcPr>
                  <w:tcW w:w="3835" w:type="dxa"/>
                  <w:tcBorders>
                    <w:top w:val="nil"/>
                    <w:left w:val="nil"/>
                    <w:bottom w:val="single" w:sz="4" w:space="0" w:color="auto"/>
                    <w:right w:val="single" w:sz="4" w:space="0" w:color="auto"/>
                  </w:tcBorders>
                  <w:shd w:val="clear" w:color="auto" w:fill="auto"/>
                  <w:noWrap/>
                  <w:vAlign w:val="bottom"/>
                  <w:hideMark/>
                </w:tcPr>
                <w:p w14:paraId="0403D764"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Institute of Creative Arts and Technology</w:t>
                  </w:r>
                </w:p>
              </w:tc>
              <w:tc>
                <w:tcPr>
                  <w:tcW w:w="1938" w:type="dxa"/>
                  <w:tcBorders>
                    <w:top w:val="nil"/>
                    <w:left w:val="nil"/>
                    <w:bottom w:val="single" w:sz="4" w:space="0" w:color="auto"/>
                    <w:right w:val="single" w:sz="4" w:space="0" w:color="auto"/>
                  </w:tcBorders>
                  <w:shd w:val="clear" w:color="auto" w:fill="auto"/>
                  <w:noWrap/>
                  <w:vAlign w:val="bottom"/>
                  <w:hideMark/>
                </w:tcPr>
                <w:p w14:paraId="226AC0F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78.0</w:t>
                  </w:r>
                </w:p>
              </w:tc>
              <w:tc>
                <w:tcPr>
                  <w:tcW w:w="2072" w:type="dxa"/>
                  <w:tcBorders>
                    <w:top w:val="nil"/>
                    <w:left w:val="nil"/>
                    <w:bottom w:val="single" w:sz="4" w:space="0" w:color="auto"/>
                    <w:right w:val="single" w:sz="4" w:space="0" w:color="auto"/>
                  </w:tcBorders>
                  <w:shd w:val="clear" w:color="auto" w:fill="auto"/>
                  <w:noWrap/>
                  <w:vAlign w:val="bottom"/>
                  <w:hideMark/>
                </w:tcPr>
                <w:p w14:paraId="747A837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78.0 (69.3, 84.2)</w:t>
                  </w:r>
                </w:p>
              </w:tc>
            </w:tr>
            <w:tr w:rsidR="00675ADB" w:rsidRPr="00DB5E03" w14:paraId="2A84941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071173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62</w:t>
                  </w:r>
                </w:p>
              </w:tc>
              <w:tc>
                <w:tcPr>
                  <w:tcW w:w="3835" w:type="dxa"/>
                  <w:tcBorders>
                    <w:top w:val="nil"/>
                    <w:left w:val="nil"/>
                    <w:bottom w:val="single" w:sz="4" w:space="0" w:color="auto"/>
                    <w:right w:val="single" w:sz="4" w:space="0" w:color="auto"/>
                  </w:tcBorders>
                  <w:shd w:val="clear" w:color="auto" w:fill="auto"/>
                  <w:noWrap/>
                  <w:vAlign w:val="bottom"/>
                  <w:hideMark/>
                </w:tcPr>
                <w:p w14:paraId="5D944D4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Australian National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1D6594C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78.0</w:t>
                  </w:r>
                </w:p>
              </w:tc>
              <w:tc>
                <w:tcPr>
                  <w:tcW w:w="2072" w:type="dxa"/>
                  <w:tcBorders>
                    <w:top w:val="nil"/>
                    <w:left w:val="nil"/>
                    <w:bottom w:val="single" w:sz="4" w:space="0" w:color="auto"/>
                    <w:right w:val="single" w:sz="4" w:space="0" w:color="auto"/>
                  </w:tcBorders>
                  <w:shd w:val="clear" w:color="auto" w:fill="auto"/>
                  <w:noWrap/>
                  <w:vAlign w:val="bottom"/>
                  <w:hideMark/>
                </w:tcPr>
                <w:p w14:paraId="5D08828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78.0 (76.9, 79.1)</w:t>
                  </w:r>
                </w:p>
              </w:tc>
            </w:tr>
            <w:tr w:rsidR="00675ADB" w:rsidRPr="00DB5E03" w14:paraId="347C71C9"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B330E4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63</w:t>
                  </w:r>
                </w:p>
              </w:tc>
              <w:tc>
                <w:tcPr>
                  <w:tcW w:w="3835" w:type="dxa"/>
                  <w:tcBorders>
                    <w:top w:val="nil"/>
                    <w:left w:val="nil"/>
                    <w:bottom w:val="single" w:sz="4" w:space="0" w:color="auto"/>
                    <w:right w:val="single" w:sz="4" w:space="0" w:color="auto"/>
                  </w:tcBorders>
                  <w:shd w:val="clear" w:color="auto" w:fill="auto"/>
                  <w:noWrap/>
                  <w:vAlign w:val="bottom"/>
                  <w:hideMark/>
                </w:tcPr>
                <w:p w14:paraId="30B7894B"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University of South Australia</w:t>
                  </w:r>
                </w:p>
              </w:tc>
              <w:tc>
                <w:tcPr>
                  <w:tcW w:w="1938" w:type="dxa"/>
                  <w:tcBorders>
                    <w:top w:val="nil"/>
                    <w:left w:val="nil"/>
                    <w:bottom w:val="single" w:sz="4" w:space="0" w:color="auto"/>
                    <w:right w:val="single" w:sz="4" w:space="0" w:color="auto"/>
                  </w:tcBorders>
                  <w:shd w:val="clear" w:color="auto" w:fill="auto"/>
                  <w:noWrap/>
                  <w:vAlign w:val="bottom"/>
                  <w:hideMark/>
                </w:tcPr>
                <w:p w14:paraId="0C1AD16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78.0</w:t>
                  </w:r>
                </w:p>
              </w:tc>
              <w:tc>
                <w:tcPr>
                  <w:tcW w:w="2072" w:type="dxa"/>
                  <w:tcBorders>
                    <w:top w:val="nil"/>
                    <w:left w:val="nil"/>
                    <w:bottom w:val="single" w:sz="4" w:space="0" w:color="auto"/>
                    <w:right w:val="single" w:sz="4" w:space="0" w:color="auto"/>
                  </w:tcBorders>
                  <w:shd w:val="clear" w:color="auto" w:fill="auto"/>
                  <w:noWrap/>
                  <w:vAlign w:val="bottom"/>
                  <w:hideMark/>
                </w:tcPr>
                <w:p w14:paraId="7BDEFC2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78.0 (77.1, 78.9)</w:t>
                  </w:r>
                </w:p>
              </w:tc>
            </w:tr>
            <w:tr w:rsidR="00675ADB" w:rsidRPr="00DB5E03" w14:paraId="528F1BF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525EB3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64</w:t>
                  </w:r>
                </w:p>
              </w:tc>
              <w:tc>
                <w:tcPr>
                  <w:tcW w:w="3835" w:type="dxa"/>
                  <w:tcBorders>
                    <w:top w:val="nil"/>
                    <w:left w:val="nil"/>
                    <w:bottom w:val="single" w:sz="4" w:space="0" w:color="auto"/>
                    <w:right w:val="single" w:sz="4" w:space="0" w:color="auto"/>
                  </w:tcBorders>
                  <w:shd w:val="clear" w:color="auto" w:fill="auto"/>
                  <w:noWrap/>
                  <w:vAlign w:val="bottom"/>
                  <w:hideMark/>
                </w:tcPr>
                <w:p w14:paraId="3ABC48A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Griffith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643B518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77.6</w:t>
                  </w:r>
                </w:p>
              </w:tc>
              <w:tc>
                <w:tcPr>
                  <w:tcW w:w="2072" w:type="dxa"/>
                  <w:tcBorders>
                    <w:top w:val="nil"/>
                    <w:left w:val="nil"/>
                    <w:bottom w:val="single" w:sz="4" w:space="0" w:color="auto"/>
                    <w:right w:val="single" w:sz="4" w:space="0" w:color="auto"/>
                  </w:tcBorders>
                  <w:shd w:val="clear" w:color="auto" w:fill="auto"/>
                  <w:noWrap/>
                  <w:vAlign w:val="bottom"/>
                  <w:hideMark/>
                </w:tcPr>
                <w:p w14:paraId="52B3B0B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77.6 (76.8, 78.4)</w:t>
                  </w:r>
                </w:p>
              </w:tc>
            </w:tr>
            <w:tr w:rsidR="00675ADB" w:rsidRPr="00DB5E03" w14:paraId="28F577D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72FE6F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65</w:t>
                  </w:r>
                </w:p>
              </w:tc>
              <w:tc>
                <w:tcPr>
                  <w:tcW w:w="3835" w:type="dxa"/>
                  <w:tcBorders>
                    <w:top w:val="nil"/>
                    <w:left w:val="nil"/>
                    <w:bottom w:val="single" w:sz="4" w:space="0" w:color="auto"/>
                    <w:right w:val="single" w:sz="4" w:space="0" w:color="auto"/>
                  </w:tcBorders>
                  <w:shd w:val="clear" w:color="auto" w:fill="auto"/>
                  <w:noWrap/>
                  <w:vAlign w:val="bottom"/>
                  <w:hideMark/>
                </w:tcPr>
                <w:p w14:paraId="63BD23BE"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Institute of Professional Counsellors</w:t>
                  </w:r>
                </w:p>
              </w:tc>
              <w:tc>
                <w:tcPr>
                  <w:tcW w:w="1938" w:type="dxa"/>
                  <w:tcBorders>
                    <w:top w:val="nil"/>
                    <w:left w:val="nil"/>
                    <w:bottom w:val="single" w:sz="4" w:space="0" w:color="auto"/>
                    <w:right w:val="single" w:sz="4" w:space="0" w:color="auto"/>
                  </w:tcBorders>
                  <w:shd w:val="clear" w:color="auto" w:fill="auto"/>
                  <w:noWrap/>
                  <w:vAlign w:val="bottom"/>
                  <w:hideMark/>
                </w:tcPr>
                <w:p w14:paraId="6A1113D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77.4</w:t>
                  </w:r>
                </w:p>
              </w:tc>
              <w:tc>
                <w:tcPr>
                  <w:tcW w:w="2072" w:type="dxa"/>
                  <w:tcBorders>
                    <w:top w:val="nil"/>
                    <w:left w:val="nil"/>
                    <w:bottom w:val="single" w:sz="4" w:space="0" w:color="auto"/>
                    <w:right w:val="single" w:sz="4" w:space="0" w:color="auto"/>
                  </w:tcBorders>
                  <w:shd w:val="clear" w:color="auto" w:fill="auto"/>
                  <w:noWrap/>
                  <w:vAlign w:val="bottom"/>
                  <w:hideMark/>
                </w:tcPr>
                <w:p w14:paraId="2C3283C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77.4 (73.0, 81.0)</w:t>
                  </w:r>
                </w:p>
              </w:tc>
            </w:tr>
            <w:tr w:rsidR="00675ADB" w:rsidRPr="00DB5E03" w14:paraId="22060650"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C03BFE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lastRenderedPageBreak/>
                    <w:t>66</w:t>
                  </w:r>
                </w:p>
              </w:tc>
              <w:tc>
                <w:tcPr>
                  <w:tcW w:w="3835" w:type="dxa"/>
                  <w:tcBorders>
                    <w:top w:val="nil"/>
                    <w:left w:val="nil"/>
                    <w:bottom w:val="single" w:sz="4" w:space="0" w:color="auto"/>
                    <w:right w:val="single" w:sz="4" w:space="0" w:color="auto"/>
                  </w:tcBorders>
                  <w:shd w:val="clear" w:color="auto" w:fill="auto"/>
                  <w:noWrap/>
                  <w:vAlign w:val="bottom"/>
                  <w:hideMark/>
                </w:tcPr>
                <w:p w14:paraId="66E52B33"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National Art School</w:t>
                  </w:r>
                </w:p>
              </w:tc>
              <w:tc>
                <w:tcPr>
                  <w:tcW w:w="1938" w:type="dxa"/>
                  <w:tcBorders>
                    <w:top w:val="nil"/>
                    <w:left w:val="nil"/>
                    <w:bottom w:val="single" w:sz="4" w:space="0" w:color="auto"/>
                    <w:right w:val="single" w:sz="4" w:space="0" w:color="auto"/>
                  </w:tcBorders>
                  <w:shd w:val="clear" w:color="auto" w:fill="auto"/>
                  <w:noWrap/>
                  <w:vAlign w:val="bottom"/>
                  <w:hideMark/>
                </w:tcPr>
                <w:p w14:paraId="00B7252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77.4</w:t>
                  </w:r>
                </w:p>
              </w:tc>
              <w:tc>
                <w:tcPr>
                  <w:tcW w:w="2072" w:type="dxa"/>
                  <w:tcBorders>
                    <w:top w:val="nil"/>
                    <w:left w:val="nil"/>
                    <w:bottom w:val="single" w:sz="4" w:space="0" w:color="auto"/>
                    <w:right w:val="single" w:sz="4" w:space="0" w:color="auto"/>
                  </w:tcBorders>
                  <w:shd w:val="clear" w:color="auto" w:fill="auto"/>
                  <w:noWrap/>
                  <w:vAlign w:val="bottom"/>
                  <w:hideMark/>
                </w:tcPr>
                <w:p w14:paraId="0D19636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77.4 (73.7, 80.3)</w:t>
                  </w:r>
                </w:p>
              </w:tc>
            </w:tr>
            <w:tr w:rsidR="00675ADB" w:rsidRPr="00DB5E03" w14:paraId="56F8303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C2CDF0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67</w:t>
                  </w:r>
                </w:p>
              </w:tc>
              <w:tc>
                <w:tcPr>
                  <w:tcW w:w="3835" w:type="dxa"/>
                  <w:tcBorders>
                    <w:top w:val="nil"/>
                    <w:left w:val="nil"/>
                    <w:bottom w:val="single" w:sz="4" w:space="0" w:color="auto"/>
                    <w:right w:val="single" w:sz="4" w:space="0" w:color="auto"/>
                  </w:tcBorders>
                  <w:shd w:val="clear" w:color="auto" w:fill="auto"/>
                  <w:noWrap/>
                  <w:vAlign w:val="bottom"/>
                  <w:hideMark/>
                </w:tcPr>
                <w:p w14:paraId="4074D4F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Queensland University of Technology</w:t>
                  </w:r>
                </w:p>
              </w:tc>
              <w:tc>
                <w:tcPr>
                  <w:tcW w:w="1938" w:type="dxa"/>
                  <w:tcBorders>
                    <w:top w:val="nil"/>
                    <w:left w:val="nil"/>
                    <w:bottom w:val="single" w:sz="4" w:space="0" w:color="auto"/>
                    <w:right w:val="single" w:sz="4" w:space="0" w:color="auto"/>
                  </w:tcBorders>
                  <w:shd w:val="clear" w:color="auto" w:fill="auto"/>
                  <w:noWrap/>
                  <w:vAlign w:val="bottom"/>
                  <w:hideMark/>
                </w:tcPr>
                <w:p w14:paraId="5D1AD98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77.0</w:t>
                  </w:r>
                </w:p>
              </w:tc>
              <w:tc>
                <w:tcPr>
                  <w:tcW w:w="2072" w:type="dxa"/>
                  <w:tcBorders>
                    <w:top w:val="nil"/>
                    <w:left w:val="nil"/>
                    <w:bottom w:val="single" w:sz="4" w:space="0" w:color="auto"/>
                    <w:right w:val="single" w:sz="4" w:space="0" w:color="auto"/>
                  </w:tcBorders>
                  <w:shd w:val="clear" w:color="auto" w:fill="auto"/>
                  <w:noWrap/>
                  <w:vAlign w:val="bottom"/>
                  <w:hideMark/>
                </w:tcPr>
                <w:p w14:paraId="6A18DD8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77.0 (76.2, 77.7)</w:t>
                  </w:r>
                </w:p>
              </w:tc>
            </w:tr>
            <w:tr w:rsidR="00675ADB" w:rsidRPr="00DB5E03" w14:paraId="143375C3"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A5E2DC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68</w:t>
                  </w:r>
                </w:p>
              </w:tc>
              <w:tc>
                <w:tcPr>
                  <w:tcW w:w="3835" w:type="dxa"/>
                  <w:tcBorders>
                    <w:top w:val="nil"/>
                    <w:left w:val="nil"/>
                    <w:bottom w:val="single" w:sz="4" w:space="0" w:color="auto"/>
                    <w:right w:val="single" w:sz="4" w:space="0" w:color="auto"/>
                  </w:tcBorders>
                  <w:shd w:val="clear" w:color="auto" w:fill="auto"/>
                  <w:noWrap/>
                  <w:vAlign w:val="bottom"/>
                  <w:hideMark/>
                </w:tcPr>
                <w:p w14:paraId="5A0E306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Murdoch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6D640A2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76.9</w:t>
                  </w:r>
                </w:p>
              </w:tc>
              <w:tc>
                <w:tcPr>
                  <w:tcW w:w="2072" w:type="dxa"/>
                  <w:tcBorders>
                    <w:top w:val="nil"/>
                    <w:left w:val="nil"/>
                    <w:bottom w:val="single" w:sz="4" w:space="0" w:color="auto"/>
                    <w:right w:val="single" w:sz="4" w:space="0" w:color="auto"/>
                  </w:tcBorders>
                  <w:shd w:val="clear" w:color="auto" w:fill="auto"/>
                  <w:noWrap/>
                  <w:vAlign w:val="bottom"/>
                  <w:hideMark/>
                </w:tcPr>
                <w:p w14:paraId="31E75EF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76.9 (75.5, 78.3)</w:t>
                  </w:r>
                </w:p>
              </w:tc>
            </w:tr>
            <w:tr w:rsidR="00675ADB" w:rsidRPr="00DB5E03" w14:paraId="0737C897"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539849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69</w:t>
                  </w:r>
                </w:p>
              </w:tc>
              <w:tc>
                <w:tcPr>
                  <w:tcW w:w="3835" w:type="dxa"/>
                  <w:tcBorders>
                    <w:top w:val="nil"/>
                    <w:left w:val="nil"/>
                    <w:bottom w:val="single" w:sz="4" w:space="0" w:color="auto"/>
                    <w:right w:val="single" w:sz="4" w:space="0" w:color="auto"/>
                  </w:tcBorders>
                  <w:shd w:val="clear" w:color="auto" w:fill="auto"/>
                  <w:noWrap/>
                  <w:vAlign w:val="bottom"/>
                  <w:hideMark/>
                </w:tcPr>
                <w:p w14:paraId="5AA185E0"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Central Queensland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0199D27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76.8</w:t>
                  </w:r>
                </w:p>
              </w:tc>
              <w:tc>
                <w:tcPr>
                  <w:tcW w:w="2072" w:type="dxa"/>
                  <w:tcBorders>
                    <w:top w:val="nil"/>
                    <w:left w:val="nil"/>
                    <w:bottom w:val="single" w:sz="4" w:space="0" w:color="auto"/>
                    <w:right w:val="single" w:sz="4" w:space="0" w:color="auto"/>
                  </w:tcBorders>
                  <w:shd w:val="clear" w:color="auto" w:fill="auto"/>
                  <w:noWrap/>
                  <w:vAlign w:val="bottom"/>
                  <w:hideMark/>
                </w:tcPr>
                <w:p w14:paraId="052C153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76.8 (75.7, 77.9)</w:t>
                  </w:r>
                </w:p>
              </w:tc>
            </w:tr>
            <w:tr w:rsidR="00675ADB" w:rsidRPr="00DB5E03" w14:paraId="2100400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216F86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70</w:t>
                  </w:r>
                </w:p>
              </w:tc>
              <w:tc>
                <w:tcPr>
                  <w:tcW w:w="3835" w:type="dxa"/>
                  <w:tcBorders>
                    <w:top w:val="nil"/>
                    <w:left w:val="nil"/>
                    <w:bottom w:val="single" w:sz="4" w:space="0" w:color="auto"/>
                    <w:right w:val="single" w:sz="4" w:space="0" w:color="auto"/>
                  </w:tcBorders>
                  <w:shd w:val="clear" w:color="auto" w:fill="auto"/>
                  <w:noWrap/>
                  <w:vAlign w:val="bottom"/>
                  <w:hideMark/>
                </w:tcPr>
                <w:p w14:paraId="4644035A"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Torrens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3A417CB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76.8</w:t>
                  </w:r>
                </w:p>
              </w:tc>
              <w:tc>
                <w:tcPr>
                  <w:tcW w:w="2072" w:type="dxa"/>
                  <w:tcBorders>
                    <w:top w:val="nil"/>
                    <w:left w:val="nil"/>
                    <w:bottom w:val="single" w:sz="4" w:space="0" w:color="auto"/>
                    <w:right w:val="single" w:sz="4" w:space="0" w:color="auto"/>
                  </w:tcBorders>
                  <w:shd w:val="clear" w:color="auto" w:fill="auto"/>
                  <w:noWrap/>
                  <w:vAlign w:val="bottom"/>
                  <w:hideMark/>
                </w:tcPr>
                <w:p w14:paraId="7D5AD73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76.8 (75.6, 77.9)</w:t>
                  </w:r>
                </w:p>
              </w:tc>
            </w:tr>
            <w:tr w:rsidR="00675ADB" w:rsidRPr="00DB5E03" w14:paraId="52ED444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1A5834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w:t>
                  </w:r>
                </w:p>
              </w:tc>
              <w:tc>
                <w:tcPr>
                  <w:tcW w:w="3835" w:type="dxa"/>
                  <w:tcBorders>
                    <w:top w:val="nil"/>
                    <w:left w:val="nil"/>
                    <w:bottom w:val="single" w:sz="4" w:space="0" w:color="auto"/>
                    <w:right w:val="single" w:sz="4" w:space="0" w:color="auto"/>
                  </w:tcBorders>
                  <w:shd w:val="clear" w:color="auto" w:fill="auto"/>
                  <w:noWrap/>
                  <w:vAlign w:val="bottom"/>
                  <w:hideMark/>
                </w:tcPr>
                <w:p w14:paraId="65AAAEE8"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Tasmania</w:t>
                  </w:r>
                </w:p>
              </w:tc>
              <w:tc>
                <w:tcPr>
                  <w:tcW w:w="1938" w:type="dxa"/>
                  <w:tcBorders>
                    <w:top w:val="nil"/>
                    <w:left w:val="nil"/>
                    <w:bottom w:val="single" w:sz="4" w:space="0" w:color="auto"/>
                    <w:right w:val="single" w:sz="4" w:space="0" w:color="auto"/>
                  </w:tcBorders>
                  <w:shd w:val="clear" w:color="auto" w:fill="auto"/>
                  <w:noWrap/>
                  <w:vAlign w:val="bottom"/>
                  <w:hideMark/>
                </w:tcPr>
                <w:p w14:paraId="6004F23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76.8</w:t>
                  </w:r>
                </w:p>
              </w:tc>
              <w:tc>
                <w:tcPr>
                  <w:tcW w:w="2072" w:type="dxa"/>
                  <w:tcBorders>
                    <w:top w:val="nil"/>
                    <w:left w:val="nil"/>
                    <w:bottom w:val="single" w:sz="4" w:space="0" w:color="auto"/>
                    <w:right w:val="single" w:sz="4" w:space="0" w:color="auto"/>
                  </w:tcBorders>
                  <w:shd w:val="clear" w:color="auto" w:fill="auto"/>
                  <w:noWrap/>
                  <w:vAlign w:val="bottom"/>
                  <w:hideMark/>
                </w:tcPr>
                <w:p w14:paraId="38CE06F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76.8 (75.9, 77.6)</w:t>
                  </w:r>
                </w:p>
              </w:tc>
            </w:tr>
            <w:tr w:rsidR="00675ADB" w:rsidRPr="00DB5E03" w14:paraId="0B2F19E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36089B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w:t>
                  </w:r>
                </w:p>
              </w:tc>
              <w:tc>
                <w:tcPr>
                  <w:tcW w:w="3835" w:type="dxa"/>
                  <w:tcBorders>
                    <w:top w:val="nil"/>
                    <w:left w:val="nil"/>
                    <w:bottom w:val="single" w:sz="4" w:space="0" w:color="auto"/>
                    <w:right w:val="single" w:sz="4" w:space="0" w:color="auto"/>
                  </w:tcBorders>
                  <w:shd w:val="clear" w:color="auto" w:fill="auto"/>
                  <w:noWrap/>
                  <w:vAlign w:val="bottom"/>
                  <w:hideMark/>
                </w:tcPr>
                <w:p w14:paraId="5990275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Technology Sydney</w:t>
                  </w:r>
                </w:p>
              </w:tc>
              <w:tc>
                <w:tcPr>
                  <w:tcW w:w="1938" w:type="dxa"/>
                  <w:tcBorders>
                    <w:top w:val="nil"/>
                    <w:left w:val="nil"/>
                    <w:bottom w:val="single" w:sz="4" w:space="0" w:color="auto"/>
                    <w:right w:val="single" w:sz="4" w:space="0" w:color="auto"/>
                  </w:tcBorders>
                  <w:shd w:val="clear" w:color="auto" w:fill="auto"/>
                  <w:noWrap/>
                  <w:vAlign w:val="bottom"/>
                  <w:hideMark/>
                </w:tcPr>
                <w:p w14:paraId="0A422A2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76.6</w:t>
                  </w:r>
                </w:p>
              </w:tc>
              <w:tc>
                <w:tcPr>
                  <w:tcW w:w="2072" w:type="dxa"/>
                  <w:tcBorders>
                    <w:top w:val="nil"/>
                    <w:left w:val="nil"/>
                    <w:bottom w:val="single" w:sz="4" w:space="0" w:color="auto"/>
                    <w:right w:val="single" w:sz="4" w:space="0" w:color="auto"/>
                  </w:tcBorders>
                  <w:shd w:val="clear" w:color="auto" w:fill="auto"/>
                  <w:noWrap/>
                  <w:vAlign w:val="bottom"/>
                  <w:hideMark/>
                </w:tcPr>
                <w:p w14:paraId="27588D3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76.6 (75.8, 77.3)</w:t>
                  </w:r>
                </w:p>
              </w:tc>
            </w:tr>
            <w:tr w:rsidR="00675ADB" w:rsidRPr="00DB5E03" w14:paraId="0B78784F"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9027ED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w:t>
                  </w:r>
                </w:p>
              </w:tc>
              <w:tc>
                <w:tcPr>
                  <w:tcW w:w="3835" w:type="dxa"/>
                  <w:tcBorders>
                    <w:top w:val="nil"/>
                    <w:left w:val="nil"/>
                    <w:bottom w:val="single" w:sz="4" w:space="0" w:color="auto"/>
                    <w:right w:val="single" w:sz="4" w:space="0" w:color="auto"/>
                  </w:tcBorders>
                  <w:shd w:val="clear" w:color="auto" w:fill="auto"/>
                  <w:noWrap/>
                  <w:vAlign w:val="bottom"/>
                  <w:hideMark/>
                </w:tcPr>
                <w:p w14:paraId="5FC93E4B"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Whitehouse Institute of Design, Australia</w:t>
                  </w:r>
                </w:p>
              </w:tc>
              <w:tc>
                <w:tcPr>
                  <w:tcW w:w="1938" w:type="dxa"/>
                  <w:tcBorders>
                    <w:top w:val="nil"/>
                    <w:left w:val="nil"/>
                    <w:bottom w:val="single" w:sz="4" w:space="0" w:color="auto"/>
                    <w:right w:val="single" w:sz="4" w:space="0" w:color="auto"/>
                  </w:tcBorders>
                  <w:shd w:val="clear" w:color="auto" w:fill="auto"/>
                  <w:noWrap/>
                  <w:vAlign w:val="bottom"/>
                  <w:hideMark/>
                </w:tcPr>
                <w:p w14:paraId="4667BFE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76.5</w:t>
                  </w:r>
                </w:p>
              </w:tc>
              <w:tc>
                <w:tcPr>
                  <w:tcW w:w="2072" w:type="dxa"/>
                  <w:tcBorders>
                    <w:top w:val="nil"/>
                    <w:left w:val="nil"/>
                    <w:bottom w:val="single" w:sz="4" w:space="0" w:color="auto"/>
                    <w:right w:val="single" w:sz="4" w:space="0" w:color="auto"/>
                  </w:tcBorders>
                  <w:shd w:val="clear" w:color="auto" w:fill="auto"/>
                  <w:noWrap/>
                  <w:vAlign w:val="bottom"/>
                  <w:hideMark/>
                </w:tcPr>
                <w:p w14:paraId="153ACA8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76.5 (72.0, 79.9)</w:t>
                  </w:r>
                </w:p>
              </w:tc>
            </w:tr>
            <w:tr w:rsidR="00675ADB" w:rsidRPr="00DB5E03" w14:paraId="0262F39C"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7AC2B5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w:t>
                  </w:r>
                </w:p>
              </w:tc>
              <w:tc>
                <w:tcPr>
                  <w:tcW w:w="3835" w:type="dxa"/>
                  <w:tcBorders>
                    <w:top w:val="nil"/>
                    <w:left w:val="nil"/>
                    <w:bottom w:val="single" w:sz="4" w:space="0" w:color="auto"/>
                    <w:right w:val="single" w:sz="4" w:space="0" w:color="auto"/>
                  </w:tcBorders>
                  <w:shd w:val="clear" w:color="auto" w:fill="auto"/>
                  <w:noWrap/>
                  <w:vAlign w:val="bottom"/>
                  <w:hideMark/>
                </w:tcPr>
                <w:p w14:paraId="13069A3F"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Swinburne University of Technology</w:t>
                  </w:r>
                </w:p>
              </w:tc>
              <w:tc>
                <w:tcPr>
                  <w:tcW w:w="1938" w:type="dxa"/>
                  <w:tcBorders>
                    <w:top w:val="nil"/>
                    <w:left w:val="nil"/>
                    <w:bottom w:val="single" w:sz="4" w:space="0" w:color="auto"/>
                    <w:right w:val="single" w:sz="4" w:space="0" w:color="auto"/>
                  </w:tcBorders>
                  <w:shd w:val="clear" w:color="auto" w:fill="auto"/>
                  <w:noWrap/>
                  <w:vAlign w:val="bottom"/>
                  <w:hideMark/>
                </w:tcPr>
                <w:p w14:paraId="7F5811D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76.5</w:t>
                  </w:r>
                </w:p>
              </w:tc>
              <w:tc>
                <w:tcPr>
                  <w:tcW w:w="2072" w:type="dxa"/>
                  <w:tcBorders>
                    <w:top w:val="nil"/>
                    <w:left w:val="nil"/>
                    <w:bottom w:val="single" w:sz="4" w:space="0" w:color="auto"/>
                    <w:right w:val="single" w:sz="4" w:space="0" w:color="auto"/>
                  </w:tcBorders>
                  <w:shd w:val="clear" w:color="auto" w:fill="auto"/>
                  <w:noWrap/>
                  <w:vAlign w:val="bottom"/>
                  <w:hideMark/>
                </w:tcPr>
                <w:p w14:paraId="70B2473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76.5 (75.7, 77.3)</w:t>
                  </w:r>
                </w:p>
              </w:tc>
            </w:tr>
            <w:tr w:rsidR="00675ADB" w:rsidRPr="00DB5E03" w14:paraId="4CC28843"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928471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w:t>
                  </w:r>
                </w:p>
              </w:tc>
              <w:tc>
                <w:tcPr>
                  <w:tcW w:w="3835" w:type="dxa"/>
                  <w:tcBorders>
                    <w:top w:val="nil"/>
                    <w:left w:val="nil"/>
                    <w:bottom w:val="single" w:sz="4" w:space="0" w:color="auto"/>
                    <w:right w:val="single" w:sz="4" w:space="0" w:color="auto"/>
                  </w:tcBorders>
                  <w:shd w:val="clear" w:color="auto" w:fill="auto"/>
                  <w:noWrap/>
                  <w:vAlign w:val="bottom"/>
                  <w:hideMark/>
                </w:tcPr>
                <w:p w14:paraId="093B3524"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Griffith College</w:t>
                  </w:r>
                </w:p>
              </w:tc>
              <w:tc>
                <w:tcPr>
                  <w:tcW w:w="1938" w:type="dxa"/>
                  <w:tcBorders>
                    <w:top w:val="nil"/>
                    <w:left w:val="nil"/>
                    <w:bottom w:val="single" w:sz="4" w:space="0" w:color="auto"/>
                    <w:right w:val="single" w:sz="4" w:space="0" w:color="auto"/>
                  </w:tcBorders>
                  <w:shd w:val="clear" w:color="auto" w:fill="auto"/>
                  <w:noWrap/>
                  <w:vAlign w:val="bottom"/>
                  <w:hideMark/>
                </w:tcPr>
                <w:p w14:paraId="3F72680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76.3</w:t>
                  </w:r>
                </w:p>
              </w:tc>
              <w:tc>
                <w:tcPr>
                  <w:tcW w:w="2072" w:type="dxa"/>
                  <w:tcBorders>
                    <w:top w:val="nil"/>
                    <w:left w:val="nil"/>
                    <w:bottom w:val="single" w:sz="4" w:space="0" w:color="auto"/>
                    <w:right w:val="single" w:sz="4" w:space="0" w:color="auto"/>
                  </w:tcBorders>
                  <w:shd w:val="clear" w:color="auto" w:fill="auto"/>
                  <w:noWrap/>
                  <w:vAlign w:val="bottom"/>
                  <w:hideMark/>
                </w:tcPr>
                <w:p w14:paraId="230D354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76.3 (73.0, 79.2)</w:t>
                  </w:r>
                </w:p>
              </w:tc>
            </w:tr>
            <w:tr w:rsidR="00675ADB" w:rsidRPr="00DB5E03" w14:paraId="73C5B636"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DF2628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w:t>
                  </w:r>
                </w:p>
              </w:tc>
              <w:tc>
                <w:tcPr>
                  <w:tcW w:w="3835" w:type="dxa"/>
                  <w:tcBorders>
                    <w:top w:val="nil"/>
                    <w:left w:val="nil"/>
                    <w:bottom w:val="single" w:sz="4" w:space="0" w:color="auto"/>
                    <w:right w:val="single" w:sz="4" w:space="0" w:color="auto"/>
                  </w:tcBorders>
                  <w:shd w:val="clear" w:color="auto" w:fill="auto"/>
                  <w:noWrap/>
                  <w:vAlign w:val="bottom"/>
                  <w:hideMark/>
                </w:tcPr>
                <w:p w14:paraId="36B9EBD8"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SAE University College</w:t>
                  </w:r>
                </w:p>
              </w:tc>
              <w:tc>
                <w:tcPr>
                  <w:tcW w:w="1938" w:type="dxa"/>
                  <w:tcBorders>
                    <w:top w:val="nil"/>
                    <w:left w:val="nil"/>
                    <w:bottom w:val="single" w:sz="4" w:space="0" w:color="auto"/>
                    <w:right w:val="single" w:sz="4" w:space="0" w:color="auto"/>
                  </w:tcBorders>
                  <w:shd w:val="clear" w:color="auto" w:fill="auto"/>
                  <w:noWrap/>
                  <w:vAlign w:val="bottom"/>
                  <w:hideMark/>
                </w:tcPr>
                <w:p w14:paraId="1599966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76.1</w:t>
                  </w:r>
                </w:p>
              </w:tc>
              <w:tc>
                <w:tcPr>
                  <w:tcW w:w="2072" w:type="dxa"/>
                  <w:tcBorders>
                    <w:top w:val="nil"/>
                    <w:left w:val="nil"/>
                    <w:bottom w:val="single" w:sz="4" w:space="0" w:color="auto"/>
                    <w:right w:val="single" w:sz="4" w:space="0" w:color="auto"/>
                  </w:tcBorders>
                  <w:shd w:val="clear" w:color="auto" w:fill="auto"/>
                  <w:noWrap/>
                  <w:vAlign w:val="bottom"/>
                  <w:hideMark/>
                </w:tcPr>
                <w:p w14:paraId="402C04E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76.1 (73.8, 78.2)</w:t>
                  </w:r>
                </w:p>
              </w:tc>
            </w:tr>
            <w:tr w:rsidR="00675ADB" w:rsidRPr="00DB5E03" w14:paraId="5271551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2EC25B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w:t>
                  </w:r>
                </w:p>
              </w:tc>
              <w:tc>
                <w:tcPr>
                  <w:tcW w:w="3835" w:type="dxa"/>
                  <w:tcBorders>
                    <w:top w:val="nil"/>
                    <w:left w:val="nil"/>
                    <w:bottom w:val="single" w:sz="4" w:space="0" w:color="auto"/>
                    <w:right w:val="single" w:sz="4" w:space="0" w:color="auto"/>
                  </w:tcBorders>
                  <w:shd w:val="clear" w:color="auto" w:fill="auto"/>
                  <w:noWrap/>
                  <w:vAlign w:val="bottom"/>
                  <w:hideMark/>
                </w:tcPr>
                <w:p w14:paraId="386F86C4"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University of Adelaide</w:t>
                  </w:r>
                </w:p>
              </w:tc>
              <w:tc>
                <w:tcPr>
                  <w:tcW w:w="1938" w:type="dxa"/>
                  <w:tcBorders>
                    <w:top w:val="nil"/>
                    <w:left w:val="nil"/>
                    <w:bottom w:val="single" w:sz="4" w:space="0" w:color="auto"/>
                    <w:right w:val="single" w:sz="4" w:space="0" w:color="auto"/>
                  </w:tcBorders>
                  <w:shd w:val="clear" w:color="auto" w:fill="auto"/>
                  <w:noWrap/>
                  <w:vAlign w:val="bottom"/>
                  <w:hideMark/>
                </w:tcPr>
                <w:p w14:paraId="2991EA4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76.0</w:t>
                  </w:r>
                </w:p>
              </w:tc>
              <w:tc>
                <w:tcPr>
                  <w:tcW w:w="2072" w:type="dxa"/>
                  <w:tcBorders>
                    <w:top w:val="nil"/>
                    <w:left w:val="nil"/>
                    <w:bottom w:val="single" w:sz="4" w:space="0" w:color="auto"/>
                    <w:right w:val="single" w:sz="4" w:space="0" w:color="auto"/>
                  </w:tcBorders>
                  <w:shd w:val="clear" w:color="auto" w:fill="auto"/>
                  <w:noWrap/>
                  <w:vAlign w:val="bottom"/>
                  <w:hideMark/>
                </w:tcPr>
                <w:p w14:paraId="5DD5141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76.0 (75.0, 77.0)</w:t>
                  </w:r>
                </w:p>
              </w:tc>
            </w:tr>
            <w:tr w:rsidR="00675ADB" w:rsidRPr="00DB5E03" w14:paraId="4739017F"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0DACBF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78</w:t>
                  </w:r>
                </w:p>
              </w:tc>
              <w:tc>
                <w:tcPr>
                  <w:tcW w:w="3835" w:type="dxa"/>
                  <w:tcBorders>
                    <w:top w:val="nil"/>
                    <w:left w:val="nil"/>
                    <w:bottom w:val="single" w:sz="4" w:space="0" w:color="auto"/>
                    <w:right w:val="single" w:sz="4" w:space="0" w:color="auto"/>
                  </w:tcBorders>
                  <w:shd w:val="clear" w:color="auto" w:fill="auto"/>
                  <w:noWrap/>
                  <w:vAlign w:val="bottom"/>
                  <w:hideMark/>
                </w:tcPr>
                <w:p w14:paraId="44CFB6CB"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Deakin College</w:t>
                  </w:r>
                </w:p>
              </w:tc>
              <w:tc>
                <w:tcPr>
                  <w:tcW w:w="1938" w:type="dxa"/>
                  <w:tcBorders>
                    <w:top w:val="nil"/>
                    <w:left w:val="nil"/>
                    <w:bottom w:val="single" w:sz="4" w:space="0" w:color="auto"/>
                    <w:right w:val="single" w:sz="4" w:space="0" w:color="auto"/>
                  </w:tcBorders>
                  <w:shd w:val="clear" w:color="auto" w:fill="auto"/>
                  <w:noWrap/>
                  <w:vAlign w:val="bottom"/>
                  <w:hideMark/>
                </w:tcPr>
                <w:p w14:paraId="6FA4717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75.9</w:t>
                  </w:r>
                </w:p>
              </w:tc>
              <w:tc>
                <w:tcPr>
                  <w:tcW w:w="2072" w:type="dxa"/>
                  <w:tcBorders>
                    <w:top w:val="nil"/>
                    <w:left w:val="nil"/>
                    <w:bottom w:val="single" w:sz="4" w:space="0" w:color="auto"/>
                    <w:right w:val="single" w:sz="4" w:space="0" w:color="auto"/>
                  </w:tcBorders>
                  <w:shd w:val="clear" w:color="auto" w:fill="auto"/>
                  <w:noWrap/>
                  <w:vAlign w:val="bottom"/>
                  <w:hideMark/>
                </w:tcPr>
                <w:p w14:paraId="12A10B3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75.9 (73.1, 78.4)</w:t>
                  </w:r>
                </w:p>
              </w:tc>
            </w:tr>
            <w:tr w:rsidR="00675ADB" w:rsidRPr="00DB5E03" w14:paraId="032B262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0FB32E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79</w:t>
                  </w:r>
                </w:p>
              </w:tc>
              <w:tc>
                <w:tcPr>
                  <w:tcW w:w="3835" w:type="dxa"/>
                  <w:tcBorders>
                    <w:top w:val="nil"/>
                    <w:left w:val="nil"/>
                    <w:bottom w:val="single" w:sz="4" w:space="0" w:color="auto"/>
                    <w:right w:val="single" w:sz="4" w:space="0" w:color="auto"/>
                  </w:tcBorders>
                  <w:shd w:val="clear" w:color="auto" w:fill="auto"/>
                  <w:noWrap/>
                  <w:vAlign w:val="bottom"/>
                  <w:hideMark/>
                </w:tcPr>
                <w:p w14:paraId="6FDD0350"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Macquarie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0CD4F8D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75.8</w:t>
                  </w:r>
                </w:p>
              </w:tc>
              <w:tc>
                <w:tcPr>
                  <w:tcW w:w="2072" w:type="dxa"/>
                  <w:tcBorders>
                    <w:top w:val="nil"/>
                    <w:left w:val="nil"/>
                    <w:bottom w:val="single" w:sz="4" w:space="0" w:color="auto"/>
                    <w:right w:val="single" w:sz="4" w:space="0" w:color="auto"/>
                  </w:tcBorders>
                  <w:shd w:val="clear" w:color="auto" w:fill="auto"/>
                  <w:noWrap/>
                  <w:vAlign w:val="bottom"/>
                  <w:hideMark/>
                </w:tcPr>
                <w:p w14:paraId="615B35C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75.8 (75.2, 76.3)</w:t>
                  </w:r>
                </w:p>
              </w:tc>
            </w:tr>
            <w:tr w:rsidR="00675ADB" w:rsidRPr="00DB5E03" w14:paraId="17C855B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963809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80</w:t>
                  </w:r>
                </w:p>
              </w:tc>
              <w:tc>
                <w:tcPr>
                  <w:tcW w:w="3835" w:type="dxa"/>
                  <w:tcBorders>
                    <w:top w:val="nil"/>
                    <w:left w:val="nil"/>
                    <w:bottom w:val="single" w:sz="4" w:space="0" w:color="auto"/>
                    <w:right w:val="single" w:sz="4" w:space="0" w:color="auto"/>
                  </w:tcBorders>
                  <w:shd w:val="clear" w:color="auto" w:fill="auto"/>
                  <w:noWrap/>
                  <w:vAlign w:val="bottom"/>
                  <w:hideMark/>
                </w:tcPr>
                <w:p w14:paraId="69499D5D"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Asia Pacific International College</w:t>
                  </w:r>
                </w:p>
              </w:tc>
              <w:tc>
                <w:tcPr>
                  <w:tcW w:w="1938" w:type="dxa"/>
                  <w:tcBorders>
                    <w:top w:val="nil"/>
                    <w:left w:val="nil"/>
                    <w:bottom w:val="single" w:sz="4" w:space="0" w:color="auto"/>
                    <w:right w:val="single" w:sz="4" w:space="0" w:color="auto"/>
                  </w:tcBorders>
                  <w:shd w:val="clear" w:color="auto" w:fill="auto"/>
                  <w:noWrap/>
                  <w:vAlign w:val="bottom"/>
                  <w:hideMark/>
                </w:tcPr>
                <w:p w14:paraId="4826EE9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75.7</w:t>
                  </w:r>
                </w:p>
              </w:tc>
              <w:tc>
                <w:tcPr>
                  <w:tcW w:w="2072" w:type="dxa"/>
                  <w:tcBorders>
                    <w:top w:val="nil"/>
                    <w:left w:val="nil"/>
                    <w:bottom w:val="single" w:sz="4" w:space="0" w:color="auto"/>
                    <w:right w:val="single" w:sz="4" w:space="0" w:color="auto"/>
                  </w:tcBorders>
                  <w:shd w:val="clear" w:color="auto" w:fill="auto"/>
                  <w:noWrap/>
                  <w:vAlign w:val="bottom"/>
                  <w:hideMark/>
                </w:tcPr>
                <w:p w14:paraId="189B459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75.7 (70.4, 80.0)</w:t>
                  </w:r>
                </w:p>
              </w:tc>
            </w:tr>
            <w:tr w:rsidR="00675ADB" w:rsidRPr="00DB5E03" w14:paraId="0DF8A8CC"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B8D345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81</w:t>
                  </w:r>
                </w:p>
              </w:tc>
              <w:tc>
                <w:tcPr>
                  <w:tcW w:w="3835" w:type="dxa"/>
                  <w:tcBorders>
                    <w:top w:val="nil"/>
                    <w:left w:val="nil"/>
                    <w:bottom w:val="single" w:sz="4" w:space="0" w:color="auto"/>
                    <w:right w:val="single" w:sz="4" w:space="0" w:color="auto"/>
                  </w:tcBorders>
                  <w:shd w:val="clear" w:color="auto" w:fill="auto"/>
                  <w:noWrap/>
                  <w:vAlign w:val="bottom"/>
                  <w:hideMark/>
                </w:tcPr>
                <w:p w14:paraId="731E6FF5"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University of Western Australia</w:t>
                  </w:r>
                </w:p>
              </w:tc>
              <w:tc>
                <w:tcPr>
                  <w:tcW w:w="1938" w:type="dxa"/>
                  <w:tcBorders>
                    <w:top w:val="nil"/>
                    <w:left w:val="nil"/>
                    <w:bottom w:val="single" w:sz="4" w:space="0" w:color="auto"/>
                    <w:right w:val="single" w:sz="4" w:space="0" w:color="auto"/>
                  </w:tcBorders>
                  <w:shd w:val="clear" w:color="auto" w:fill="auto"/>
                  <w:noWrap/>
                  <w:vAlign w:val="bottom"/>
                  <w:hideMark/>
                </w:tcPr>
                <w:p w14:paraId="71B9EF3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75.6</w:t>
                  </w:r>
                </w:p>
              </w:tc>
              <w:tc>
                <w:tcPr>
                  <w:tcW w:w="2072" w:type="dxa"/>
                  <w:tcBorders>
                    <w:top w:val="nil"/>
                    <w:left w:val="nil"/>
                    <w:bottom w:val="single" w:sz="4" w:space="0" w:color="auto"/>
                    <w:right w:val="single" w:sz="4" w:space="0" w:color="auto"/>
                  </w:tcBorders>
                  <w:shd w:val="clear" w:color="auto" w:fill="auto"/>
                  <w:noWrap/>
                  <w:vAlign w:val="bottom"/>
                  <w:hideMark/>
                </w:tcPr>
                <w:p w14:paraId="051B939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75.6 (74.7, 76.5)</w:t>
                  </w:r>
                </w:p>
              </w:tc>
            </w:tr>
            <w:tr w:rsidR="00675ADB" w:rsidRPr="00DB5E03" w14:paraId="6449357F"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770576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82</w:t>
                  </w:r>
                </w:p>
              </w:tc>
              <w:tc>
                <w:tcPr>
                  <w:tcW w:w="3835" w:type="dxa"/>
                  <w:tcBorders>
                    <w:top w:val="nil"/>
                    <w:left w:val="nil"/>
                    <w:bottom w:val="single" w:sz="4" w:space="0" w:color="auto"/>
                    <w:right w:val="single" w:sz="4" w:space="0" w:color="auto"/>
                  </w:tcBorders>
                  <w:shd w:val="clear" w:color="auto" w:fill="auto"/>
                  <w:noWrap/>
                  <w:vAlign w:val="bottom"/>
                  <w:hideMark/>
                </w:tcPr>
                <w:p w14:paraId="4BD5D43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Curtin College</w:t>
                  </w:r>
                </w:p>
              </w:tc>
              <w:tc>
                <w:tcPr>
                  <w:tcW w:w="1938" w:type="dxa"/>
                  <w:tcBorders>
                    <w:top w:val="nil"/>
                    <w:left w:val="nil"/>
                    <w:bottom w:val="single" w:sz="4" w:space="0" w:color="auto"/>
                    <w:right w:val="single" w:sz="4" w:space="0" w:color="auto"/>
                  </w:tcBorders>
                  <w:shd w:val="clear" w:color="auto" w:fill="auto"/>
                  <w:noWrap/>
                  <w:vAlign w:val="bottom"/>
                  <w:hideMark/>
                </w:tcPr>
                <w:p w14:paraId="653B655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75.5</w:t>
                  </w:r>
                </w:p>
              </w:tc>
              <w:tc>
                <w:tcPr>
                  <w:tcW w:w="2072" w:type="dxa"/>
                  <w:tcBorders>
                    <w:top w:val="nil"/>
                    <w:left w:val="nil"/>
                    <w:bottom w:val="single" w:sz="4" w:space="0" w:color="auto"/>
                    <w:right w:val="single" w:sz="4" w:space="0" w:color="auto"/>
                  </w:tcBorders>
                  <w:shd w:val="clear" w:color="auto" w:fill="auto"/>
                  <w:noWrap/>
                  <w:vAlign w:val="bottom"/>
                  <w:hideMark/>
                </w:tcPr>
                <w:p w14:paraId="32AAFA1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75.5 (72.0, 78.6)</w:t>
                  </w:r>
                </w:p>
              </w:tc>
            </w:tr>
            <w:tr w:rsidR="00675ADB" w:rsidRPr="00DB5E03" w14:paraId="1370E933"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7962D9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83</w:t>
                  </w:r>
                </w:p>
              </w:tc>
              <w:tc>
                <w:tcPr>
                  <w:tcW w:w="3835" w:type="dxa"/>
                  <w:tcBorders>
                    <w:top w:val="nil"/>
                    <w:left w:val="nil"/>
                    <w:bottom w:val="single" w:sz="4" w:space="0" w:color="auto"/>
                    <w:right w:val="single" w:sz="4" w:space="0" w:color="auto"/>
                  </w:tcBorders>
                  <w:shd w:val="clear" w:color="auto" w:fill="auto"/>
                  <w:noWrap/>
                  <w:vAlign w:val="bottom"/>
                  <w:hideMark/>
                </w:tcPr>
                <w:p w14:paraId="0760D02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Western Sydney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281D51A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75.4</w:t>
                  </w:r>
                </w:p>
              </w:tc>
              <w:tc>
                <w:tcPr>
                  <w:tcW w:w="2072" w:type="dxa"/>
                  <w:tcBorders>
                    <w:top w:val="nil"/>
                    <w:left w:val="nil"/>
                    <w:bottom w:val="single" w:sz="4" w:space="0" w:color="auto"/>
                    <w:right w:val="single" w:sz="4" w:space="0" w:color="auto"/>
                  </w:tcBorders>
                  <w:shd w:val="clear" w:color="auto" w:fill="auto"/>
                  <w:noWrap/>
                  <w:vAlign w:val="bottom"/>
                  <w:hideMark/>
                </w:tcPr>
                <w:p w14:paraId="07D1B74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75.4 (74.6, 76.3)</w:t>
                  </w:r>
                </w:p>
              </w:tc>
            </w:tr>
            <w:tr w:rsidR="00675ADB" w:rsidRPr="00DB5E03" w14:paraId="1FA48E05"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DAF0B2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84</w:t>
                  </w:r>
                </w:p>
              </w:tc>
              <w:tc>
                <w:tcPr>
                  <w:tcW w:w="3835" w:type="dxa"/>
                  <w:tcBorders>
                    <w:top w:val="nil"/>
                    <w:left w:val="nil"/>
                    <w:bottom w:val="single" w:sz="4" w:space="0" w:color="auto"/>
                    <w:right w:val="single" w:sz="4" w:space="0" w:color="auto"/>
                  </w:tcBorders>
                  <w:shd w:val="clear" w:color="auto" w:fill="auto"/>
                  <w:noWrap/>
                  <w:vAlign w:val="bottom"/>
                  <w:hideMark/>
                </w:tcPr>
                <w:p w14:paraId="6F4C289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Charles Darwin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57BE1D1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75.2</w:t>
                  </w:r>
                </w:p>
              </w:tc>
              <w:tc>
                <w:tcPr>
                  <w:tcW w:w="2072" w:type="dxa"/>
                  <w:tcBorders>
                    <w:top w:val="nil"/>
                    <w:left w:val="nil"/>
                    <w:bottom w:val="single" w:sz="4" w:space="0" w:color="auto"/>
                    <w:right w:val="single" w:sz="4" w:space="0" w:color="auto"/>
                  </w:tcBorders>
                  <w:shd w:val="clear" w:color="auto" w:fill="auto"/>
                  <w:noWrap/>
                  <w:vAlign w:val="bottom"/>
                  <w:hideMark/>
                </w:tcPr>
                <w:p w14:paraId="336E0AE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75.2 (73.6, 76.7)</w:t>
                  </w:r>
                </w:p>
              </w:tc>
            </w:tr>
            <w:tr w:rsidR="00675ADB" w:rsidRPr="00DB5E03" w14:paraId="3AFDD91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06E90A5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85</w:t>
                  </w:r>
                </w:p>
              </w:tc>
              <w:tc>
                <w:tcPr>
                  <w:tcW w:w="3835" w:type="dxa"/>
                  <w:tcBorders>
                    <w:top w:val="nil"/>
                    <w:left w:val="nil"/>
                    <w:bottom w:val="single" w:sz="4" w:space="0" w:color="auto"/>
                    <w:right w:val="single" w:sz="4" w:space="0" w:color="auto"/>
                  </w:tcBorders>
                  <w:shd w:val="clear" w:color="auto" w:fill="auto"/>
                  <w:noWrap/>
                  <w:vAlign w:val="bottom"/>
                  <w:hideMark/>
                </w:tcPr>
                <w:p w14:paraId="353E921C"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James Cook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3C78023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75.2</w:t>
                  </w:r>
                </w:p>
              </w:tc>
              <w:tc>
                <w:tcPr>
                  <w:tcW w:w="2072" w:type="dxa"/>
                  <w:tcBorders>
                    <w:top w:val="nil"/>
                    <w:left w:val="nil"/>
                    <w:bottom w:val="single" w:sz="4" w:space="0" w:color="auto"/>
                    <w:right w:val="single" w:sz="4" w:space="0" w:color="auto"/>
                  </w:tcBorders>
                  <w:shd w:val="clear" w:color="auto" w:fill="auto"/>
                  <w:noWrap/>
                  <w:vAlign w:val="bottom"/>
                  <w:hideMark/>
                </w:tcPr>
                <w:p w14:paraId="62FA64E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75.2 (73.8, 76.6)</w:t>
                  </w:r>
                </w:p>
              </w:tc>
            </w:tr>
            <w:tr w:rsidR="00675ADB" w:rsidRPr="00DB5E03" w14:paraId="72EAABF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77E4C2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86</w:t>
                  </w:r>
                </w:p>
              </w:tc>
              <w:tc>
                <w:tcPr>
                  <w:tcW w:w="3835" w:type="dxa"/>
                  <w:tcBorders>
                    <w:top w:val="nil"/>
                    <w:left w:val="nil"/>
                    <w:bottom w:val="single" w:sz="4" w:space="0" w:color="auto"/>
                    <w:right w:val="single" w:sz="4" w:space="0" w:color="auto"/>
                  </w:tcBorders>
                  <w:shd w:val="clear" w:color="auto" w:fill="auto"/>
                  <w:noWrap/>
                  <w:vAlign w:val="bottom"/>
                  <w:hideMark/>
                </w:tcPr>
                <w:p w14:paraId="033B62BC"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Canberra</w:t>
                  </w:r>
                </w:p>
              </w:tc>
              <w:tc>
                <w:tcPr>
                  <w:tcW w:w="1938" w:type="dxa"/>
                  <w:tcBorders>
                    <w:top w:val="nil"/>
                    <w:left w:val="nil"/>
                    <w:bottom w:val="single" w:sz="4" w:space="0" w:color="auto"/>
                    <w:right w:val="single" w:sz="4" w:space="0" w:color="auto"/>
                  </w:tcBorders>
                  <w:shd w:val="clear" w:color="auto" w:fill="auto"/>
                  <w:noWrap/>
                  <w:vAlign w:val="bottom"/>
                  <w:hideMark/>
                </w:tcPr>
                <w:p w14:paraId="18478A7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75.2</w:t>
                  </w:r>
                </w:p>
              </w:tc>
              <w:tc>
                <w:tcPr>
                  <w:tcW w:w="2072" w:type="dxa"/>
                  <w:tcBorders>
                    <w:top w:val="nil"/>
                    <w:left w:val="nil"/>
                    <w:bottom w:val="single" w:sz="4" w:space="0" w:color="auto"/>
                    <w:right w:val="single" w:sz="4" w:space="0" w:color="auto"/>
                  </w:tcBorders>
                  <w:shd w:val="clear" w:color="auto" w:fill="auto"/>
                  <w:noWrap/>
                  <w:vAlign w:val="bottom"/>
                  <w:hideMark/>
                </w:tcPr>
                <w:p w14:paraId="0B9875C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75.2 (73.9, 76.5)</w:t>
                  </w:r>
                </w:p>
              </w:tc>
            </w:tr>
            <w:tr w:rsidR="00675ADB" w:rsidRPr="00DB5E03" w14:paraId="3B43C32F"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FD3A1F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87</w:t>
                  </w:r>
                </w:p>
              </w:tc>
              <w:tc>
                <w:tcPr>
                  <w:tcW w:w="3835" w:type="dxa"/>
                  <w:tcBorders>
                    <w:top w:val="nil"/>
                    <w:left w:val="nil"/>
                    <w:bottom w:val="single" w:sz="4" w:space="0" w:color="auto"/>
                    <w:right w:val="single" w:sz="4" w:space="0" w:color="auto"/>
                  </w:tcBorders>
                  <w:shd w:val="clear" w:color="auto" w:fill="auto"/>
                  <w:noWrap/>
                  <w:vAlign w:val="bottom"/>
                  <w:hideMark/>
                </w:tcPr>
                <w:p w14:paraId="64F9FB3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Le Cordon Bleu Australia</w:t>
                  </w:r>
                </w:p>
              </w:tc>
              <w:tc>
                <w:tcPr>
                  <w:tcW w:w="1938" w:type="dxa"/>
                  <w:tcBorders>
                    <w:top w:val="nil"/>
                    <w:left w:val="nil"/>
                    <w:bottom w:val="single" w:sz="4" w:space="0" w:color="auto"/>
                    <w:right w:val="single" w:sz="4" w:space="0" w:color="auto"/>
                  </w:tcBorders>
                  <w:shd w:val="clear" w:color="auto" w:fill="auto"/>
                  <w:noWrap/>
                  <w:vAlign w:val="bottom"/>
                  <w:hideMark/>
                </w:tcPr>
                <w:p w14:paraId="65274F6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75.0</w:t>
                  </w:r>
                </w:p>
              </w:tc>
              <w:tc>
                <w:tcPr>
                  <w:tcW w:w="2072" w:type="dxa"/>
                  <w:tcBorders>
                    <w:top w:val="nil"/>
                    <w:left w:val="nil"/>
                    <w:bottom w:val="single" w:sz="4" w:space="0" w:color="auto"/>
                    <w:right w:val="single" w:sz="4" w:space="0" w:color="auto"/>
                  </w:tcBorders>
                  <w:shd w:val="clear" w:color="auto" w:fill="auto"/>
                  <w:noWrap/>
                  <w:vAlign w:val="bottom"/>
                  <w:hideMark/>
                </w:tcPr>
                <w:p w14:paraId="301F491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75.0 (62.6, 83.5)</w:t>
                  </w:r>
                </w:p>
              </w:tc>
            </w:tr>
            <w:tr w:rsidR="00675ADB" w:rsidRPr="00DB5E03" w14:paraId="081158A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1A3B50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88</w:t>
                  </w:r>
                </w:p>
              </w:tc>
              <w:tc>
                <w:tcPr>
                  <w:tcW w:w="3835" w:type="dxa"/>
                  <w:tcBorders>
                    <w:top w:val="nil"/>
                    <w:left w:val="nil"/>
                    <w:bottom w:val="single" w:sz="4" w:space="0" w:color="auto"/>
                    <w:right w:val="single" w:sz="4" w:space="0" w:color="auto"/>
                  </w:tcBorders>
                  <w:shd w:val="clear" w:color="auto" w:fill="auto"/>
                  <w:noWrap/>
                  <w:vAlign w:val="bottom"/>
                  <w:hideMark/>
                </w:tcPr>
                <w:p w14:paraId="70645D93"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Monash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5566CBA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74.6</w:t>
                  </w:r>
                </w:p>
              </w:tc>
              <w:tc>
                <w:tcPr>
                  <w:tcW w:w="2072" w:type="dxa"/>
                  <w:tcBorders>
                    <w:top w:val="nil"/>
                    <w:left w:val="nil"/>
                    <w:bottom w:val="single" w:sz="4" w:space="0" w:color="auto"/>
                    <w:right w:val="single" w:sz="4" w:space="0" w:color="auto"/>
                  </w:tcBorders>
                  <w:shd w:val="clear" w:color="auto" w:fill="auto"/>
                  <w:noWrap/>
                  <w:vAlign w:val="bottom"/>
                  <w:hideMark/>
                </w:tcPr>
                <w:p w14:paraId="639FE49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74.6 (74.0, 75.3)</w:t>
                  </w:r>
                </w:p>
              </w:tc>
            </w:tr>
            <w:tr w:rsidR="00675ADB" w:rsidRPr="00DB5E03" w14:paraId="574C2A4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C83232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89</w:t>
                  </w:r>
                </w:p>
              </w:tc>
              <w:tc>
                <w:tcPr>
                  <w:tcW w:w="3835" w:type="dxa"/>
                  <w:tcBorders>
                    <w:top w:val="nil"/>
                    <w:left w:val="nil"/>
                    <w:bottom w:val="single" w:sz="4" w:space="0" w:color="auto"/>
                    <w:right w:val="single" w:sz="4" w:space="0" w:color="auto"/>
                  </w:tcBorders>
                  <w:shd w:val="clear" w:color="auto" w:fill="auto"/>
                  <w:noWrap/>
                  <w:vAlign w:val="bottom"/>
                  <w:hideMark/>
                </w:tcPr>
                <w:p w14:paraId="6DE7C416"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UOW College</w:t>
                  </w:r>
                </w:p>
              </w:tc>
              <w:tc>
                <w:tcPr>
                  <w:tcW w:w="1938" w:type="dxa"/>
                  <w:tcBorders>
                    <w:top w:val="nil"/>
                    <w:left w:val="nil"/>
                    <w:bottom w:val="single" w:sz="4" w:space="0" w:color="auto"/>
                    <w:right w:val="single" w:sz="4" w:space="0" w:color="auto"/>
                  </w:tcBorders>
                  <w:shd w:val="clear" w:color="auto" w:fill="auto"/>
                  <w:noWrap/>
                  <w:vAlign w:val="bottom"/>
                  <w:hideMark/>
                </w:tcPr>
                <w:p w14:paraId="6F5A800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74.3</w:t>
                  </w:r>
                </w:p>
              </w:tc>
              <w:tc>
                <w:tcPr>
                  <w:tcW w:w="2072" w:type="dxa"/>
                  <w:tcBorders>
                    <w:top w:val="nil"/>
                    <w:left w:val="nil"/>
                    <w:bottom w:val="single" w:sz="4" w:space="0" w:color="auto"/>
                    <w:right w:val="single" w:sz="4" w:space="0" w:color="auto"/>
                  </w:tcBorders>
                  <w:shd w:val="clear" w:color="auto" w:fill="auto"/>
                  <w:noWrap/>
                  <w:vAlign w:val="bottom"/>
                  <w:hideMark/>
                </w:tcPr>
                <w:p w14:paraId="7DEF102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74.3 (62.7, 82.4)</w:t>
                  </w:r>
                </w:p>
              </w:tc>
            </w:tr>
            <w:tr w:rsidR="00675ADB" w:rsidRPr="00DB5E03" w14:paraId="38E8A01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FFF760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90</w:t>
                  </w:r>
                </w:p>
              </w:tc>
              <w:tc>
                <w:tcPr>
                  <w:tcW w:w="3835" w:type="dxa"/>
                  <w:tcBorders>
                    <w:top w:val="nil"/>
                    <w:left w:val="nil"/>
                    <w:bottom w:val="single" w:sz="4" w:space="0" w:color="auto"/>
                    <w:right w:val="single" w:sz="4" w:space="0" w:color="auto"/>
                  </w:tcBorders>
                  <w:shd w:val="clear" w:color="auto" w:fill="auto"/>
                  <w:noWrap/>
                  <w:vAlign w:val="bottom"/>
                  <w:hideMark/>
                </w:tcPr>
                <w:p w14:paraId="265F00BF"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Edith Cowan College</w:t>
                  </w:r>
                </w:p>
              </w:tc>
              <w:tc>
                <w:tcPr>
                  <w:tcW w:w="1938" w:type="dxa"/>
                  <w:tcBorders>
                    <w:top w:val="nil"/>
                    <w:left w:val="nil"/>
                    <w:bottom w:val="single" w:sz="4" w:space="0" w:color="auto"/>
                    <w:right w:val="single" w:sz="4" w:space="0" w:color="auto"/>
                  </w:tcBorders>
                  <w:shd w:val="clear" w:color="auto" w:fill="auto"/>
                  <w:noWrap/>
                  <w:vAlign w:val="bottom"/>
                  <w:hideMark/>
                </w:tcPr>
                <w:p w14:paraId="25AC66F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74.2</w:t>
                  </w:r>
                </w:p>
              </w:tc>
              <w:tc>
                <w:tcPr>
                  <w:tcW w:w="2072" w:type="dxa"/>
                  <w:tcBorders>
                    <w:top w:val="nil"/>
                    <w:left w:val="nil"/>
                    <w:bottom w:val="single" w:sz="4" w:space="0" w:color="auto"/>
                    <w:right w:val="single" w:sz="4" w:space="0" w:color="auto"/>
                  </w:tcBorders>
                  <w:shd w:val="clear" w:color="auto" w:fill="auto"/>
                  <w:noWrap/>
                  <w:vAlign w:val="bottom"/>
                  <w:hideMark/>
                </w:tcPr>
                <w:p w14:paraId="61F6174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74.2 (70.0, 77.8)</w:t>
                  </w:r>
                </w:p>
              </w:tc>
            </w:tr>
            <w:tr w:rsidR="00675ADB" w:rsidRPr="00DB5E03" w14:paraId="068E33E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F52784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91</w:t>
                  </w:r>
                </w:p>
              </w:tc>
              <w:tc>
                <w:tcPr>
                  <w:tcW w:w="3835" w:type="dxa"/>
                  <w:tcBorders>
                    <w:top w:val="nil"/>
                    <w:left w:val="nil"/>
                    <w:bottom w:val="single" w:sz="4" w:space="0" w:color="auto"/>
                    <w:right w:val="single" w:sz="4" w:space="0" w:color="auto"/>
                  </w:tcBorders>
                  <w:shd w:val="clear" w:color="auto" w:fill="auto"/>
                  <w:noWrap/>
                  <w:vAlign w:val="bottom"/>
                  <w:hideMark/>
                </w:tcPr>
                <w:p w14:paraId="29DC5704"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Curtin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0503028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74.1</w:t>
                  </w:r>
                </w:p>
              </w:tc>
              <w:tc>
                <w:tcPr>
                  <w:tcW w:w="2072" w:type="dxa"/>
                  <w:tcBorders>
                    <w:top w:val="nil"/>
                    <w:left w:val="nil"/>
                    <w:bottom w:val="single" w:sz="4" w:space="0" w:color="auto"/>
                    <w:right w:val="single" w:sz="4" w:space="0" w:color="auto"/>
                  </w:tcBorders>
                  <w:shd w:val="clear" w:color="auto" w:fill="auto"/>
                  <w:noWrap/>
                  <w:vAlign w:val="bottom"/>
                  <w:hideMark/>
                </w:tcPr>
                <w:p w14:paraId="5F84D93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74.1 (73.2, 75.0)</w:t>
                  </w:r>
                </w:p>
              </w:tc>
            </w:tr>
            <w:tr w:rsidR="00675ADB" w:rsidRPr="00DB5E03" w14:paraId="547C71A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86AEB3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92</w:t>
                  </w:r>
                </w:p>
              </w:tc>
              <w:tc>
                <w:tcPr>
                  <w:tcW w:w="3835" w:type="dxa"/>
                  <w:tcBorders>
                    <w:top w:val="nil"/>
                    <w:left w:val="nil"/>
                    <w:bottom w:val="single" w:sz="4" w:space="0" w:color="auto"/>
                    <w:right w:val="single" w:sz="4" w:space="0" w:color="auto"/>
                  </w:tcBorders>
                  <w:shd w:val="clear" w:color="auto" w:fill="auto"/>
                  <w:noWrap/>
                  <w:vAlign w:val="bottom"/>
                  <w:hideMark/>
                </w:tcPr>
                <w:p w14:paraId="58CF11FF"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 xml:space="preserve">VIT </w:t>
                  </w:r>
                </w:p>
              </w:tc>
              <w:tc>
                <w:tcPr>
                  <w:tcW w:w="1938" w:type="dxa"/>
                  <w:tcBorders>
                    <w:top w:val="nil"/>
                    <w:left w:val="nil"/>
                    <w:bottom w:val="single" w:sz="4" w:space="0" w:color="auto"/>
                    <w:right w:val="single" w:sz="4" w:space="0" w:color="auto"/>
                  </w:tcBorders>
                  <w:shd w:val="clear" w:color="auto" w:fill="auto"/>
                  <w:noWrap/>
                  <w:vAlign w:val="bottom"/>
                  <w:hideMark/>
                </w:tcPr>
                <w:p w14:paraId="1AF23C2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73.6</w:t>
                  </w:r>
                </w:p>
              </w:tc>
              <w:tc>
                <w:tcPr>
                  <w:tcW w:w="2072" w:type="dxa"/>
                  <w:tcBorders>
                    <w:top w:val="nil"/>
                    <w:left w:val="nil"/>
                    <w:bottom w:val="single" w:sz="4" w:space="0" w:color="auto"/>
                    <w:right w:val="single" w:sz="4" w:space="0" w:color="auto"/>
                  </w:tcBorders>
                  <w:shd w:val="clear" w:color="auto" w:fill="auto"/>
                  <w:noWrap/>
                  <w:vAlign w:val="bottom"/>
                  <w:hideMark/>
                </w:tcPr>
                <w:p w14:paraId="59F9855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73.6 (70.4, 76.3)</w:t>
                  </w:r>
                </w:p>
              </w:tc>
            </w:tr>
            <w:tr w:rsidR="00675ADB" w:rsidRPr="00DB5E03" w14:paraId="50ADB5CC"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5201B5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93</w:t>
                  </w:r>
                </w:p>
              </w:tc>
              <w:tc>
                <w:tcPr>
                  <w:tcW w:w="3835" w:type="dxa"/>
                  <w:tcBorders>
                    <w:top w:val="nil"/>
                    <w:left w:val="nil"/>
                    <w:bottom w:val="single" w:sz="4" w:space="0" w:color="auto"/>
                    <w:right w:val="single" w:sz="4" w:space="0" w:color="auto"/>
                  </w:tcBorders>
                  <w:shd w:val="clear" w:color="auto" w:fill="auto"/>
                  <w:noWrap/>
                  <w:vAlign w:val="bottom"/>
                  <w:hideMark/>
                </w:tcPr>
                <w:p w14:paraId="7BC570A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Academy of Interactive Technology</w:t>
                  </w:r>
                </w:p>
              </w:tc>
              <w:tc>
                <w:tcPr>
                  <w:tcW w:w="1938" w:type="dxa"/>
                  <w:tcBorders>
                    <w:top w:val="nil"/>
                    <w:left w:val="nil"/>
                    <w:bottom w:val="single" w:sz="4" w:space="0" w:color="auto"/>
                    <w:right w:val="single" w:sz="4" w:space="0" w:color="auto"/>
                  </w:tcBorders>
                  <w:shd w:val="clear" w:color="auto" w:fill="auto"/>
                  <w:noWrap/>
                  <w:vAlign w:val="bottom"/>
                  <w:hideMark/>
                </w:tcPr>
                <w:p w14:paraId="607FC2A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73.3</w:t>
                  </w:r>
                </w:p>
              </w:tc>
              <w:tc>
                <w:tcPr>
                  <w:tcW w:w="2072" w:type="dxa"/>
                  <w:tcBorders>
                    <w:top w:val="nil"/>
                    <w:left w:val="nil"/>
                    <w:bottom w:val="single" w:sz="4" w:space="0" w:color="auto"/>
                    <w:right w:val="single" w:sz="4" w:space="0" w:color="auto"/>
                  </w:tcBorders>
                  <w:shd w:val="clear" w:color="auto" w:fill="auto"/>
                  <w:noWrap/>
                  <w:vAlign w:val="bottom"/>
                  <w:hideMark/>
                </w:tcPr>
                <w:p w14:paraId="205AA66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73.3 (68.5, 77.3)</w:t>
                  </w:r>
                </w:p>
              </w:tc>
            </w:tr>
            <w:tr w:rsidR="00675ADB" w:rsidRPr="00DB5E03" w14:paraId="5CF60BA0"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32435C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94</w:t>
                  </w:r>
                </w:p>
              </w:tc>
              <w:tc>
                <w:tcPr>
                  <w:tcW w:w="3835" w:type="dxa"/>
                  <w:tcBorders>
                    <w:top w:val="nil"/>
                    <w:left w:val="nil"/>
                    <w:bottom w:val="single" w:sz="4" w:space="0" w:color="auto"/>
                    <w:right w:val="single" w:sz="4" w:space="0" w:color="auto"/>
                  </w:tcBorders>
                  <w:shd w:val="clear" w:color="auto" w:fill="auto"/>
                  <w:noWrap/>
                  <w:vAlign w:val="bottom"/>
                  <w:hideMark/>
                </w:tcPr>
                <w:p w14:paraId="0F3068B1"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University of Notre Dame Australia</w:t>
                  </w:r>
                </w:p>
              </w:tc>
              <w:tc>
                <w:tcPr>
                  <w:tcW w:w="1938" w:type="dxa"/>
                  <w:tcBorders>
                    <w:top w:val="nil"/>
                    <w:left w:val="nil"/>
                    <w:bottom w:val="single" w:sz="4" w:space="0" w:color="auto"/>
                    <w:right w:val="single" w:sz="4" w:space="0" w:color="auto"/>
                  </w:tcBorders>
                  <w:shd w:val="clear" w:color="auto" w:fill="auto"/>
                  <w:noWrap/>
                  <w:vAlign w:val="bottom"/>
                  <w:hideMark/>
                </w:tcPr>
                <w:p w14:paraId="4F2D0DC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73.1</w:t>
                  </w:r>
                </w:p>
              </w:tc>
              <w:tc>
                <w:tcPr>
                  <w:tcW w:w="2072" w:type="dxa"/>
                  <w:tcBorders>
                    <w:top w:val="nil"/>
                    <w:left w:val="nil"/>
                    <w:bottom w:val="single" w:sz="4" w:space="0" w:color="auto"/>
                    <w:right w:val="single" w:sz="4" w:space="0" w:color="auto"/>
                  </w:tcBorders>
                  <w:shd w:val="clear" w:color="auto" w:fill="auto"/>
                  <w:noWrap/>
                  <w:vAlign w:val="bottom"/>
                  <w:hideMark/>
                </w:tcPr>
                <w:p w14:paraId="0E75EC4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73.1 (71.8, 74.3)</w:t>
                  </w:r>
                </w:p>
              </w:tc>
            </w:tr>
            <w:tr w:rsidR="00675ADB" w:rsidRPr="00DB5E03" w14:paraId="6879CF6D"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628DCE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95</w:t>
                  </w:r>
                </w:p>
              </w:tc>
              <w:tc>
                <w:tcPr>
                  <w:tcW w:w="3835" w:type="dxa"/>
                  <w:tcBorders>
                    <w:top w:val="nil"/>
                    <w:left w:val="nil"/>
                    <w:bottom w:val="single" w:sz="4" w:space="0" w:color="auto"/>
                    <w:right w:val="single" w:sz="4" w:space="0" w:color="auto"/>
                  </w:tcBorders>
                  <w:shd w:val="clear" w:color="auto" w:fill="auto"/>
                  <w:noWrap/>
                  <w:vAlign w:val="bottom"/>
                  <w:hideMark/>
                </w:tcPr>
                <w:p w14:paraId="48B06E34"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RMIT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33808F4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73.0</w:t>
                  </w:r>
                </w:p>
              </w:tc>
              <w:tc>
                <w:tcPr>
                  <w:tcW w:w="2072" w:type="dxa"/>
                  <w:tcBorders>
                    <w:top w:val="nil"/>
                    <w:left w:val="nil"/>
                    <w:bottom w:val="single" w:sz="4" w:space="0" w:color="auto"/>
                    <w:right w:val="single" w:sz="4" w:space="0" w:color="auto"/>
                  </w:tcBorders>
                  <w:shd w:val="clear" w:color="auto" w:fill="auto"/>
                  <w:noWrap/>
                  <w:vAlign w:val="bottom"/>
                  <w:hideMark/>
                </w:tcPr>
                <w:p w14:paraId="6604FD6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73.0 (72.1, 73.9)</w:t>
                  </w:r>
                </w:p>
              </w:tc>
            </w:tr>
            <w:tr w:rsidR="00675ADB" w:rsidRPr="00DB5E03" w14:paraId="375E3A83"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4176A3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96</w:t>
                  </w:r>
                </w:p>
              </w:tc>
              <w:tc>
                <w:tcPr>
                  <w:tcW w:w="3835" w:type="dxa"/>
                  <w:tcBorders>
                    <w:top w:val="nil"/>
                    <w:left w:val="nil"/>
                    <w:bottom w:val="single" w:sz="4" w:space="0" w:color="auto"/>
                    <w:right w:val="single" w:sz="4" w:space="0" w:color="auto"/>
                  </w:tcBorders>
                  <w:shd w:val="clear" w:color="auto" w:fill="auto"/>
                  <w:noWrap/>
                  <w:vAlign w:val="bottom"/>
                  <w:hideMark/>
                </w:tcPr>
                <w:p w14:paraId="315326E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Southern Cross University</w:t>
                  </w:r>
                </w:p>
              </w:tc>
              <w:tc>
                <w:tcPr>
                  <w:tcW w:w="1938" w:type="dxa"/>
                  <w:tcBorders>
                    <w:top w:val="nil"/>
                    <w:left w:val="nil"/>
                    <w:bottom w:val="single" w:sz="4" w:space="0" w:color="auto"/>
                    <w:right w:val="single" w:sz="4" w:space="0" w:color="auto"/>
                  </w:tcBorders>
                  <w:shd w:val="clear" w:color="auto" w:fill="auto"/>
                  <w:noWrap/>
                  <w:vAlign w:val="bottom"/>
                  <w:hideMark/>
                </w:tcPr>
                <w:p w14:paraId="5E088B7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72.9</w:t>
                  </w:r>
                </w:p>
              </w:tc>
              <w:tc>
                <w:tcPr>
                  <w:tcW w:w="2072" w:type="dxa"/>
                  <w:tcBorders>
                    <w:top w:val="nil"/>
                    <w:left w:val="nil"/>
                    <w:bottom w:val="single" w:sz="4" w:space="0" w:color="auto"/>
                    <w:right w:val="single" w:sz="4" w:space="0" w:color="auto"/>
                  </w:tcBorders>
                  <w:shd w:val="clear" w:color="auto" w:fill="auto"/>
                  <w:noWrap/>
                  <w:vAlign w:val="bottom"/>
                  <w:hideMark/>
                </w:tcPr>
                <w:p w14:paraId="08DA3CE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72.9 (71.2, 74.5)</w:t>
                  </w:r>
                </w:p>
              </w:tc>
            </w:tr>
            <w:tr w:rsidR="00675ADB" w:rsidRPr="00DB5E03" w14:paraId="4016F6C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4F784F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97</w:t>
                  </w:r>
                </w:p>
              </w:tc>
              <w:tc>
                <w:tcPr>
                  <w:tcW w:w="3835" w:type="dxa"/>
                  <w:tcBorders>
                    <w:top w:val="nil"/>
                    <w:left w:val="nil"/>
                    <w:bottom w:val="single" w:sz="4" w:space="0" w:color="auto"/>
                    <w:right w:val="single" w:sz="4" w:space="0" w:color="auto"/>
                  </w:tcBorders>
                  <w:shd w:val="clear" w:color="auto" w:fill="auto"/>
                  <w:noWrap/>
                  <w:vAlign w:val="bottom"/>
                  <w:hideMark/>
                </w:tcPr>
                <w:p w14:paraId="16B4B540"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New South Wales</w:t>
                  </w:r>
                </w:p>
              </w:tc>
              <w:tc>
                <w:tcPr>
                  <w:tcW w:w="1938" w:type="dxa"/>
                  <w:tcBorders>
                    <w:top w:val="nil"/>
                    <w:left w:val="nil"/>
                    <w:bottom w:val="single" w:sz="4" w:space="0" w:color="auto"/>
                    <w:right w:val="single" w:sz="4" w:space="0" w:color="auto"/>
                  </w:tcBorders>
                  <w:shd w:val="clear" w:color="auto" w:fill="auto"/>
                  <w:noWrap/>
                  <w:vAlign w:val="bottom"/>
                  <w:hideMark/>
                </w:tcPr>
                <w:p w14:paraId="2D9A109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72.9</w:t>
                  </w:r>
                </w:p>
              </w:tc>
              <w:tc>
                <w:tcPr>
                  <w:tcW w:w="2072" w:type="dxa"/>
                  <w:tcBorders>
                    <w:top w:val="nil"/>
                    <w:left w:val="nil"/>
                    <w:bottom w:val="single" w:sz="4" w:space="0" w:color="auto"/>
                    <w:right w:val="single" w:sz="4" w:space="0" w:color="auto"/>
                  </w:tcBorders>
                  <w:shd w:val="clear" w:color="auto" w:fill="auto"/>
                  <w:noWrap/>
                  <w:vAlign w:val="bottom"/>
                  <w:hideMark/>
                </w:tcPr>
                <w:p w14:paraId="0A7B87D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72.9 (72.2, 73.6)</w:t>
                  </w:r>
                </w:p>
              </w:tc>
            </w:tr>
            <w:tr w:rsidR="00675ADB" w:rsidRPr="00DB5E03" w14:paraId="572C71A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C07236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98</w:t>
                  </w:r>
                </w:p>
              </w:tc>
              <w:tc>
                <w:tcPr>
                  <w:tcW w:w="3835" w:type="dxa"/>
                  <w:tcBorders>
                    <w:top w:val="nil"/>
                    <w:left w:val="nil"/>
                    <w:bottom w:val="single" w:sz="4" w:space="0" w:color="auto"/>
                    <w:right w:val="single" w:sz="4" w:space="0" w:color="auto"/>
                  </w:tcBorders>
                  <w:shd w:val="clear" w:color="auto" w:fill="auto"/>
                  <w:noWrap/>
                  <w:vAlign w:val="bottom"/>
                  <w:hideMark/>
                </w:tcPr>
                <w:p w14:paraId="48E6668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TAFE Queensland</w:t>
                  </w:r>
                </w:p>
              </w:tc>
              <w:tc>
                <w:tcPr>
                  <w:tcW w:w="1938" w:type="dxa"/>
                  <w:tcBorders>
                    <w:top w:val="nil"/>
                    <w:left w:val="nil"/>
                    <w:bottom w:val="single" w:sz="4" w:space="0" w:color="auto"/>
                    <w:right w:val="single" w:sz="4" w:space="0" w:color="auto"/>
                  </w:tcBorders>
                  <w:shd w:val="clear" w:color="auto" w:fill="auto"/>
                  <w:noWrap/>
                  <w:vAlign w:val="bottom"/>
                  <w:hideMark/>
                </w:tcPr>
                <w:p w14:paraId="49F8651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72.6</w:t>
                  </w:r>
                </w:p>
              </w:tc>
              <w:tc>
                <w:tcPr>
                  <w:tcW w:w="2072" w:type="dxa"/>
                  <w:tcBorders>
                    <w:top w:val="nil"/>
                    <w:left w:val="nil"/>
                    <w:bottom w:val="single" w:sz="4" w:space="0" w:color="auto"/>
                    <w:right w:val="single" w:sz="4" w:space="0" w:color="auto"/>
                  </w:tcBorders>
                  <w:shd w:val="clear" w:color="auto" w:fill="auto"/>
                  <w:noWrap/>
                  <w:vAlign w:val="bottom"/>
                  <w:hideMark/>
                </w:tcPr>
                <w:p w14:paraId="594C177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72.6 (65.5, 78.4)</w:t>
                  </w:r>
                </w:p>
              </w:tc>
            </w:tr>
            <w:tr w:rsidR="00675ADB" w:rsidRPr="00DB5E03" w14:paraId="532FE7F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F116D4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99</w:t>
                  </w:r>
                </w:p>
              </w:tc>
              <w:tc>
                <w:tcPr>
                  <w:tcW w:w="3835" w:type="dxa"/>
                  <w:tcBorders>
                    <w:top w:val="nil"/>
                    <w:left w:val="nil"/>
                    <w:bottom w:val="single" w:sz="4" w:space="0" w:color="auto"/>
                    <w:right w:val="single" w:sz="4" w:space="0" w:color="auto"/>
                  </w:tcBorders>
                  <w:shd w:val="clear" w:color="auto" w:fill="auto"/>
                  <w:noWrap/>
                  <w:vAlign w:val="bottom"/>
                  <w:hideMark/>
                </w:tcPr>
                <w:p w14:paraId="3A996966"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Endeavour College of Natural Health</w:t>
                  </w:r>
                </w:p>
              </w:tc>
              <w:tc>
                <w:tcPr>
                  <w:tcW w:w="1938" w:type="dxa"/>
                  <w:tcBorders>
                    <w:top w:val="nil"/>
                    <w:left w:val="nil"/>
                    <w:bottom w:val="single" w:sz="4" w:space="0" w:color="auto"/>
                    <w:right w:val="single" w:sz="4" w:space="0" w:color="auto"/>
                  </w:tcBorders>
                  <w:shd w:val="clear" w:color="auto" w:fill="auto"/>
                  <w:noWrap/>
                  <w:vAlign w:val="bottom"/>
                  <w:hideMark/>
                </w:tcPr>
                <w:p w14:paraId="2A6D4187"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72.5</w:t>
                  </w:r>
                </w:p>
              </w:tc>
              <w:tc>
                <w:tcPr>
                  <w:tcW w:w="2072" w:type="dxa"/>
                  <w:tcBorders>
                    <w:top w:val="nil"/>
                    <w:left w:val="nil"/>
                    <w:bottom w:val="single" w:sz="4" w:space="0" w:color="auto"/>
                    <w:right w:val="single" w:sz="4" w:space="0" w:color="auto"/>
                  </w:tcBorders>
                  <w:shd w:val="clear" w:color="auto" w:fill="auto"/>
                  <w:noWrap/>
                  <w:vAlign w:val="bottom"/>
                  <w:hideMark/>
                </w:tcPr>
                <w:p w14:paraId="3C7798D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72.5 (70.5, 74.4)</w:t>
                  </w:r>
                </w:p>
              </w:tc>
            </w:tr>
            <w:tr w:rsidR="00675ADB" w:rsidRPr="00DB5E03" w14:paraId="1DF2076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FE2E9D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100</w:t>
                  </w:r>
                </w:p>
              </w:tc>
              <w:tc>
                <w:tcPr>
                  <w:tcW w:w="3835" w:type="dxa"/>
                  <w:tcBorders>
                    <w:top w:val="nil"/>
                    <w:left w:val="nil"/>
                    <w:bottom w:val="single" w:sz="4" w:space="0" w:color="auto"/>
                    <w:right w:val="single" w:sz="4" w:space="0" w:color="auto"/>
                  </w:tcBorders>
                  <w:shd w:val="clear" w:color="auto" w:fill="auto"/>
                  <w:noWrap/>
                  <w:vAlign w:val="bottom"/>
                  <w:hideMark/>
                </w:tcPr>
                <w:p w14:paraId="6F31A14A"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Sydney Institute of Business and Technology</w:t>
                  </w:r>
                </w:p>
              </w:tc>
              <w:tc>
                <w:tcPr>
                  <w:tcW w:w="1938" w:type="dxa"/>
                  <w:tcBorders>
                    <w:top w:val="nil"/>
                    <w:left w:val="nil"/>
                    <w:bottom w:val="single" w:sz="4" w:space="0" w:color="auto"/>
                    <w:right w:val="single" w:sz="4" w:space="0" w:color="auto"/>
                  </w:tcBorders>
                  <w:shd w:val="clear" w:color="auto" w:fill="auto"/>
                  <w:noWrap/>
                  <w:vAlign w:val="bottom"/>
                  <w:hideMark/>
                </w:tcPr>
                <w:p w14:paraId="5E05791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72.3</w:t>
                  </w:r>
                </w:p>
              </w:tc>
              <w:tc>
                <w:tcPr>
                  <w:tcW w:w="2072" w:type="dxa"/>
                  <w:tcBorders>
                    <w:top w:val="nil"/>
                    <w:left w:val="nil"/>
                    <w:bottom w:val="single" w:sz="4" w:space="0" w:color="auto"/>
                    <w:right w:val="single" w:sz="4" w:space="0" w:color="auto"/>
                  </w:tcBorders>
                  <w:shd w:val="clear" w:color="auto" w:fill="auto"/>
                  <w:noWrap/>
                  <w:vAlign w:val="bottom"/>
                  <w:hideMark/>
                </w:tcPr>
                <w:p w14:paraId="1304104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72.3 (62.5, 79.7)</w:t>
                  </w:r>
                </w:p>
              </w:tc>
            </w:tr>
            <w:tr w:rsidR="00675ADB" w:rsidRPr="00DB5E03" w14:paraId="472490F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911F0E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101</w:t>
                  </w:r>
                </w:p>
              </w:tc>
              <w:tc>
                <w:tcPr>
                  <w:tcW w:w="3835" w:type="dxa"/>
                  <w:tcBorders>
                    <w:top w:val="nil"/>
                    <w:left w:val="nil"/>
                    <w:bottom w:val="single" w:sz="4" w:space="0" w:color="auto"/>
                    <w:right w:val="single" w:sz="4" w:space="0" w:color="auto"/>
                  </w:tcBorders>
                  <w:shd w:val="clear" w:color="auto" w:fill="auto"/>
                  <w:noWrap/>
                  <w:vAlign w:val="bottom"/>
                  <w:hideMark/>
                </w:tcPr>
                <w:p w14:paraId="70548205"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University of Southern Queensland</w:t>
                  </w:r>
                </w:p>
              </w:tc>
              <w:tc>
                <w:tcPr>
                  <w:tcW w:w="1938" w:type="dxa"/>
                  <w:tcBorders>
                    <w:top w:val="nil"/>
                    <w:left w:val="nil"/>
                    <w:bottom w:val="single" w:sz="4" w:space="0" w:color="auto"/>
                    <w:right w:val="single" w:sz="4" w:space="0" w:color="auto"/>
                  </w:tcBorders>
                  <w:shd w:val="clear" w:color="auto" w:fill="auto"/>
                  <w:noWrap/>
                  <w:vAlign w:val="bottom"/>
                  <w:hideMark/>
                </w:tcPr>
                <w:p w14:paraId="750CF66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72.3</w:t>
                  </w:r>
                </w:p>
              </w:tc>
              <w:tc>
                <w:tcPr>
                  <w:tcW w:w="2072" w:type="dxa"/>
                  <w:tcBorders>
                    <w:top w:val="nil"/>
                    <w:left w:val="nil"/>
                    <w:bottom w:val="single" w:sz="4" w:space="0" w:color="auto"/>
                    <w:right w:val="single" w:sz="4" w:space="0" w:color="auto"/>
                  </w:tcBorders>
                  <w:shd w:val="clear" w:color="auto" w:fill="auto"/>
                  <w:noWrap/>
                  <w:vAlign w:val="bottom"/>
                  <w:hideMark/>
                </w:tcPr>
                <w:p w14:paraId="0D5669C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72.3 (70.8, 73.7)</w:t>
                  </w:r>
                </w:p>
              </w:tc>
            </w:tr>
            <w:tr w:rsidR="00675ADB" w:rsidRPr="00DB5E03" w14:paraId="7532D1A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0DB45B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102</w:t>
                  </w:r>
                </w:p>
              </w:tc>
              <w:tc>
                <w:tcPr>
                  <w:tcW w:w="3835" w:type="dxa"/>
                  <w:tcBorders>
                    <w:top w:val="nil"/>
                    <w:left w:val="nil"/>
                    <w:bottom w:val="single" w:sz="4" w:space="0" w:color="auto"/>
                    <w:right w:val="single" w:sz="4" w:space="0" w:color="auto"/>
                  </w:tcBorders>
                  <w:shd w:val="clear" w:color="auto" w:fill="auto"/>
                  <w:noWrap/>
                  <w:vAlign w:val="bottom"/>
                  <w:hideMark/>
                </w:tcPr>
                <w:p w14:paraId="570EC829"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Australian Academy of Music and Performing Arts</w:t>
                  </w:r>
                </w:p>
              </w:tc>
              <w:tc>
                <w:tcPr>
                  <w:tcW w:w="1938" w:type="dxa"/>
                  <w:tcBorders>
                    <w:top w:val="nil"/>
                    <w:left w:val="nil"/>
                    <w:bottom w:val="single" w:sz="4" w:space="0" w:color="auto"/>
                    <w:right w:val="single" w:sz="4" w:space="0" w:color="auto"/>
                  </w:tcBorders>
                  <w:shd w:val="clear" w:color="auto" w:fill="auto"/>
                  <w:noWrap/>
                  <w:vAlign w:val="bottom"/>
                  <w:hideMark/>
                </w:tcPr>
                <w:p w14:paraId="6D21B3B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71.4</w:t>
                  </w:r>
                </w:p>
              </w:tc>
              <w:tc>
                <w:tcPr>
                  <w:tcW w:w="2072" w:type="dxa"/>
                  <w:tcBorders>
                    <w:top w:val="nil"/>
                    <w:left w:val="nil"/>
                    <w:bottom w:val="single" w:sz="4" w:space="0" w:color="auto"/>
                    <w:right w:val="single" w:sz="4" w:space="0" w:color="auto"/>
                  </w:tcBorders>
                  <w:shd w:val="clear" w:color="auto" w:fill="auto"/>
                  <w:noWrap/>
                  <w:vAlign w:val="bottom"/>
                  <w:hideMark/>
                </w:tcPr>
                <w:p w14:paraId="40F7959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71.4 (59.7, 80.0)</w:t>
                  </w:r>
                </w:p>
              </w:tc>
            </w:tr>
            <w:tr w:rsidR="00675ADB" w:rsidRPr="00DB5E03" w14:paraId="32BDA957"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9A1703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103</w:t>
                  </w:r>
                </w:p>
              </w:tc>
              <w:tc>
                <w:tcPr>
                  <w:tcW w:w="3835" w:type="dxa"/>
                  <w:tcBorders>
                    <w:top w:val="nil"/>
                    <w:left w:val="nil"/>
                    <w:bottom w:val="single" w:sz="4" w:space="0" w:color="auto"/>
                    <w:right w:val="single" w:sz="4" w:space="0" w:color="auto"/>
                  </w:tcBorders>
                  <w:shd w:val="clear" w:color="auto" w:fill="auto"/>
                  <w:noWrap/>
                  <w:vAlign w:val="bottom"/>
                  <w:hideMark/>
                </w:tcPr>
                <w:p w14:paraId="015B0710"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Monash College</w:t>
                  </w:r>
                </w:p>
              </w:tc>
              <w:tc>
                <w:tcPr>
                  <w:tcW w:w="1938" w:type="dxa"/>
                  <w:tcBorders>
                    <w:top w:val="nil"/>
                    <w:left w:val="nil"/>
                    <w:bottom w:val="single" w:sz="4" w:space="0" w:color="auto"/>
                    <w:right w:val="single" w:sz="4" w:space="0" w:color="auto"/>
                  </w:tcBorders>
                  <w:shd w:val="clear" w:color="auto" w:fill="auto"/>
                  <w:noWrap/>
                  <w:vAlign w:val="bottom"/>
                  <w:hideMark/>
                </w:tcPr>
                <w:p w14:paraId="1C2AA7D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71.3</w:t>
                  </w:r>
                </w:p>
              </w:tc>
              <w:tc>
                <w:tcPr>
                  <w:tcW w:w="2072" w:type="dxa"/>
                  <w:tcBorders>
                    <w:top w:val="nil"/>
                    <w:left w:val="nil"/>
                    <w:bottom w:val="single" w:sz="4" w:space="0" w:color="auto"/>
                    <w:right w:val="single" w:sz="4" w:space="0" w:color="auto"/>
                  </w:tcBorders>
                  <w:shd w:val="clear" w:color="auto" w:fill="auto"/>
                  <w:noWrap/>
                  <w:vAlign w:val="bottom"/>
                  <w:hideMark/>
                </w:tcPr>
                <w:p w14:paraId="2B74967B"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71.3 (66.7, 75.4)</w:t>
                  </w:r>
                </w:p>
              </w:tc>
            </w:tr>
            <w:tr w:rsidR="00675ADB" w:rsidRPr="00DB5E03" w14:paraId="0255CAF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11636B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104</w:t>
                  </w:r>
                </w:p>
              </w:tc>
              <w:tc>
                <w:tcPr>
                  <w:tcW w:w="3835" w:type="dxa"/>
                  <w:tcBorders>
                    <w:top w:val="nil"/>
                    <w:left w:val="nil"/>
                    <w:bottom w:val="single" w:sz="4" w:space="0" w:color="auto"/>
                    <w:right w:val="single" w:sz="4" w:space="0" w:color="auto"/>
                  </w:tcBorders>
                  <w:shd w:val="clear" w:color="auto" w:fill="auto"/>
                  <w:noWrap/>
                  <w:vAlign w:val="bottom"/>
                  <w:hideMark/>
                </w:tcPr>
                <w:p w14:paraId="3C3E3DAC"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Acknowledge Education</w:t>
                  </w:r>
                </w:p>
              </w:tc>
              <w:tc>
                <w:tcPr>
                  <w:tcW w:w="1938" w:type="dxa"/>
                  <w:tcBorders>
                    <w:top w:val="nil"/>
                    <w:left w:val="nil"/>
                    <w:bottom w:val="single" w:sz="4" w:space="0" w:color="auto"/>
                    <w:right w:val="single" w:sz="4" w:space="0" w:color="auto"/>
                  </w:tcBorders>
                  <w:shd w:val="clear" w:color="auto" w:fill="auto"/>
                  <w:noWrap/>
                  <w:vAlign w:val="bottom"/>
                  <w:hideMark/>
                </w:tcPr>
                <w:p w14:paraId="3AD0C53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71.2</w:t>
                  </w:r>
                </w:p>
              </w:tc>
              <w:tc>
                <w:tcPr>
                  <w:tcW w:w="2072" w:type="dxa"/>
                  <w:tcBorders>
                    <w:top w:val="nil"/>
                    <w:left w:val="nil"/>
                    <w:bottom w:val="single" w:sz="4" w:space="0" w:color="auto"/>
                    <w:right w:val="single" w:sz="4" w:space="0" w:color="auto"/>
                  </w:tcBorders>
                  <w:shd w:val="clear" w:color="auto" w:fill="auto"/>
                  <w:noWrap/>
                  <w:vAlign w:val="bottom"/>
                  <w:hideMark/>
                </w:tcPr>
                <w:p w14:paraId="762B9DE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71.2 (69.5, 72.7)</w:t>
                  </w:r>
                </w:p>
              </w:tc>
            </w:tr>
            <w:tr w:rsidR="00675ADB" w:rsidRPr="00DB5E03" w14:paraId="577731C9"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057243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105</w:t>
                  </w:r>
                </w:p>
              </w:tc>
              <w:tc>
                <w:tcPr>
                  <w:tcW w:w="3835" w:type="dxa"/>
                  <w:tcBorders>
                    <w:top w:val="nil"/>
                    <w:left w:val="nil"/>
                    <w:bottom w:val="single" w:sz="4" w:space="0" w:color="auto"/>
                    <w:right w:val="single" w:sz="4" w:space="0" w:color="auto"/>
                  </w:tcBorders>
                  <w:shd w:val="clear" w:color="auto" w:fill="auto"/>
                  <w:noWrap/>
                  <w:vAlign w:val="bottom"/>
                  <w:hideMark/>
                </w:tcPr>
                <w:p w14:paraId="1A143ED4"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University of Sydney</w:t>
                  </w:r>
                </w:p>
              </w:tc>
              <w:tc>
                <w:tcPr>
                  <w:tcW w:w="1938" w:type="dxa"/>
                  <w:tcBorders>
                    <w:top w:val="nil"/>
                    <w:left w:val="nil"/>
                    <w:bottom w:val="single" w:sz="4" w:space="0" w:color="auto"/>
                    <w:right w:val="single" w:sz="4" w:space="0" w:color="auto"/>
                  </w:tcBorders>
                  <w:shd w:val="clear" w:color="auto" w:fill="auto"/>
                  <w:noWrap/>
                  <w:vAlign w:val="bottom"/>
                  <w:hideMark/>
                </w:tcPr>
                <w:p w14:paraId="15BAF90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71.0</w:t>
                  </w:r>
                </w:p>
              </w:tc>
              <w:tc>
                <w:tcPr>
                  <w:tcW w:w="2072" w:type="dxa"/>
                  <w:tcBorders>
                    <w:top w:val="nil"/>
                    <w:left w:val="nil"/>
                    <w:bottom w:val="single" w:sz="4" w:space="0" w:color="auto"/>
                    <w:right w:val="single" w:sz="4" w:space="0" w:color="auto"/>
                  </w:tcBorders>
                  <w:shd w:val="clear" w:color="auto" w:fill="auto"/>
                  <w:noWrap/>
                  <w:vAlign w:val="bottom"/>
                  <w:hideMark/>
                </w:tcPr>
                <w:p w14:paraId="40F022E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71.0 (70.3, 71.8)</w:t>
                  </w:r>
                </w:p>
              </w:tc>
            </w:tr>
            <w:tr w:rsidR="00675ADB" w:rsidRPr="00DB5E03" w14:paraId="5C57A05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12BDC54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lastRenderedPageBreak/>
                    <w:t>106</w:t>
                  </w:r>
                </w:p>
              </w:tc>
              <w:tc>
                <w:tcPr>
                  <w:tcW w:w="3835" w:type="dxa"/>
                  <w:tcBorders>
                    <w:top w:val="nil"/>
                    <w:left w:val="nil"/>
                    <w:bottom w:val="single" w:sz="4" w:space="0" w:color="auto"/>
                    <w:right w:val="single" w:sz="4" w:space="0" w:color="auto"/>
                  </w:tcBorders>
                  <w:shd w:val="clear" w:color="auto" w:fill="auto"/>
                  <w:noWrap/>
                  <w:vAlign w:val="bottom"/>
                  <w:hideMark/>
                </w:tcPr>
                <w:p w14:paraId="15455BA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 xml:space="preserve">Southern Cross Education Institute </w:t>
                  </w:r>
                </w:p>
              </w:tc>
              <w:tc>
                <w:tcPr>
                  <w:tcW w:w="1938" w:type="dxa"/>
                  <w:tcBorders>
                    <w:top w:val="nil"/>
                    <w:left w:val="nil"/>
                    <w:bottom w:val="single" w:sz="4" w:space="0" w:color="auto"/>
                    <w:right w:val="single" w:sz="4" w:space="0" w:color="auto"/>
                  </w:tcBorders>
                  <w:shd w:val="clear" w:color="auto" w:fill="auto"/>
                  <w:noWrap/>
                  <w:vAlign w:val="bottom"/>
                  <w:hideMark/>
                </w:tcPr>
                <w:p w14:paraId="20D9037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70.0</w:t>
                  </w:r>
                </w:p>
              </w:tc>
              <w:tc>
                <w:tcPr>
                  <w:tcW w:w="2072" w:type="dxa"/>
                  <w:tcBorders>
                    <w:top w:val="nil"/>
                    <w:left w:val="nil"/>
                    <w:bottom w:val="single" w:sz="4" w:space="0" w:color="auto"/>
                    <w:right w:val="single" w:sz="4" w:space="0" w:color="auto"/>
                  </w:tcBorders>
                  <w:shd w:val="clear" w:color="auto" w:fill="auto"/>
                  <w:noWrap/>
                  <w:vAlign w:val="bottom"/>
                  <w:hideMark/>
                </w:tcPr>
                <w:p w14:paraId="4067774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70.0 (62.8, 76.0)</w:t>
                  </w:r>
                </w:p>
              </w:tc>
            </w:tr>
            <w:tr w:rsidR="00675ADB" w:rsidRPr="00DB5E03" w14:paraId="44D82D4B"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8AF9A6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107</w:t>
                  </w:r>
                </w:p>
              </w:tc>
              <w:tc>
                <w:tcPr>
                  <w:tcW w:w="3835" w:type="dxa"/>
                  <w:tcBorders>
                    <w:top w:val="nil"/>
                    <w:left w:val="nil"/>
                    <w:bottom w:val="single" w:sz="4" w:space="0" w:color="auto"/>
                    <w:right w:val="single" w:sz="4" w:space="0" w:color="auto"/>
                  </w:tcBorders>
                  <w:shd w:val="clear" w:color="auto" w:fill="auto"/>
                  <w:noWrap/>
                  <w:vAlign w:val="bottom"/>
                  <w:hideMark/>
                </w:tcPr>
                <w:p w14:paraId="73C4197E"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UTS College</w:t>
                  </w:r>
                </w:p>
              </w:tc>
              <w:tc>
                <w:tcPr>
                  <w:tcW w:w="1938" w:type="dxa"/>
                  <w:tcBorders>
                    <w:top w:val="nil"/>
                    <w:left w:val="nil"/>
                    <w:bottom w:val="single" w:sz="4" w:space="0" w:color="auto"/>
                    <w:right w:val="single" w:sz="4" w:space="0" w:color="auto"/>
                  </w:tcBorders>
                  <w:shd w:val="clear" w:color="auto" w:fill="auto"/>
                  <w:noWrap/>
                  <w:vAlign w:val="bottom"/>
                  <w:hideMark/>
                </w:tcPr>
                <w:p w14:paraId="4512E51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69.3</w:t>
                  </w:r>
                </w:p>
              </w:tc>
              <w:tc>
                <w:tcPr>
                  <w:tcW w:w="2072" w:type="dxa"/>
                  <w:tcBorders>
                    <w:top w:val="nil"/>
                    <w:left w:val="nil"/>
                    <w:bottom w:val="single" w:sz="4" w:space="0" w:color="auto"/>
                    <w:right w:val="single" w:sz="4" w:space="0" w:color="auto"/>
                  </w:tcBorders>
                  <w:shd w:val="clear" w:color="auto" w:fill="auto"/>
                  <w:noWrap/>
                  <w:vAlign w:val="bottom"/>
                  <w:hideMark/>
                </w:tcPr>
                <w:p w14:paraId="00EAA56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69.3 (65.8, 72.6)</w:t>
                  </w:r>
                </w:p>
              </w:tc>
            </w:tr>
            <w:tr w:rsidR="00675ADB" w:rsidRPr="00DB5E03" w14:paraId="4AAF146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44E7E0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108</w:t>
                  </w:r>
                </w:p>
              </w:tc>
              <w:tc>
                <w:tcPr>
                  <w:tcW w:w="3835" w:type="dxa"/>
                  <w:tcBorders>
                    <w:top w:val="nil"/>
                    <w:left w:val="nil"/>
                    <w:bottom w:val="single" w:sz="4" w:space="0" w:color="auto"/>
                    <w:right w:val="single" w:sz="4" w:space="0" w:color="auto"/>
                  </w:tcBorders>
                  <w:shd w:val="clear" w:color="auto" w:fill="auto"/>
                  <w:noWrap/>
                  <w:vAlign w:val="bottom"/>
                  <w:hideMark/>
                </w:tcPr>
                <w:p w14:paraId="42458113"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Sydney International School of Technology and Commerce</w:t>
                  </w:r>
                </w:p>
              </w:tc>
              <w:tc>
                <w:tcPr>
                  <w:tcW w:w="1938" w:type="dxa"/>
                  <w:tcBorders>
                    <w:top w:val="nil"/>
                    <w:left w:val="nil"/>
                    <w:bottom w:val="single" w:sz="4" w:space="0" w:color="auto"/>
                    <w:right w:val="single" w:sz="4" w:space="0" w:color="auto"/>
                  </w:tcBorders>
                  <w:shd w:val="clear" w:color="auto" w:fill="auto"/>
                  <w:noWrap/>
                  <w:vAlign w:val="bottom"/>
                  <w:hideMark/>
                </w:tcPr>
                <w:p w14:paraId="7F758805"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68.6</w:t>
                  </w:r>
                </w:p>
              </w:tc>
              <w:tc>
                <w:tcPr>
                  <w:tcW w:w="2072" w:type="dxa"/>
                  <w:tcBorders>
                    <w:top w:val="nil"/>
                    <w:left w:val="nil"/>
                    <w:bottom w:val="single" w:sz="4" w:space="0" w:color="auto"/>
                    <w:right w:val="single" w:sz="4" w:space="0" w:color="auto"/>
                  </w:tcBorders>
                  <w:shd w:val="clear" w:color="auto" w:fill="auto"/>
                  <w:noWrap/>
                  <w:vAlign w:val="bottom"/>
                  <w:hideMark/>
                </w:tcPr>
                <w:p w14:paraId="5AF02B0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68.6 (61.2, 74.8)</w:t>
                  </w:r>
                </w:p>
              </w:tc>
            </w:tr>
            <w:tr w:rsidR="00675ADB" w:rsidRPr="00DB5E03" w14:paraId="780849D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9AE154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109</w:t>
                  </w:r>
                </w:p>
              </w:tc>
              <w:tc>
                <w:tcPr>
                  <w:tcW w:w="3835" w:type="dxa"/>
                  <w:tcBorders>
                    <w:top w:val="nil"/>
                    <w:left w:val="nil"/>
                    <w:bottom w:val="single" w:sz="4" w:space="0" w:color="auto"/>
                    <w:right w:val="single" w:sz="4" w:space="0" w:color="auto"/>
                  </w:tcBorders>
                  <w:shd w:val="clear" w:color="auto" w:fill="auto"/>
                  <w:noWrap/>
                  <w:vAlign w:val="bottom"/>
                  <w:hideMark/>
                </w:tcPr>
                <w:p w14:paraId="6673DDB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University of Melbourne</w:t>
                  </w:r>
                </w:p>
              </w:tc>
              <w:tc>
                <w:tcPr>
                  <w:tcW w:w="1938" w:type="dxa"/>
                  <w:tcBorders>
                    <w:top w:val="nil"/>
                    <w:left w:val="nil"/>
                    <w:bottom w:val="single" w:sz="4" w:space="0" w:color="auto"/>
                    <w:right w:val="single" w:sz="4" w:space="0" w:color="auto"/>
                  </w:tcBorders>
                  <w:shd w:val="clear" w:color="auto" w:fill="auto"/>
                  <w:noWrap/>
                  <w:vAlign w:val="bottom"/>
                  <w:hideMark/>
                </w:tcPr>
                <w:p w14:paraId="060CF4B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68.1</w:t>
                  </w:r>
                </w:p>
              </w:tc>
              <w:tc>
                <w:tcPr>
                  <w:tcW w:w="2072" w:type="dxa"/>
                  <w:tcBorders>
                    <w:top w:val="nil"/>
                    <w:left w:val="nil"/>
                    <w:bottom w:val="single" w:sz="4" w:space="0" w:color="auto"/>
                    <w:right w:val="single" w:sz="4" w:space="0" w:color="auto"/>
                  </w:tcBorders>
                  <w:shd w:val="clear" w:color="auto" w:fill="auto"/>
                  <w:noWrap/>
                  <w:vAlign w:val="bottom"/>
                  <w:hideMark/>
                </w:tcPr>
                <w:p w14:paraId="3A15F94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68.1 (66.9, 69.3)</w:t>
                  </w:r>
                </w:p>
              </w:tc>
            </w:tr>
            <w:tr w:rsidR="00675ADB" w:rsidRPr="00DB5E03" w14:paraId="618772DD"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104C5E4"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110</w:t>
                  </w:r>
                </w:p>
              </w:tc>
              <w:tc>
                <w:tcPr>
                  <w:tcW w:w="3835" w:type="dxa"/>
                  <w:tcBorders>
                    <w:top w:val="nil"/>
                    <w:left w:val="nil"/>
                    <w:bottom w:val="single" w:sz="4" w:space="0" w:color="auto"/>
                    <w:right w:val="single" w:sz="4" w:space="0" w:color="auto"/>
                  </w:tcBorders>
                  <w:shd w:val="clear" w:color="auto" w:fill="auto"/>
                  <w:noWrap/>
                  <w:vAlign w:val="bottom"/>
                  <w:hideMark/>
                </w:tcPr>
                <w:p w14:paraId="5F28BC7A"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Wentworth Institute of Higher Education</w:t>
                  </w:r>
                </w:p>
              </w:tc>
              <w:tc>
                <w:tcPr>
                  <w:tcW w:w="1938" w:type="dxa"/>
                  <w:tcBorders>
                    <w:top w:val="nil"/>
                    <w:left w:val="nil"/>
                    <w:bottom w:val="single" w:sz="4" w:space="0" w:color="auto"/>
                    <w:right w:val="single" w:sz="4" w:space="0" w:color="auto"/>
                  </w:tcBorders>
                  <w:shd w:val="clear" w:color="auto" w:fill="auto"/>
                  <w:noWrap/>
                  <w:vAlign w:val="bottom"/>
                  <w:hideMark/>
                </w:tcPr>
                <w:p w14:paraId="38D38FE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67.9</w:t>
                  </w:r>
                </w:p>
              </w:tc>
              <w:tc>
                <w:tcPr>
                  <w:tcW w:w="2072" w:type="dxa"/>
                  <w:tcBorders>
                    <w:top w:val="nil"/>
                    <w:left w:val="nil"/>
                    <w:bottom w:val="single" w:sz="4" w:space="0" w:color="auto"/>
                    <w:right w:val="single" w:sz="4" w:space="0" w:color="auto"/>
                  </w:tcBorders>
                  <w:shd w:val="clear" w:color="auto" w:fill="auto"/>
                  <w:noWrap/>
                  <w:vAlign w:val="bottom"/>
                  <w:hideMark/>
                </w:tcPr>
                <w:p w14:paraId="2743725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67.9 (63.2, 72.0)</w:t>
                  </w:r>
                </w:p>
              </w:tc>
            </w:tr>
            <w:tr w:rsidR="00675ADB" w:rsidRPr="00DB5E03" w14:paraId="5954D52A"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44E65A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111</w:t>
                  </w:r>
                </w:p>
              </w:tc>
              <w:tc>
                <w:tcPr>
                  <w:tcW w:w="3835" w:type="dxa"/>
                  <w:tcBorders>
                    <w:top w:val="nil"/>
                    <w:left w:val="nil"/>
                    <w:bottom w:val="single" w:sz="4" w:space="0" w:color="auto"/>
                    <w:right w:val="single" w:sz="4" w:space="0" w:color="auto"/>
                  </w:tcBorders>
                  <w:shd w:val="clear" w:color="auto" w:fill="auto"/>
                  <w:noWrap/>
                  <w:vAlign w:val="bottom"/>
                  <w:hideMark/>
                </w:tcPr>
                <w:p w14:paraId="6E9E513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TAFE South Australia</w:t>
                  </w:r>
                </w:p>
              </w:tc>
              <w:tc>
                <w:tcPr>
                  <w:tcW w:w="1938" w:type="dxa"/>
                  <w:tcBorders>
                    <w:top w:val="nil"/>
                    <w:left w:val="nil"/>
                    <w:bottom w:val="single" w:sz="4" w:space="0" w:color="auto"/>
                    <w:right w:val="single" w:sz="4" w:space="0" w:color="auto"/>
                  </w:tcBorders>
                  <w:shd w:val="clear" w:color="auto" w:fill="auto"/>
                  <w:noWrap/>
                  <w:vAlign w:val="bottom"/>
                  <w:hideMark/>
                </w:tcPr>
                <w:p w14:paraId="4A9EA8D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67.5</w:t>
                  </w:r>
                </w:p>
              </w:tc>
              <w:tc>
                <w:tcPr>
                  <w:tcW w:w="2072" w:type="dxa"/>
                  <w:tcBorders>
                    <w:top w:val="nil"/>
                    <w:left w:val="nil"/>
                    <w:bottom w:val="single" w:sz="4" w:space="0" w:color="auto"/>
                    <w:right w:val="single" w:sz="4" w:space="0" w:color="auto"/>
                  </w:tcBorders>
                  <w:shd w:val="clear" w:color="auto" w:fill="auto"/>
                  <w:noWrap/>
                  <w:vAlign w:val="bottom"/>
                  <w:hideMark/>
                </w:tcPr>
                <w:p w14:paraId="43C0DFC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67.5 (60.0, 73.9)</w:t>
                  </w:r>
                </w:p>
              </w:tc>
            </w:tr>
            <w:tr w:rsidR="00675ADB" w:rsidRPr="00DB5E03" w14:paraId="7764A896"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2682953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112</w:t>
                  </w:r>
                </w:p>
              </w:tc>
              <w:tc>
                <w:tcPr>
                  <w:tcW w:w="3835" w:type="dxa"/>
                  <w:tcBorders>
                    <w:top w:val="nil"/>
                    <w:left w:val="nil"/>
                    <w:bottom w:val="single" w:sz="4" w:space="0" w:color="auto"/>
                    <w:right w:val="single" w:sz="4" w:space="0" w:color="auto"/>
                  </w:tcBorders>
                  <w:shd w:val="clear" w:color="auto" w:fill="auto"/>
                  <w:noWrap/>
                  <w:vAlign w:val="bottom"/>
                  <w:hideMark/>
                </w:tcPr>
                <w:p w14:paraId="7AA3E4A0"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Melbourne Institute of Technology</w:t>
                  </w:r>
                </w:p>
              </w:tc>
              <w:tc>
                <w:tcPr>
                  <w:tcW w:w="1938" w:type="dxa"/>
                  <w:tcBorders>
                    <w:top w:val="nil"/>
                    <w:left w:val="nil"/>
                    <w:bottom w:val="single" w:sz="4" w:space="0" w:color="auto"/>
                    <w:right w:val="single" w:sz="4" w:space="0" w:color="auto"/>
                  </w:tcBorders>
                  <w:shd w:val="clear" w:color="auto" w:fill="auto"/>
                  <w:noWrap/>
                  <w:vAlign w:val="bottom"/>
                  <w:hideMark/>
                </w:tcPr>
                <w:p w14:paraId="7C86D96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66.8</w:t>
                  </w:r>
                </w:p>
              </w:tc>
              <w:tc>
                <w:tcPr>
                  <w:tcW w:w="2072" w:type="dxa"/>
                  <w:tcBorders>
                    <w:top w:val="nil"/>
                    <w:left w:val="nil"/>
                    <w:bottom w:val="single" w:sz="4" w:space="0" w:color="auto"/>
                    <w:right w:val="single" w:sz="4" w:space="0" w:color="auto"/>
                  </w:tcBorders>
                  <w:shd w:val="clear" w:color="auto" w:fill="auto"/>
                  <w:noWrap/>
                  <w:vAlign w:val="bottom"/>
                  <w:hideMark/>
                </w:tcPr>
                <w:p w14:paraId="5C4FAB1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66.8 (63.9, 69.5)</w:t>
                  </w:r>
                </w:p>
              </w:tc>
            </w:tr>
            <w:tr w:rsidR="00675ADB" w:rsidRPr="00DB5E03" w14:paraId="66150C45"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BA48B0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113</w:t>
                  </w:r>
                </w:p>
              </w:tc>
              <w:tc>
                <w:tcPr>
                  <w:tcW w:w="3835" w:type="dxa"/>
                  <w:tcBorders>
                    <w:top w:val="nil"/>
                    <w:left w:val="nil"/>
                    <w:bottom w:val="single" w:sz="4" w:space="0" w:color="auto"/>
                    <w:right w:val="single" w:sz="4" w:space="0" w:color="auto"/>
                  </w:tcBorders>
                  <w:shd w:val="clear" w:color="auto" w:fill="auto"/>
                  <w:noWrap/>
                  <w:vAlign w:val="bottom"/>
                  <w:hideMark/>
                </w:tcPr>
                <w:p w14:paraId="2275CA22"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Holmesglen Institute</w:t>
                  </w:r>
                </w:p>
              </w:tc>
              <w:tc>
                <w:tcPr>
                  <w:tcW w:w="1938" w:type="dxa"/>
                  <w:tcBorders>
                    <w:top w:val="nil"/>
                    <w:left w:val="nil"/>
                    <w:bottom w:val="single" w:sz="4" w:space="0" w:color="auto"/>
                    <w:right w:val="single" w:sz="4" w:space="0" w:color="auto"/>
                  </w:tcBorders>
                  <w:shd w:val="clear" w:color="auto" w:fill="auto"/>
                  <w:noWrap/>
                  <w:vAlign w:val="bottom"/>
                  <w:hideMark/>
                </w:tcPr>
                <w:p w14:paraId="1BD83E50"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65.7</w:t>
                  </w:r>
                </w:p>
              </w:tc>
              <w:tc>
                <w:tcPr>
                  <w:tcW w:w="2072" w:type="dxa"/>
                  <w:tcBorders>
                    <w:top w:val="nil"/>
                    <w:left w:val="nil"/>
                    <w:bottom w:val="single" w:sz="4" w:space="0" w:color="auto"/>
                    <w:right w:val="single" w:sz="4" w:space="0" w:color="auto"/>
                  </w:tcBorders>
                  <w:shd w:val="clear" w:color="auto" w:fill="auto"/>
                  <w:noWrap/>
                  <w:vAlign w:val="bottom"/>
                  <w:hideMark/>
                </w:tcPr>
                <w:p w14:paraId="51DB533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65.7 (62.0, 69.0)</w:t>
                  </w:r>
                </w:p>
              </w:tc>
            </w:tr>
            <w:tr w:rsidR="00675ADB" w:rsidRPr="00DB5E03" w14:paraId="3848F6E1"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084AD5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114</w:t>
                  </w:r>
                </w:p>
              </w:tc>
              <w:tc>
                <w:tcPr>
                  <w:tcW w:w="3835" w:type="dxa"/>
                  <w:tcBorders>
                    <w:top w:val="nil"/>
                    <w:left w:val="nil"/>
                    <w:bottom w:val="single" w:sz="4" w:space="0" w:color="auto"/>
                    <w:right w:val="single" w:sz="4" w:space="0" w:color="auto"/>
                  </w:tcBorders>
                  <w:shd w:val="clear" w:color="auto" w:fill="auto"/>
                  <w:noWrap/>
                  <w:vAlign w:val="bottom"/>
                  <w:hideMark/>
                </w:tcPr>
                <w:p w14:paraId="0CFB19F5"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AIE Institute</w:t>
                  </w:r>
                </w:p>
              </w:tc>
              <w:tc>
                <w:tcPr>
                  <w:tcW w:w="1938" w:type="dxa"/>
                  <w:tcBorders>
                    <w:top w:val="nil"/>
                    <w:left w:val="nil"/>
                    <w:bottom w:val="single" w:sz="4" w:space="0" w:color="auto"/>
                    <w:right w:val="single" w:sz="4" w:space="0" w:color="auto"/>
                  </w:tcBorders>
                  <w:shd w:val="clear" w:color="auto" w:fill="auto"/>
                  <w:noWrap/>
                  <w:vAlign w:val="bottom"/>
                  <w:hideMark/>
                </w:tcPr>
                <w:p w14:paraId="181F91B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65.5</w:t>
                  </w:r>
                </w:p>
              </w:tc>
              <w:tc>
                <w:tcPr>
                  <w:tcW w:w="2072" w:type="dxa"/>
                  <w:tcBorders>
                    <w:top w:val="nil"/>
                    <w:left w:val="nil"/>
                    <w:bottom w:val="single" w:sz="4" w:space="0" w:color="auto"/>
                    <w:right w:val="single" w:sz="4" w:space="0" w:color="auto"/>
                  </w:tcBorders>
                  <w:shd w:val="clear" w:color="auto" w:fill="auto"/>
                  <w:noWrap/>
                  <w:vAlign w:val="bottom"/>
                  <w:hideMark/>
                </w:tcPr>
                <w:p w14:paraId="0E24E3E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65.5 (52.9, 75.5)</w:t>
                  </w:r>
                </w:p>
              </w:tc>
            </w:tr>
            <w:tr w:rsidR="00675ADB" w:rsidRPr="00DB5E03" w14:paraId="3D409BC2"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233F24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115</w:t>
                  </w:r>
                </w:p>
              </w:tc>
              <w:tc>
                <w:tcPr>
                  <w:tcW w:w="3835" w:type="dxa"/>
                  <w:tcBorders>
                    <w:top w:val="nil"/>
                    <w:left w:val="nil"/>
                    <w:bottom w:val="single" w:sz="4" w:space="0" w:color="auto"/>
                    <w:right w:val="single" w:sz="4" w:space="0" w:color="auto"/>
                  </w:tcBorders>
                  <w:shd w:val="clear" w:color="auto" w:fill="auto"/>
                  <w:noWrap/>
                  <w:vAlign w:val="bottom"/>
                  <w:hideMark/>
                </w:tcPr>
                <w:p w14:paraId="7DE24DC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The Australian Institute of Music</w:t>
                  </w:r>
                </w:p>
              </w:tc>
              <w:tc>
                <w:tcPr>
                  <w:tcW w:w="1938" w:type="dxa"/>
                  <w:tcBorders>
                    <w:top w:val="nil"/>
                    <w:left w:val="nil"/>
                    <w:bottom w:val="single" w:sz="4" w:space="0" w:color="auto"/>
                    <w:right w:val="single" w:sz="4" w:space="0" w:color="auto"/>
                  </w:tcBorders>
                  <w:shd w:val="clear" w:color="auto" w:fill="auto"/>
                  <w:noWrap/>
                  <w:vAlign w:val="bottom"/>
                  <w:hideMark/>
                </w:tcPr>
                <w:p w14:paraId="6DCED02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64.7</w:t>
                  </w:r>
                </w:p>
              </w:tc>
              <w:tc>
                <w:tcPr>
                  <w:tcW w:w="2072" w:type="dxa"/>
                  <w:tcBorders>
                    <w:top w:val="nil"/>
                    <w:left w:val="nil"/>
                    <w:bottom w:val="single" w:sz="4" w:space="0" w:color="auto"/>
                    <w:right w:val="single" w:sz="4" w:space="0" w:color="auto"/>
                  </w:tcBorders>
                  <w:shd w:val="clear" w:color="auto" w:fill="auto"/>
                  <w:noWrap/>
                  <w:vAlign w:val="bottom"/>
                  <w:hideMark/>
                </w:tcPr>
                <w:p w14:paraId="3213D0D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64.7 (60.6, 68.4)</w:t>
                  </w:r>
                </w:p>
              </w:tc>
            </w:tr>
            <w:tr w:rsidR="00675ADB" w:rsidRPr="00DB5E03" w14:paraId="22C05E03"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72A42369"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116</w:t>
                  </w:r>
                </w:p>
              </w:tc>
              <w:tc>
                <w:tcPr>
                  <w:tcW w:w="3835" w:type="dxa"/>
                  <w:tcBorders>
                    <w:top w:val="nil"/>
                    <w:left w:val="nil"/>
                    <w:bottom w:val="single" w:sz="4" w:space="0" w:color="auto"/>
                    <w:right w:val="single" w:sz="4" w:space="0" w:color="auto"/>
                  </w:tcBorders>
                  <w:shd w:val="clear" w:color="auto" w:fill="auto"/>
                  <w:noWrap/>
                  <w:vAlign w:val="bottom"/>
                  <w:hideMark/>
                </w:tcPr>
                <w:p w14:paraId="1DEF6D5B"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Kent Institute Australia</w:t>
                  </w:r>
                </w:p>
              </w:tc>
              <w:tc>
                <w:tcPr>
                  <w:tcW w:w="1938" w:type="dxa"/>
                  <w:tcBorders>
                    <w:top w:val="nil"/>
                    <w:left w:val="nil"/>
                    <w:bottom w:val="single" w:sz="4" w:space="0" w:color="auto"/>
                    <w:right w:val="single" w:sz="4" w:space="0" w:color="auto"/>
                  </w:tcBorders>
                  <w:shd w:val="clear" w:color="auto" w:fill="auto"/>
                  <w:noWrap/>
                  <w:vAlign w:val="bottom"/>
                  <w:hideMark/>
                </w:tcPr>
                <w:p w14:paraId="0542F96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62.2</w:t>
                  </w:r>
                </w:p>
              </w:tc>
              <w:tc>
                <w:tcPr>
                  <w:tcW w:w="2072" w:type="dxa"/>
                  <w:tcBorders>
                    <w:top w:val="nil"/>
                    <w:left w:val="nil"/>
                    <w:bottom w:val="single" w:sz="4" w:space="0" w:color="auto"/>
                    <w:right w:val="single" w:sz="4" w:space="0" w:color="auto"/>
                  </w:tcBorders>
                  <w:shd w:val="clear" w:color="auto" w:fill="auto"/>
                  <w:noWrap/>
                  <w:vAlign w:val="bottom"/>
                  <w:hideMark/>
                </w:tcPr>
                <w:p w14:paraId="75679B5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62.2 (58.7, 65.5)</w:t>
                  </w:r>
                </w:p>
              </w:tc>
            </w:tr>
            <w:tr w:rsidR="00675ADB" w:rsidRPr="00DB5E03" w14:paraId="608F1BDC"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48E34C1E"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117</w:t>
                  </w:r>
                </w:p>
              </w:tc>
              <w:tc>
                <w:tcPr>
                  <w:tcW w:w="3835" w:type="dxa"/>
                  <w:tcBorders>
                    <w:top w:val="nil"/>
                    <w:left w:val="nil"/>
                    <w:bottom w:val="single" w:sz="4" w:space="0" w:color="auto"/>
                    <w:right w:val="single" w:sz="4" w:space="0" w:color="auto"/>
                  </w:tcBorders>
                  <w:shd w:val="clear" w:color="auto" w:fill="auto"/>
                  <w:noWrap/>
                  <w:vAlign w:val="bottom"/>
                  <w:hideMark/>
                </w:tcPr>
                <w:p w14:paraId="52EBE91F"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Crown Institute of Higher Education</w:t>
                  </w:r>
                </w:p>
              </w:tc>
              <w:tc>
                <w:tcPr>
                  <w:tcW w:w="1938" w:type="dxa"/>
                  <w:tcBorders>
                    <w:top w:val="nil"/>
                    <w:left w:val="nil"/>
                    <w:bottom w:val="single" w:sz="4" w:space="0" w:color="auto"/>
                    <w:right w:val="single" w:sz="4" w:space="0" w:color="auto"/>
                  </w:tcBorders>
                  <w:shd w:val="clear" w:color="auto" w:fill="auto"/>
                  <w:noWrap/>
                  <w:vAlign w:val="bottom"/>
                  <w:hideMark/>
                </w:tcPr>
                <w:p w14:paraId="3F5B3C61"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59.7</w:t>
                  </w:r>
                </w:p>
              </w:tc>
              <w:tc>
                <w:tcPr>
                  <w:tcW w:w="2072" w:type="dxa"/>
                  <w:tcBorders>
                    <w:top w:val="nil"/>
                    <w:left w:val="nil"/>
                    <w:bottom w:val="single" w:sz="4" w:space="0" w:color="auto"/>
                    <w:right w:val="single" w:sz="4" w:space="0" w:color="auto"/>
                  </w:tcBorders>
                  <w:shd w:val="clear" w:color="auto" w:fill="auto"/>
                  <w:noWrap/>
                  <w:vAlign w:val="bottom"/>
                  <w:hideMark/>
                </w:tcPr>
                <w:p w14:paraId="2A282138"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59.7 (56.3, 63.0)</w:t>
                  </w:r>
                </w:p>
              </w:tc>
            </w:tr>
            <w:tr w:rsidR="00675ADB" w:rsidRPr="00DB5E03" w14:paraId="51AB6E84"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D2CC1CD"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118</w:t>
                  </w:r>
                </w:p>
              </w:tc>
              <w:tc>
                <w:tcPr>
                  <w:tcW w:w="3835" w:type="dxa"/>
                  <w:tcBorders>
                    <w:top w:val="nil"/>
                    <w:left w:val="nil"/>
                    <w:bottom w:val="single" w:sz="4" w:space="0" w:color="auto"/>
                    <w:right w:val="single" w:sz="4" w:space="0" w:color="auto"/>
                  </w:tcBorders>
                  <w:shd w:val="clear" w:color="auto" w:fill="auto"/>
                  <w:noWrap/>
                  <w:vAlign w:val="bottom"/>
                  <w:hideMark/>
                </w:tcPr>
                <w:p w14:paraId="6913D17A"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SP Jain School of Management</w:t>
                  </w:r>
                </w:p>
              </w:tc>
              <w:tc>
                <w:tcPr>
                  <w:tcW w:w="1938" w:type="dxa"/>
                  <w:tcBorders>
                    <w:top w:val="nil"/>
                    <w:left w:val="nil"/>
                    <w:bottom w:val="single" w:sz="4" w:space="0" w:color="auto"/>
                    <w:right w:val="single" w:sz="4" w:space="0" w:color="auto"/>
                  </w:tcBorders>
                  <w:shd w:val="clear" w:color="auto" w:fill="auto"/>
                  <w:noWrap/>
                  <w:vAlign w:val="bottom"/>
                  <w:hideMark/>
                </w:tcPr>
                <w:p w14:paraId="385826D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55.3</w:t>
                  </w:r>
                </w:p>
              </w:tc>
              <w:tc>
                <w:tcPr>
                  <w:tcW w:w="2072" w:type="dxa"/>
                  <w:tcBorders>
                    <w:top w:val="nil"/>
                    <w:left w:val="nil"/>
                    <w:bottom w:val="single" w:sz="4" w:space="0" w:color="auto"/>
                    <w:right w:val="single" w:sz="4" w:space="0" w:color="auto"/>
                  </w:tcBorders>
                  <w:shd w:val="clear" w:color="auto" w:fill="auto"/>
                  <w:noWrap/>
                  <w:vAlign w:val="bottom"/>
                  <w:hideMark/>
                </w:tcPr>
                <w:p w14:paraId="28D6C0B3"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55.3 (52.0, 58.4)</w:t>
                  </w:r>
                </w:p>
              </w:tc>
            </w:tr>
            <w:tr w:rsidR="00675ADB" w:rsidRPr="00DB5E03" w14:paraId="72B08678"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8BB8F7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119</w:t>
                  </w:r>
                </w:p>
              </w:tc>
              <w:tc>
                <w:tcPr>
                  <w:tcW w:w="3835" w:type="dxa"/>
                  <w:tcBorders>
                    <w:top w:val="nil"/>
                    <w:left w:val="nil"/>
                    <w:bottom w:val="single" w:sz="4" w:space="0" w:color="auto"/>
                    <w:right w:val="single" w:sz="4" w:space="0" w:color="auto"/>
                  </w:tcBorders>
                  <w:shd w:val="clear" w:color="auto" w:fill="auto"/>
                  <w:noWrap/>
                  <w:vAlign w:val="bottom"/>
                  <w:hideMark/>
                </w:tcPr>
                <w:p w14:paraId="0E7C06C7"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ISN Psychology</w:t>
                  </w:r>
                </w:p>
              </w:tc>
              <w:tc>
                <w:tcPr>
                  <w:tcW w:w="1938" w:type="dxa"/>
                  <w:tcBorders>
                    <w:top w:val="nil"/>
                    <w:left w:val="nil"/>
                    <w:bottom w:val="single" w:sz="4" w:space="0" w:color="auto"/>
                    <w:right w:val="single" w:sz="4" w:space="0" w:color="auto"/>
                  </w:tcBorders>
                  <w:shd w:val="clear" w:color="auto" w:fill="auto"/>
                  <w:noWrap/>
                  <w:vAlign w:val="bottom"/>
                  <w:hideMark/>
                </w:tcPr>
                <w:p w14:paraId="471CB066"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51.7</w:t>
                  </w:r>
                </w:p>
              </w:tc>
              <w:tc>
                <w:tcPr>
                  <w:tcW w:w="2072" w:type="dxa"/>
                  <w:tcBorders>
                    <w:top w:val="nil"/>
                    <w:left w:val="nil"/>
                    <w:bottom w:val="single" w:sz="4" w:space="0" w:color="auto"/>
                    <w:right w:val="single" w:sz="4" w:space="0" w:color="auto"/>
                  </w:tcBorders>
                  <w:shd w:val="clear" w:color="auto" w:fill="auto"/>
                  <w:noWrap/>
                  <w:vAlign w:val="bottom"/>
                  <w:hideMark/>
                </w:tcPr>
                <w:p w14:paraId="32A8040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51.7 (40.3, 62.9)</w:t>
                  </w:r>
                </w:p>
              </w:tc>
            </w:tr>
            <w:tr w:rsidR="00675ADB" w:rsidRPr="00DB5E03" w14:paraId="3A160C1F" w14:textId="77777777" w:rsidTr="00095A97">
              <w:trPr>
                <w:trHeight w:val="300"/>
              </w:trPr>
              <w:tc>
                <w:tcPr>
                  <w:tcW w:w="856" w:type="dxa"/>
                  <w:tcBorders>
                    <w:top w:val="nil"/>
                    <w:left w:val="single" w:sz="4" w:space="0" w:color="auto"/>
                    <w:bottom w:val="nil"/>
                    <w:right w:val="single" w:sz="4" w:space="0" w:color="auto"/>
                  </w:tcBorders>
                  <w:shd w:val="clear" w:color="auto" w:fill="auto"/>
                  <w:noWrap/>
                  <w:vAlign w:val="bottom"/>
                  <w:hideMark/>
                </w:tcPr>
                <w:p w14:paraId="79238D52"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 </w:t>
                  </w:r>
                </w:p>
              </w:tc>
              <w:tc>
                <w:tcPr>
                  <w:tcW w:w="3835" w:type="dxa"/>
                  <w:tcBorders>
                    <w:top w:val="nil"/>
                    <w:left w:val="nil"/>
                    <w:bottom w:val="nil"/>
                    <w:right w:val="single" w:sz="4" w:space="0" w:color="auto"/>
                  </w:tcBorders>
                  <w:shd w:val="clear" w:color="auto" w:fill="auto"/>
                  <w:noWrap/>
                  <w:vAlign w:val="bottom"/>
                  <w:hideMark/>
                </w:tcPr>
                <w:p w14:paraId="63F17A00"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All NUHEIs</w:t>
                  </w:r>
                </w:p>
              </w:tc>
              <w:tc>
                <w:tcPr>
                  <w:tcW w:w="1938" w:type="dxa"/>
                  <w:tcBorders>
                    <w:top w:val="nil"/>
                    <w:left w:val="nil"/>
                    <w:bottom w:val="nil"/>
                    <w:right w:val="single" w:sz="4" w:space="0" w:color="auto"/>
                  </w:tcBorders>
                  <w:shd w:val="clear" w:color="auto" w:fill="auto"/>
                  <w:noWrap/>
                  <w:vAlign w:val="bottom"/>
                  <w:hideMark/>
                </w:tcPr>
                <w:p w14:paraId="41E22B8A"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77.6</w:t>
                  </w:r>
                </w:p>
              </w:tc>
              <w:tc>
                <w:tcPr>
                  <w:tcW w:w="2072" w:type="dxa"/>
                  <w:tcBorders>
                    <w:top w:val="nil"/>
                    <w:left w:val="nil"/>
                    <w:bottom w:val="nil"/>
                    <w:right w:val="single" w:sz="4" w:space="0" w:color="auto"/>
                  </w:tcBorders>
                  <w:shd w:val="clear" w:color="auto" w:fill="auto"/>
                  <w:noWrap/>
                  <w:vAlign w:val="bottom"/>
                  <w:hideMark/>
                </w:tcPr>
                <w:p w14:paraId="1CAD294C"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77.6 (77.2, 78.0)</w:t>
                  </w:r>
                </w:p>
              </w:tc>
            </w:tr>
            <w:tr w:rsidR="00675ADB" w:rsidRPr="00DB5E03" w14:paraId="298CD53E" w14:textId="77777777" w:rsidTr="00095A97">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tcPr>
                <w:p w14:paraId="7ADBCDFC" w14:textId="77777777" w:rsidR="00675ADB" w:rsidRPr="00DB5E03" w:rsidRDefault="00675ADB" w:rsidP="00095A97">
                  <w:pPr>
                    <w:ind w:right="0"/>
                    <w:jc w:val="center"/>
                    <w:rPr>
                      <w:rFonts w:ascii="Aptos" w:eastAsia="Times New Roman" w:hAnsi="Aptos" w:cs="Calibri"/>
                      <w:color w:val="000000"/>
                      <w:szCs w:val="24"/>
                      <w:lang w:eastAsia="en-AU"/>
                    </w:rPr>
                  </w:pPr>
                </w:p>
              </w:tc>
              <w:tc>
                <w:tcPr>
                  <w:tcW w:w="3835" w:type="dxa"/>
                  <w:tcBorders>
                    <w:top w:val="nil"/>
                    <w:left w:val="nil"/>
                    <w:bottom w:val="single" w:sz="4" w:space="0" w:color="auto"/>
                    <w:right w:val="single" w:sz="4" w:space="0" w:color="auto"/>
                  </w:tcBorders>
                  <w:shd w:val="clear" w:color="auto" w:fill="auto"/>
                  <w:noWrap/>
                  <w:vAlign w:val="bottom"/>
                </w:tcPr>
                <w:p w14:paraId="5D7A3CBF" w14:textId="77777777" w:rsidR="00675ADB" w:rsidRPr="00DB5E03" w:rsidRDefault="00675ADB" w:rsidP="00095A97">
                  <w:pPr>
                    <w:ind w:right="0"/>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 xml:space="preserve">All universities </w:t>
                  </w:r>
                </w:p>
              </w:tc>
              <w:tc>
                <w:tcPr>
                  <w:tcW w:w="1938" w:type="dxa"/>
                  <w:tcBorders>
                    <w:top w:val="nil"/>
                    <w:left w:val="nil"/>
                    <w:bottom w:val="single" w:sz="4" w:space="0" w:color="auto"/>
                    <w:right w:val="single" w:sz="4" w:space="0" w:color="auto"/>
                  </w:tcBorders>
                  <w:shd w:val="clear" w:color="auto" w:fill="auto"/>
                  <w:noWrap/>
                  <w:vAlign w:val="bottom"/>
                </w:tcPr>
                <w:p w14:paraId="3579637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76.4</w:t>
                  </w:r>
                </w:p>
              </w:tc>
              <w:tc>
                <w:tcPr>
                  <w:tcW w:w="2072" w:type="dxa"/>
                  <w:tcBorders>
                    <w:top w:val="nil"/>
                    <w:left w:val="nil"/>
                    <w:bottom w:val="single" w:sz="4" w:space="0" w:color="auto"/>
                    <w:right w:val="single" w:sz="4" w:space="0" w:color="auto"/>
                  </w:tcBorders>
                  <w:shd w:val="clear" w:color="auto" w:fill="auto"/>
                  <w:noWrap/>
                  <w:vAlign w:val="bottom"/>
                </w:tcPr>
                <w:p w14:paraId="0CEADF7F" w14:textId="77777777" w:rsidR="00675ADB" w:rsidRPr="00DB5E03" w:rsidRDefault="00675ADB" w:rsidP="00095A97">
                  <w:pPr>
                    <w:ind w:right="0"/>
                    <w:jc w:val="center"/>
                    <w:rPr>
                      <w:rFonts w:ascii="Aptos" w:eastAsia="Times New Roman" w:hAnsi="Aptos" w:cs="Calibri"/>
                      <w:color w:val="000000"/>
                      <w:szCs w:val="24"/>
                      <w:lang w:eastAsia="en-AU"/>
                    </w:rPr>
                  </w:pPr>
                  <w:r w:rsidRPr="00DB5E03">
                    <w:rPr>
                      <w:rFonts w:ascii="Aptos" w:eastAsia="Times New Roman" w:hAnsi="Aptos" w:cs="Calibri"/>
                      <w:color w:val="000000"/>
                      <w:szCs w:val="24"/>
                      <w:lang w:eastAsia="en-AU"/>
                    </w:rPr>
                    <w:t>76.4 (76.3,76.6)</w:t>
                  </w:r>
                </w:p>
              </w:tc>
            </w:tr>
          </w:tbl>
          <w:p w14:paraId="1ADD77A7" w14:textId="77777777" w:rsidR="00675ADB" w:rsidRPr="00DB5E03" w:rsidRDefault="00675ADB" w:rsidP="00095A97">
            <w:pPr>
              <w:rPr>
                <w:rFonts w:ascii="Aptos" w:hAnsi="Aptos"/>
                <w:szCs w:val="24"/>
              </w:rPr>
            </w:pPr>
          </w:p>
        </w:tc>
      </w:tr>
    </w:tbl>
    <w:p w14:paraId="764539E6" w14:textId="77777777" w:rsidR="00675ADB" w:rsidRPr="007B3620" w:rsidRDefault="00675ADB" w:rsidP="00675ADB">
      <w:pPr>
        <w:rPr>
          <w:rFonts w:ascii="Aptos" w:hAnsi="Aptos"/>
          <w:sz w:val="22"/>
        </w:rPr>
      </w:pPr>
      <w:r w:rsidRPr="007B3620">
        <w:rPr>
          <w:rFonts w:ascii="Aptos" w:hAnsi="Aptos"/>
          <w:sz w:val="22"/>
        </w:rPr>
        <w:lastRenderedPageBreak/>
        <w:t>Source: Social Research Centre, Student Experience Survey 2024</w:t>
      </w:r>
    </w:p>
    <w:p w14:paraId="58CB294F" w14:textId="77777777" w:rsidR="00675ADB" w:rsidRPr="00DB5E03" w:rsidRDefault="00675ADB" w:rsidP="00675ADB">
      <w:pPr>
        <w:rPr>
          <w:rFonts w:ascii="Aptos" w:hAnsi="Aptos"/>
          <w:szCs w:val="24"/>
        </w:rPr>
      </w:pPr>
      <w:r w:rsidRPr="00DB5E03">
        <w:rPr>
          <w:rFonts w:ascii="Aptos" w:hAnsi="Aptos"/>
          <w:szCs w:val="24"/>
        </w:rPr>
        <w:br w:type="page"/>
      </w:r>
    </w:p>
    <w:p w14:paraId="6ED4C8E1" w14:textId="64EC8433" w:rsidR="00AD4757" w:rsidRPr="009268A3" w:rsidRDefault="00AD4757" w:rsidP="00073F08">
      <w:pPr>
        <w:pStyle w:val="Heading1"/>
        <w:rPr>
          <w:rFonts w:ascii="Aptos" w:hAnsi="Aptos"/>
          <w:sz w:val="32"/>
          <w:szCs w:val="32"/>
        </w:rPr>
      </w:pPr>
      <w:bookmarkStart w:id="46" w:name="_Toc213838234"/>
      <w:r w:rsidRPr="009268A3">
        <w:rPr>
          <w:rFonts w:ascii="Aptos" w:hAnsi="Aptos"/>
          <w:sz w:val="32"/>
          <w:szCs w:val="32"/>
        </w:rPr>
        <w:lastRenderedPageBreak/>
        <w:t>References</w:t>
      </w:r>
      <w:bookmarkEnd w:id="46"/>
    </w:p>
    <w:sdt>
      <w:sdtPr>
        <w:rPr>
          <w:rFonts w:ascii="Aptos" w:hAnsi="Aptos"/>
          <w:color w:val="000000"/>
          <w:sz w:val="28"/>
          <w:szCs w:val="24"/>
        </w:rPr>
        <w:tag w:val="MENDELEY_BIBLIOGRAPHY"/>
        <w:id w:val="-1109349313"/>
        <w:placeholder>
          <w:docPart w:val="DefaultPlaceholder_-1854013440"/>
        </w:placeholder>
      </w:sdtPr>
      <w:sdtEndPr/>
      <w:sdtContent>
        <w:p w14:paraId="5119DD43" w14:textId="77777777" w:rsidR="009268A3" w:rsidRDefault="009268A3">
          <w:pPr>
            <w:autoSpaceDE w:val="0"/>
            <w:autoSpaceDN w:val="0"/>
            <w:ind w:hanging="480"/>
            <w:divId w:val="1909536809"/>
            <w:rPr>
              <w:rFonts w:eastAsia="Times New Roman"/>
              <w:szCs w:val="24"/>
            </w:rPr>
          </w:pPr>
          <w:r>
            <w:rPr>
              <w:rFonts w:eastAsia="Times New Roman"/>
            </w:rPr>
            <w:t xml:space="preserve">DHA. (2025). </w:t>
          </w:r>
          <w:r>
            <w:rPr>
              <w:rFonts w:eastAsia="Times New Roman"/>
              <w:i/>
              <w:iCs/>
            </w:rPr>
            <w:t>Temporary resident (skilled) visas granted</w:t>
          </w:r>
          <w:r>
            <w:rPr>
              <w:rFonts w:eastAsia="Times New Roman"/>
            </w:rPr>
            <w:t>. Department of Home Affairs.</w:t>
          </w:r>
        </w:p>
        <w:p w14:paraId="684A31BF" w14:textId="77777777" w:rsidR="009268A3" w:rsidRDefault="009268A3">
          <w:pPr>
            <w:autoSpaceDE w:val="0"/>
            <w:autoSpaceDN w:val="0"/>
            <w:ind w:hanging="480"/>
            <w:divId w:val="673142610"/>
            <w:rPr>
              <w:rFonts w:eastAsia="Times New Roman"/>
            </w:rPr>
          </w:pPr>
          <w:r>
            <w:rPr>
              <w:rFonts w:eastAsia="Times New Roman"/>
            </w:rPr>
            <w:t xml:space="preserve">JSA. (2025). </w:t>
          </w:r>
          <w:r>
            <w:rPr>
              <w:rFonts w:eastAsia="Times New Roman"/>
              <w:i/>
              <w:iCs/>
            </w:rPr>
            <w:t xml:space="preserve">International </w:t>
          </w:r>
          <w:proofErr w:type="gramStart"/>
          <w:r>
            <w:rPr>
              <w:rFonts w:eastAsia="Times New Roman"/>
              <w:i/>
              <w:iCs/>
            </w:rPr>
            <w:t>students</w:t>
          </w:r>
          <w:proofErr w:type="gramEnd"/>
          <w:r>
            <w:rPr>
              <w:rFonts w:eastAsia="Times New Roman"/>
              <w:i/>
              <w:iCs/>
            </w:rPr>
            <w:t xml:space="preserve"> pathways and outcomes study</w:t>
          </w:r>
          <w:r>
            <w:rPr>
              <w:rFonts w:eastAsia="Times New Roman"/>
            </w:rPr>
            <w:t>. Jobs and Skills Australia.</w:t>
          </w:r>
        </w:p>
        <w:p w14:paraId="0163677F" w14:textId="77777777" w:rsidR="009268A3" w:rsidRDefault="009268A3">
          <w:pPr>
            <w:autoSpaceDE w:val="0"/>
            <w:autoSpaceDN w:val="0"/>
            <w:ind w:hanging="480"/>
            <w:divId w:val="55933618"/>
            <w:rPr>
              <w:rFonts w:eastAsia="Times New Roman"/>
            </w:rPr>
          </w:pPr>
          <w:r>
            <w:rPr>
              <w:rFonts w:eastAsia="Times New Roman"/>
            </w:rPr>
            <w:t xml:space="preserve">MDANZ. (2025, November 10). </w:t>
          </w:r>
          <w:r>
            <w:rPr>
              <w:rFonts w:eastAsia="Times New Roman"/>
              <w:i/>
              <w:iCs/>
            </w:rPr>
            <w:t xml:space="preserve">Growing the Indigenous medical </w:t>
          </w:r>
          <w:proofErr w:type="gramStart"/>
          <w:r>
            <w:rPr>
              <w:rFonts w:eastAsia="Times New Roman"/>
              <w:i/>
              <w:iCs/>
            </w:rPr>
            <w:t xml:space="preserve">workforce </w:t>
          </w:r>
          <w:r>
            <w:rPr>
              <w:rFonts w:eastAsia="Times New Roman"/>
            </w:rPr>
            <w:t>.</w:t>
          </w:r>
          <w:proofErr w:type="gramEnd"/>
          <w:r>
            <w:rPr>
              <w:rFonts w:eastAsia="Times New Roman"/>
            </w:rPr>
            <w:t xml:space="preserve"> Medical Deans Australia and New Zealand.</w:t>
          </w:r>
        </w:p>
        <w:p w14:paraId="73630CF9" w14:textId="5D863752" w:rsidR="00861B03" w:rsidRPr="00DB5E03" w:rsidRDefault="009268A3" w:rsidP="00944D95">
          <w:pPr>
            <w:pStyle w:val="Heading1"/>
            <w:rPr>
              <w:rFonts w:ascii="Aptos" w:hAnsi="Aptos"/>
              <w:color w:val="4F81BD" w:themeColor="accent1"/>
              <w:sz w:val="24"/>
              <w:szCs w:val="24"/>
            </w:rPr>
          </w:pPr>
          <w:r>
            <w:rPr>
              <w:rFonts w:eastAsia="Times New Roman"/>
            </w:rPr>
            <w:t> </w:t>
          </w:r>
        </w:p>
      </w:sdtContent>
    </w:sdt>
    <w:sectPr w:rsidR="00861B03" w:rsidRPr="00DB5E03" w:rsidSect="000D6031">
      <w:headerReference w:type="default" r:id="rId17"/>
      <w:footerReference w:type="default" r:id="rId18"/>
      <w:pgSz w:w="11906" w:h="16838" w:code="9"/>
      <w:pgMar w:top="1440" w:right="1440" w:bottom="1440" w:left="1440" w:header="0" w:footer="101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40CF6" w14:textId="77777777" w:rsidR="00B358FF" w:rsidRDefault="00B358FF">
      <w:r>
        <w:separator/>
      </w:r>
    </w:p>
  </w:endnote>
  <w:endnote w:type="continuationSeparator" w:id="0">
    <w:p w14:paraId="5DD26876" w14:textId="77777777" w:rsidR="00B358FF" w:rsidRDefault="00B35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EC8BD" w14:textId="6B77F398" w:rsidR="009B5476" w:rsidRDefault="009B5476">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r>
      <w:rPr>
        <w:caps/>
        <w:noProof/>
        <w:color w:val="4F81BD" w:themeColor="accent1"/>
      </w:rPr>
      <w:t xml:space="preserve"> </w:t>
    </w:r>
  </w:p>
  <w:p w14:paraId="04170E73" w14:textId="49555947" w:rsidR="009B5476" w:rsidRDefault="009B5476">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91234E" w14:textId="77777777" w:rsidR="00B358FF" w:rsidRDefault="00B358FF">
      <w:r>
        <w:separator/>
      </w:r>
    </w:p>
  </w:footnote>
  <w:footnote w:type="continuationSeparator" w:id="0">
    <w:p w14:paraId="1C75885E" w14:textId="77777777" w:rsidR="00B358FF" w:rsidRDefault="00B358FF">
      <w:r>
        <w:continuationSeparator/>
      </w:r>
    </w:p>
  </w:footnote>
  <w:footnote w:id="1">
    <w:p w14:paraId="785E79A2" w14:textId="36226ACB" w:rsidR="005D0211" w:rsidRDefault="005D0211">
      <w:pPr>
        <w:pStyle w:val="FootnoteText"/>
      </w:pPr>
      <w:r>
        <w:rPr>
          <w:rStyle w:val="FootnoteReference"/>
        </w:rPr>
        <w:footnoteRef/>
      </w:r>
      <w:r>
        <w:t xml:space="preserve"> From a TEQSA count of total EFTSL for 2017 there were 4,902 EFSTL outside the FEE-HELP sector. I believe that many of these were likely to be Chartered Accountants students. See the table </w:t>
      </w:r>
      <w:r w:rsidR="00B82B9B">
        <w:t>3</w:t>
      </w:r>
      <w:r>
        <w:t xml:space="preserve"> for their 2024 enrolments after they had been approved for FEE-HELP. </w:t>
      </w:r>
    </w:p>
  </w:footnote>
  <w:footnote w:id="2">
    <w:p w14:paraId="01C07615" w14:textId="7F31671D" w:rsidR="00A75D56" w:rsidRPr="00A75D56" w:rsidRDefault="00A75D56">
      <w:pPr>
        <w:pStyle w:val="FootnoteText"/>
      </w:pPr>
      <w:r>
        <w:rPr>
          <w:rStyle w:val="FootnoteReference"/>
        </w:rPr>
        <w:footnoteRef/>
      </w:r>
      <w:r>
        <w:t xml:space="preserve"> The provision of education at offshore campuses faces additional regulation under part 9 of the </w:t>
      </w:r>
      <w:r>
        <w:rPr>
          <w:i/>
          <w:iCs/>
        </w:rPr>
        <w:t>Education Legislation Amendment (Integrity and Other Measures) Bill 2005</w:t>
      </w:r>
      <w:r>
        <w:t xml:space="preserve">. </w:t>
      </w:r>
      <w:r w:rsidR="00BE1A55">
        <w:t>While this is outside the 2-year provision to domestic students</w:t>
      </w:r>
      <w:r w:rsidR="003F38BD">
        <w:t>, the</w:t>
      </w:r>
      <w:r w:rsidR="00BE1A55">
        <w:t xml:space="preserve"> rule that TEQSA has 9 months to make a decision to authorise an offshore course would be a further threat to provider viability.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0292B" w14:textId="2173B2C5" w:rsidR="006A5A9E" w:rsidRDefault="006A5A9E">
    <w:pPr>
      <w:pStyle w:val="Header"/>
    </w:pPr>
    <w:r>
      <w:t>Draft submission 12/11/2025</w:t>
    </w:r>
  </w:p>
  <w:p w14:paraId="6D765132" w14:textId="7204077D" w:rsidR="009B5476" w:rsidRDefault="009B54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012EA"/>
    <w:multiLevelType w:val="hybridMultilevel"/>
    <w:tmpl w:val="85AEE904"/>
    <w:lvl w:ilvl="0" w:tplc="A5ECC88E">
      <w:numFmt w:val="bullet"/>
      <w:lvlText w:val=""/>
      <w:lvlJc w:val="left"/>
      <w:pPr>
        <w:ind w:left="1080" w:hanging="360"/>
      </w:pPr>
      <w:rPr>
        <w:rFonts w:ascii="Symbol" w:eastAsiaTheme="minorHAnsi" w:hAnsi="Symbol" w:cstheme="minorBid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10F83BE5"/>
    <w:multiLevelType w:val="hybridMultilevel"/>
    <w:tmpl w:val="AF7C99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6FF614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7D33908"/>
    <w:multiLevelType w:val="hybridMultilevel"/>
    <w:tmpl w:val="AB00AFE4"/>
    <w:lvl w:ilvl="0" w:tplc="FFFFFFFF">
      <w:start w:val="1"/>
      <w:numFmt w:val="decimal"/>
      <w:lvlText w:val="%1."/>
      <w:lvlJc w:val="left"/>
      <w:pPr>
        <w:ind w:left="-154" w:hanging="360"/>
      </w:pPr>
    </w:lvl>
    <w:lvl w:ilvl="1" w:tplc="FFFFFFFF" w:tentative="1">
      <w:start w:val="1"/>
      <w:numFmt w:val="lowerLetter"/>
      <w:lvlText w:val="%2."/>
      <w:lvlJc w:val="left"/>
      <w:pPr>
        <w:ind w:left="566" w:hanging="360"/>
      </w:pPr>
    </w:lvl>
    <w:lvl w:ilvl="2" w:tplc="FFFFFFFF" w:tentative="1">
      <w:start w:val="1"/>
      <w:numFmt w:val="lowerRoman"/>
      <w:lvlText w:val="%3."/>
      <w:lvlJc w:val="right"/>
      <w:pPr>
        <w:ind w:left="1286" w:hanging="180"/>
      </w:pPr>
    </w:lvl>
    <w:lvl w:ilvl="3" w:tplc="FFFFFFFF" w:tentative="1">
      <w:start w:val="1"/>
      <w:numFmt w:val="decimal"/>
      <w:lvlText w:val="%4."/>
      <w:lvlJc w:val="left"/>
      <w:pPr>
        <w:ind w:left="2006" w:hanging="360"/>
      </w:pPr>
    </w:lvl>
    <w:lvl w:ilvl="4" w:tplc="FFFFFFFF" w:tentative="1">
      <w:start w:val="1"/>
      <w:numFmt w:val="lowerLetter"/>
      <w:lvlText w:val="%5."/>
      <w:lvlJc w:val="left"/>
      <w:pPr>
        <w:ind w:left="2726" w:hanging="360"/>
      </w:pPr>
    </w:lvl>
    <w:lvl w:ilvl="5" w:tplc="FFFFFFFF" w:tentative="1">
      <w:start w:val="1"/>
      <w:numFmt w:val="lowerRoman"/>
      <w:lvlText w:val="%6."/>
      <w:lvlJc w:val="right"/>
      <w:pPr>
        <w:ind w:left="3446" w:hanging="180"/>
      </w:pPr>
    </w:lvl>
    <w:lvl w:ilvl="6" w:tplc="FFFFFFFF" w:tentative="1">
      <w:start w:val="1"/>
      <w:numFmt w:val="decimal"/>
      <w:lvlText w:val="%7."/>
      <w:lvlJc w:val="left"/>
      <w:pPr>
        <w:ind w:left="4166" w:hanging="360"/>
      </w:pPr>
    </w:lvl>
    <w:lvl w:ilvl="7" w:tplc="FFFFFFFF" w:tentative="1">
      <w:start w:val="1"/>
      <w:numFmt w:val="lowerLetter"/>
      <w:lvlText w:val="%8."/>
      <w:lvlJc w:val="left"/>
      <w:pPr>
        <w:ind w:left="4886" w:hanging="360"/>
      </w:pPr>
    </w:lvl>
    <w:lvl w:ilvl="8" w:tplc="FFFFFFFF" w:tentative="1">
      <w:start w:val="1"/>
      <w:numFmt w:val="lowerRoman"/>
      <w:lvlText w:val="%9."/>
      <w:lvlJc w:val="right"/>
      <w:pPr>
        <w:ind w:left="5606" w:hanging="180"/>
      </w:pPr>
    </w:lvl>
  </w:abstractNum>
  <w:abstractNum w:abstractNumId="4" w15:restartNumberingAfterBreak="0">
    <w:nsid w:val="1F3161A8"/>
    <w:multiLevelType w:val="hybridMultilevel"/>
    <w:tmpl w:val="BEC64614"/>
    <w:lvl w:ilvl="0" w:tplc="5EBCD66E">
      <w:numFmt w:val="bullet"/>
      <w:lvlText w:val=""/>
      <w:lvlJc w:val="left"/>
      <w:pPr>
        <w:ind w:left="1080" w:hanging="360"/>
      </w:pPr>
      <w:rPr>
        <w:rFonts w:ascii="Symbol" w:eastAsia="Verdana" w:hAnsi="Symbol" w:cs="Verdana"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202619FC"/>
    <w:multiLevelType w:val="multilevel"/>
    <w:tmpl w:val="1B1C7A08"/>
    <w:lvl w:ilvl="0">
      <w:start w:val="3"/>
      <w:numFmt w:val="decimal"/>
      <w:lvlText w:val="%1"/>
      <w:lvlJc w:val="left"/>
      <w:pPr>
        <w:ind w:left="636" w:hanging="517"/>
      </w:pPr>
      <w:rPr>
        <w:rFonts w:hint="default"/>
        <w:lang w:val="en-AU" w:eastAsia="en-US" w:bidi="ar-SA"/>
      </w:rPr>
    </w:lvl>
    <w:lvl w:ilvl="1">
      <w:start w:val="1"/>
      <w:numFmt w:val="decimal"/>
      <w:lvlText w:val="%1.%2"/>
      <w:lvlJc w:val="left"/>
      <w:pPr>
        <w:ind w:left="636" w:hanging="517"/>
      </w:pPr>
      <w:rPr>
        <w:rFonts w:ascii="Verdana" w:eastAsia="Verdana" w:hAnsi="Verdana" w:cs="Verdana" w:hint="default"/>
        <w:color w:val="2E5395"/>
        <w:spacing w:val="-1"/>
        <w:w w:val="99"/>
        <w:sz w:val="26"/>
        <w:szCs w:val="26"/>
        <w:lang w:val="en-AU" w:eastAsia="en-US" w:bidi="ar-SA"/>
      </w:rPr>
    </w:lvl>
    <w:lvl w:ilvl="2">
      <w:numFmt w:val="bullet"/>
      <w:lvlText w:val="•"/>
      <w:lvlJc w:val="left"/>
      <w:pPr>
        <w:ind w:left="2428" w:hanging="517"/>
      </w:pPr>
      <w:rPr>
        <w:rFonts w:hint="default"/>
        <w:lang w:val="en-AU" w:eastAsia="en-US" w:bidi="ar-SA"/>
      </w:rPr>
    </w:lvl>
    <w:lvl w:ilvl="3">
      <w:numFmt w:val="bullet"/>
      <w:lvlText w:val="•"/>
      <w:lvlJc w:val="left"/>
      <w:pPr>
        <w:ind w:left="3322" w:hanging="517"/>
      </w:pPr>
      <w:rPr>
        <w:rFonts w:hint="default"/>
        <w:lang w:val="en-AU" w:eastAsia="en-US" w:bidi="ar-SA"/>
      </w:rPr>
    </w:lvl>
    <w:lvl w:ilvl="4">
      <w:numFmt w:val="bullet"/>
      <w:lvlText w:val="•"/>
      <w:lvlJc w:val="left"/>
      <w:pPr>
        <w:ind w:left="4216" w:hanging="517"/>
      </w:pPr>
      <w:rPr>
        <w:rFonts w:hint="default"/>
        <w:lang w:val="en-AU" w:eastAsia="en-US" w:bidi="ar-SA"/>
      </w:rPr>
    </w:lvl>
    <w:lvl w:ilvl="5">
      <w:numFmt w:val="bullet"/>
      <w:lvlText w:val="•"/>
      <w:lvlJc w:val="left"/>
      <w:pPr>
        <w:ind w:left="5110" w:hanging="517"/>
      </w:pPr>
      <w:rPr>
        <w:rFonts w:hint="default"/>
        <w:lang w:val="en-AU" w:eastAsia="en-US" w:bidi="ar-SA"/>
      </w:rPr>
    </w:lvl>
    <w:lvl w:ilvl="6">
      <w:numFmt w:val="bullet"/>
      <w:lvlText w:val="•"/>
      <w:lvlJc w:val="left"/>
      <w:pPr>
        <w:ind w:left="6004" w:hanging="517"/>
      </w:pPr>
      <w:rPr>
        <w:rFonts w:hint="default"/>
        <w:lang w:val="en-AU" w:eastAsia="en-US" w:bidi="ar-SA"/>
      </w:rPr>
    </w:lvl>
    <w:lvl w:ilvl="7">
      <w:numFmt w:val="bullet"/>
      <w:lvlText w:val="•"/>
      <w:lvlJc w:val="left"/>
      <w:pPr>
        <w:ind w:left="6898" w:hanging="517"/>
      </w:pPr>
      <w:rPr>
        <w:rFonts w:hint="default"/>
        <w:lang w:val="en-AU" w:eastAsia="en-US" w:bidi="ar-SA"/>
      </w:rPr>
    </w:lvl>
    <w:lvl w:ilvl="8">
      <w:numFmt w:val="bullet"/>
      <w:lvlText w:val="•"/>
      <w:lvlJc w:val="left"/>
      <w:pPr>
        <w:ind w:left="7792" w:hanging="517"/>
      </w:pPr>
      <w:rPr>
        <w:rFonts w:hint="default"/>
        <w:lang w:val="en-AU" w:eastAsia="en-US" w:bidi="ar-SA"/>
      </w:rPr>
    </w:lvl>
  </w:abstractNum>
  <w:abstractNum w:abstractNumId="6" w15:restartNumberingAfterBreak="0">
    <w:nsid w:val="22E20387"/>
    <w:multiLevelType w:val="hybridMultilevel"/>
    <w:tmpl w:val="93A006DA"/>
    <w:lvl w:ilvl="0" w:tplc="57DAA3FC">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7" w15:restartNumberingAfterBreak="0">
    <w:nsid w:val="2C9B6BE0"/>
    <w:multiLevelType w:val="hybridMultilevel"/>
    <w:tmpl w:val="C3124416"/>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8" w15:restartNumberingAfterBreak="0">
    <w:nsid w:val="2D304D91"/>
    <w:multiLevelType w:val="multilevel"/>
    <w:tmpl w:val="EF64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244891"/>
    <w:multiLevelType w:val="hybridMultilevel"/>
    <w:tmpl w:val="188062CE"/>
    <w:lvl w:ilvl="0" w:tplc="4E0C79A4">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0" w15:restartNumberingAfterBreak="0">
    <w:nsid w:val="3AA75098"/>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1" w15:restartNumberingAfterBreak="0">
    <w:nsid w:val="3C8D2F61"/>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2" w15:restartNumberingAfterBreak="0">
    <w:nsid w:val="447B6793"/>
    <w:multiLevelType w:val="hybridMultilevel"/>
    <w:tmpl w:val="FA4A996E"/>
    <w:lvl w:ilvl="0" w:tplc="A84874A2">
      <w:start w:val="1"/>
      <w:numFmt w:val="lowerLetter"/>
      <w:lvlText w:val="(%1)"/>
      <w:lvlJc w:val="left"/>
      <w:pPr>
        <w:tabs>
          <w:tab w:val="num" w:pos="930"/>
        </w:tabs>
        <w:ind w:left="930" w:hanging="57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3" w15:restartNumberingAfterBreak="0">
    <w:nsid w:val="53077256"/>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4" w15:restartNumberingAfterBreak="0">
    <w:nsid w:val="60EF0561"/>
    <w:multiLevelType w:val="hybridMultilevel"/>
    <w:tmpl w:val="F4CE360A"/>
    <w:lvl w:ilvl="0" w:tplc="64AA634A">
      <w:numFmt w:val="bullet"/>
      <w:lvlText w:val="•"/>
      <w:lvlJc w:val="left"/>
      <w:pPr>
        <w:ind w:left="495" w:hanging="213"/>
      </w:pPr>
      <w:rPr>
        <w:rFonts w:ascii="Arial" w:eastAsia="Arial" w:hAnsi="Arial" w:cs="Arial" w:hint="default"/>
        <w:w w:val="101"/>
        <w:sz w:val="12"/>
        <w:szCs w:val="12"/>
        <w:lang w:val="en-AU" w:eastAsia="en-US" w:bidi="ar-SA"/>
      </w:rPr>
    </w:lvl>
    <w:lvl w:ilvl="1" w:tplc="7C4E60C2">
      <w:numFmt w:val="bullet"/>
      <w:lvlText w:val="•"/>
      <w:lvlJc w:val="left"/>
      <w:pPr>
        <w:ind w:left="1408" w:hanging="213"/>
      </w:pPr>
      <w:rPr>
        <w:rFonts w:hint="default"/>
        <w:lang w:val="en-AU" w:eastAsia="en-US" w:bidi="ar-SA"/>
      </w:rPr>
    </w:lvl>
    <w:lvl w:ilvl="2" w:tplc="5CD0F68A">
      <w:numFmt w:val="bullet"/>
      <w:lvlText w:val="•"/>
      <w:lvlJc w:val="left"/>
      <w:pPr>
        <w:ind w:left="2316" w:hanging="213"/>
      </w:pPr>
      <w:rPr>
        <w:rFonts w:hint="default"/>
        <w:lang w:val="en-AU" w:eastAsia="en-US" w:bidi="ar-SA"/>
      </w:rPr>
    </w:lvl>
    <w:lvl w:ilvl="3" w:tplc="C3C6FF52">
      <w:numFmt w:val="bullet"/>
      <w:lvlText w:val="•"/>
      <w:lvlJc w:val="left"/>
      <w:pPr>
        <w:ind w:left="3224" w:hanging="213"/>
      </w:pPr>
      <w:rPr>
        <w:rFonts w:hint="default"/>
        <w:lang w:val="en-AU" w:eastAsia="en-US" w:bidi="ar-SA"/>
      </w:rPr>
    </w:lvl>
    <w:lvl w:ilvl="4" w:tplc="73B6A440">
      <w:numFmt w:val="bullet"/>
      <w:lvlText w:val="•"/>
      <w:lvlJc w:val="left"/>
      <w:pPr>
        <w:ind w:left="4132" w:hanging="213"/>
      </w:pPr>
      <w:rPr>
        <w:rFonts w:hint="default"/>
        <w:lang w:val="en-AU" w:eastAsia="en-US" w:bidi="ar-SA"/>
      </w:rPr>
    </w:lvl>
    <w:lvl w:ilvl="5" w:tplc="A52050CE">
      <w:numFmt w:val="bullet"/>
      <w:lvlText w:val="•"/>
      <w:lvlJc w:val="left"/>
      <w:pPr>
        <w:ind w:left="5040" w:hanging="213"/>
      </w:pPr>
      <w:rPr>
        <w:rFonts w:hint="default"/>
        <w:lang w:val="en-AU" w:eastAsia="en-US" w:bidi="ar-SA"/>
      </w:rPr>
    </w:lvl>
    <w:lvl w:ilvl="6" w:tplc="7A406CAE">
      <w:numFmt w:val="bullet"/>
      <w:lvlText w:val="•"/>
      <w:lvlJc w:val="left"/>
      <w:pPr>
        <w:ind w:left="5948" w:hanging="213"/>
      </w:pPr>
      <w:rPr>
        <w:rFonts w:hint="default"/>
        <w:lang w:val="en-AU" w:eastAsia="en-US" w:bidi="ar-SA"/>
      </w:rPr>
    </w:lvl>
    <w:lvl w:ilvl="7" w:tplc="EF20612E">
      <w:numFmt w:val="bullet"/>
      <w:lvlText w:val="•"/>
      <w:lvlJc w:val="left"/>
      <w:pPr>
        <w:ind w:left="6856" w:hanging="213"/>
      </w:pPr>
      <w:rPr>
        <w:rFonts w:hint="default"/>
        <w:lang w:val="en-AU" w:eastAsia="en-US" w:bidi="ar-SA"/>
      </w:rPr>
    </w:lvl>
    <w:lvl w:ilvl="8" w:tplc="8D568936">
      <w:numFmt w:val="bullet"/>
      <w:lvlText w:val="•"/>
      <w:lvlJc w:val="left"/>
      <w:pPr>
        <w:ind w:left="7764" w:hanging="213"/>
      </w:pPr>
      <w:rPr>
        <w:rFonts w:hint="default"/>
        <w:lang w:val="en-AU" w:eastAsia="en-US" w:bidi="ar-SA"/>
      </w:rPr>
    </w:lvl>
  </w:abstractNum>
  <w:abstractNum w:abstractNumId="15" w15:restartNumberingAfterBreak="0">
    <w:nsid w:val="65081EC5"/>
    <w:multiLevelType w:val="hybridMultilevel"/>
    <w:tmpl w:val="140A4ACE"/>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A6A38C9"/>
    <w:multiLevelType w:val="hybridMultilevel"/>
    <w:tmpl w:val="1534CFDE"/>
    <w:lvl w:ilvl="0" w:tplc="E1A660CE">
      <w:start w:val="4"/>
      <w:numFmt w:val="bullet"/>
      <w:lvlText w:val=""/>
      <w:lvlJc w:val="left"/>
      <w:pPr>
        <w:ind w:left="480" w:hanging="360"/>
      </w:pPr>
      <w:rPr>
        <w:rFonts w:ascii="Symbol" w:eastAsia="Verdana" w:hAnsi="Symbol" w:cs="Verdana" w:hint="default"/>
      </w:rPr>
    </w:lvl>
    <w:lvl w:ilvl="1" w:tplc="0C090003">
      <w:start w:val="1"/>
      <w:numFmt w:val="bullet"/>
      <w:lvlText w:val="o"/>
      <w:lvlJc w:val="left"/>
      <w:pPr>
        <w:ind w:left="1200" w:hanging="360"/>
      </w:pPr>
      <w:rPr>
        <w:rFonts w:ascii="Courier New" w:hAnsi="Courier New" w:cs="Courier New" w:hint="default"/>
      </w:rPr>
    </w:lvl>
    <w:lvl w:ilvl="2" w:tplc="0C090005" w:tentative="1">
      <w:start w:val="1"/>
      <w:numFmt w:val="bullet"/>
      <w:lvlText w:val=""/>
      <w:lvlJc w:val="left"/>
      <w:pPr>
        <w:ind w:left="1920" w:hanging="360"/>
      </w:pPr>
      <w:rPr>
        <w:rFonts w:ascii="Wingdings" w:hAnsi="Wingdings" w:hint="default"/>
      </w:rPr>
    </w:lvl>
    <w:lvl w:ilvl="3" w:tplc="0C090001" w:tentative="1">
      <w:start w:val="1"/>
      <w:numFmt w:val="bullet"/>
      <w:lvlText w:val=""/>
      <w:lvlJc w:val="left"/>
      <w:pPr>
        <w:ind w:left="2640" w:hanging="360"/>
      </w:pPr>
      <w:rPr>
        <w:rFonts w:ascii="Symbol" w:hAnsi="Symbol" w:hint="default"/>
      </w:rPr>
    </w:lvl>
    <w:lvl w:ilvl="4" w:tplc="0C090003" w:tentative="1">
      <w:start w:val="1"/>
      <w:numFmt w:val="bullet"/>
      <w:lvlText w:val="o"/>
      <w:lvlJc w:val="left"/>
      <w:pPr>
        <w:ind w:left="3360" w:hanging="360"/>
      </w:pPr>
      <w:rPr>
        <w:rFonts w:ascii="Courier New" w:hAnsi="Courier New" w:cs="Courier New" w:hint="default"/>
      </w:rPr>
    </w:lvl>
    <w:lvl w:ilvl="5" w:tplc="0C090005" w:tentative="1">
      <w:start w:val="1"/>
      <w:numFmt w:val="bullet"/>
      <w:lvlText w:val=""/>
      <w:lvlJc w:val="left"/>
      <w:pPr>
        <w:ind w:left="4080" w:hanging="360"/>
      </w:pPr>
      <w:rPr>
        <w:rFonts w:ascii="Wingdings" w:hAnsi="Wingdings" w:hint="default"/>
      </w:rPr>
    </w:lvl>
    <w:lvl w:ilvl="6" w:tplc="0C090001" w:tentative="1">
      <w:start w:val="1"/>
      <w:numFmt w:val="bullet"/>
      <w:lvlText w:val=""/>
      <w:lvlJc w:val="left"/>
      <w:pPr>
        <w:ind w:left="4800" w:hanging="360"/>
      </w:pPr>
      <w:rPr>
        <w:rFonts w:ascii="Symbol" w:hAnsi="Symbol" w:hint="default"/>
      </w:rPr>
    </w:lvl>
    <w:lvl w:ilvl="7" w:tplc="0C090003" w:tentative="1">
      <w:start w:val="1"/>
      <w:numFmt w:val="bullet"/>
      <w:lvlText w:val="o"/>
      <w:lvlJc w:val="left"/>
      <w:pPr>
        <w:ind w:left="5520" w:hanging="360"/>
      </w:pPr>
      <w:rPr>
        <w:rFonts w:ascii="Courier New" w:hAnsi="Courier New" w:cs="Courier New" w:hint="default"/>
      </w:rPr>
    </w:lvl>
    <w:lvl w:ilvl="8" w:tplc="0C090005" w:tentative="1">
      <w:start w:val="1"/>
      <w:numFmt w:val="bullet"/>
      <w:lvlText w:val=""/>
      <w:lvlJc w:val="left"/>
      <w:pPr>
        <w:ind w:left="6240" w:hanging="360"/>
      </w:pPr>
      <w:rPr>
        <w:rFonts w:ascii="Wingdings" w:hAnsi="Wingdings" w:hint="default"/>
      </w:rPr>
    </w:lvl>
  </w:abstractNum>
  <w:abstractNum w:abstractNumId="17" w15:restartNumberingAfterBreak="0">
    <w:nsid w:val="6AFC0C62"/>
    <w:multiLevelType w:val="hybridMultilevel"/>
    <w:tmpl w:val="5F5CDACC"/>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052391E"/>
    <w:multiLevelType w:val="hybridMultilevel"/>
    <w:tmpl w:val="B8E0E7BE"/>
    <w:lvl w:ilvl="0" w:tplc="0C09000F">
      <w:start w:val="1"/>
      <w:numFmt w:val="decimal"/>
      <w:lvlText w:val="%1."/>
      <w:lvlJc w:val="left"/>
      <w:pPr>
        <w:tabs>
          <w:tab w:val="num" w:pos="1080"/>
        </w:tabs>
        <w:ind w:left="1080" w:hanging="360"/>
      </w:pPr>
      <w:rPr>
        <w:rFonts w:hint="default"/>
        <w:color w:val="000000" w:themeColor="text1"/>
      </w:rPr>
    </w:lvl>
    <w:lvl w:ilvl="1" w:tplc="0C090019">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19" w15:restartNumberingAfterBreak="0">
    <w:nsid w:val="758959CF"/>
    <w:multiLevelType w:val="hybridMultilevel"/>
    <w:tmpl w:val="DA6AB0E0"/>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20" w15:restartNumberingAfterBreak="0">
    <w:nsid w:val="7AC34FA9"/>
    <w:multiLevelType w:val="hybridMultilevel"/>
    <w:tmpl w:val="9D460ABC"/>
    <w:lvl w:ilvl="0" w:tplc="DE04F974">
      <w:numFmt w:val="bullet"/>
      <w:lvlText w:val=""/>
      <w:lvlJc w:val="left"/>
      <w:pPr>
        <w:ind w:left="479" w:hanging="360"/>
      </w:pPr>
      <w:rPr>
        <w:rFonts w:ascii="Symbol" w:eastAsia="Verdana" w:hAnsi="Symbol" w:cs="Verdana"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21" w15:restartNumberingAfterBreak="0">
    <w:nsid w:val="7E196065"/>
    <w:multiLevelType w:val="multilevel"/>
    <w:tmpl w:val="F4DAFA8C"/>
    <w:lvl w:ilvl="0">
      <w:start w:val="1"/>
      <w:numFmt w:val="decimal"/>
      <w:lvlText w:val="%1."/>
      <w:lvlJc w:val="left"/>
      <w:pPr>
        <w:ind w:left="360" w:hanging="360"/>
      </w:pPr>
      <w:rPr>
        <w:rFonts w:hint="default"/>
        <w:b w:val="0"/>
        <w:bCs w:val="0"/>
        <w:color w:val="4F81BD" w:themeColor="accent1"/>
      </w:rPr>
    </w:lvl>
    <w:lvl w:ilvl="1">
      <w:start w:val="1"/>
      <w:numFmt w:val="lowerLetter"/>
      <w:lvlText w:val="%2."/>
      <w:lvlJc w:val="left"/>
      <w:pPr>
        <w:ind w:left="1789" w:hanging="360"/>
      </w:pPr>
      <w:rPr>
        <w:rFonts w:hint="default"/>
      </w:rPr>
    </w:lvl>
    <w:lvl w:ilvl="2">
      <w:start w:val="1"/>
      <w:numFmt w:val="lowerRoman"/>
      <w:lvlText w:val="%3."/>
      <w:lvlJc w:val="right"/>
      <w:pPr>
        <w:ind w:left="2509" w:hanging="180"/>
      </w:pPr>
      <w:rPr>
        <w:rFonts w:hint="default"/>
      </w:rPr>
    </w:lvl>
    <w:lvl w:ilvl="3">
      <w:start w:val="1"/>
      <w:numFmt w:val="decimal"/>
      <w:lvlText w:val="%4."/>
      <w:lvlJc w:val="left"/>
      <w:pPr>
        <w:ind w:left="3229" w:hanging="360"/>
      </w:pPr>
      <w:rPr>
        <w:rFonts w:hint="default"/>
      </w:rPr>
    </w:lvl>
    <w:lvl w:ilvl="4">
      <w:start w:val="1"/>
      <w:numFmt w:val="lowerLetter"/>
      <w:lvlText w:val="%5."/>
      <w:lvlJc w:val="left"/>
      <w:pPr>
        <w:ind w:left="3949" w:hanging="360"/>
      </w:pPr>
      <w:rPr>
        <w:rFonts w:hint="default"/>
      </w:rPr>
    </w:lvl>
    <w:lvl w:ilvl="5">
      <w:start w:val="1"/>
      <w:numFmt w:val="lowerRoman"/>
      <w:lvlText w:val="%6."/>
      <w:lvlJc w:val="right"/>
      <w:pPr>
        <w:ind w:left="4669" w:hanging="180"/>
      </w:pPr>
      <w:rPr>
        <w:rFonts w:hint="default"/>
      </w:rPr>
    </w:lvl>
    <w:lvl w:ilvl="6">
      <w:start w:val="1"/>
      <w:numFmt w:val="decimal"/>
      <w:lvlText w:val="%7."/>
      <w:lvlJc w:val="left"/>
      <w:pPr>
        <w:ind w:left="5389" w:hanging="360"/>
      </w:pPr>
      <w:rPr>
        <w:rFonts w:hint="default"/>
      </w:rPr>
    </w:lvl>
    <w:lvl w:ilvl="7">
      <w:start w:val="1"/>
      <w:numFmt w:val="lowerLetter"/>
      <w:lvlText w:val="%8."/>
      <w:lvlJc w:val="left"/>
      <w:pPr>
        <w:ind w:left="6109" w:hanging="360"/>
      </w:pPr>
      <w:rPr>
        <w:rFonts w:hint="default"/>
      </w:rPr>
    </w:lvl>
    <w:lvl w:ilvl="8">
      <w:start w:val="1"/>
      <w:numFmt w:val="lowerRoman"/>
      <w:lvlText w:val="%9."/>
      <w:lvlJc w:val="right"/>
      <w:pPr>
        <w:ind w:left="6829" w:hanging="180"/>
      </w:pPr>
      <w:rPr>
        <w:rFonts w:hint="default"/>
      </w:rPr>
    </w:lvl>
  </w:abstractNum>
  <w:num w:numId="1">
    <w:abstractNumId w:val="5"/>
  </w:num>
  <w:num w:numId="2">
    <w:abstractNumId w:val="14"/>
  </w:num>
  <w:num w:numId="3">
    <w:abstractNumId w:val="11"/>
  </w:num>
  <w:num w:numId="4">
    <w:abstractNumId w:val="10"/>
  </w:num>
  <w:num w:numId="5">
    <w:abstractNumId w:val="13"/>
  </w:num>
  <w:num w:numId="6">
    <w:abstractNumId w:val="16"/>
  </w:num>
  <w:num w:numId="7">
    <w:abstractNumId w:val="21"/>
  </w:num>
  <w:num w:numId="8">
    <w:abstractNumId w:val="3"/>
  </w:num>
  <w:num w:numId="9">
    <w:abstractNumId w:val="19"/>
  </w:num>
  <w:num w:numId="10">
    <w:abstractNumId w:val="7"/>
  </w:num>
  <w:num w:numId="11">
    <w:abstractNumId w:val="9"/>
  </w:num>
  <w:num w:numId="12">
    <w:abstractNumId w:val="6"/>
  </w:num>
  <w:num w:numId="13">
    <w:abstractNumId w:val="2"/>
  </w:num>
  <w:num w:numId="14">
    <w:abstractNumId w:val="20"/>
  </w:num>
  <w:num w:numId="15">
    <w:abstractNumId w:val="15"/>
  </w:num>
  <w:num w:numId="16">
    <w:abstractNumId w:val="17"/>
  </w:num>
  <w:num w:numId="17">
    <w:abstractNumId w:val="0"/>
  </w:num>
  <w:num w:numId="18">
    <w:abstractNumId w:val="1"/>
  </w:num>
  <w:num w:numId="19">
    <w:abstractNumId w:val="8"/>
  </w:num>
  <w:num w:numId="20">
    <w:abstractNumId w:val="12"/>
  </w:num>
  <w:num w:numId="21">
    <w:abstractNumId w:val="18"/>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Turabian 9th Footnote&lt;/Style&gt;&lt;LeftDelim&gt;{&lt;/LeftDelim&gt;&lt;RightDelim&gt;}&lt;/RightDelim&gt;&lt;FontName&gt;Verdan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EN.UseJSCitationFormat" w:val="False"/>
  </w:docVars>
  <w:rsids>
    <w:rsidRoot w:val="00724833"/>
    <w:rsid w:val="00000722"/>
    <w:rsid w:val="000011AE"/>
    <w:rsid w:val="00002211"/>
    <w:rsid w:val="00003ECC"/>
    <w:rsid w:val="00005C40"/>
    <w:rsid w:val="00005FB0"/>
    <w:rsid w:val="00006B64"/>
    <w:rsid w:val="00006C79"/>
    <w:rsid w:val="00011151"/>
    <w:rsid w:val="00011D47"/>
    <w:rsid w:val="00012291"/>
    <w:rsid w:val="000131EF"/>
    <w:rsid w:val="000137AB"/>
    <w:rsid w:val="0001467E"/>
    <w:rsid w:val="00016679"/>
    <w:rsid w:val="0001733F"/>
    <w:rsid w:val="00017707"/>
    <w:rsid w:val="000215BC"/>
    <w:rsid w:val="00025723"/>
    <w:rsid w:val="00026648"/>
    <w:rsid w:val="00026916"/>
    <w:rsid w:val="00026FCD"/>
    <w:rsid w:val="00034583"/>
    <w:rsid w:val="000352B1"/>
    <w:rsid w:val="00035B6B"/>
    <w:rsid w:val="00035E30"/>
    <w:rsid w:val="00036914"/>
    <w:rsid w:val="0004084E"/>
    <w:rsid w:val="00042AAF"/>
    <w:rsid w:val="00043983"/>
    <w:rsid w:val="00043A5B"/>
    <w:rsid w:val="00044F0C"/>
    <w:rsid w:val="00046BCC"/>
    <w:rsid w:val="000504D1"/>
    <w:rsid w:val="00051D37"/>
    <w:rsid w:val="00051E8D"/>
    <w:rsid w:val="00053106"/>
    <w:rsid w:val="00053CFA"/>
    <w:rsid w:val="000557F1"/>
    <w:rsid w:val="00056B32"/>
    <w:rsid w:val="00056EAB"/>
    <w:rsid w:val="00060FAB"/>
    <w:rsid w:val="00061154"/>
    <w:rsid w:val="00061247"/>
    <w:rsid w:val="000625AE"/>
    <w:rsid w:val="0006343E"/>
    <w:rsid w:val="0006459E"/>
    <w:rsid w:val="00065C15"/>
    <w:rsid w:val="000669DD"/>
    <w:rsid w:val="000734A2"/>
    <w:rsid w:val="00073F08"/>
    <w:rsid w:val="00074FEE"/>
    <w:rsid w:val="00075612"/>
    <w:rsid w:val="00075EC3"/>
    <w:rsid w:val="00076357"/>
    <w:rsid w:val="00083905"/>
    <w:rsid w:val="00084C23"/>
    <w:rsid w:val="00085A85"/>
    <w:rsid w:val="00087A5C"/>
    <w:rsid w:val="00087BA4"/>
    <w:rsid w:val="000900B1"/>
    <w:rsid w:val="00090770"/>
    <w:rsid w:val="000923D5"/>
    <w:rsid w:val="00093010"/>
    <w:rsid w:val="000948F7"/>
    <w:rsid w:val="000950D8"/>
    <w:rsid w:val="00095D38"/>
    <w:rsid w:val="000979C2"/>
    <w:rsid w:val="000A009F"/>
    <w:rsid w:val="000A09AA"/>
    <w:rsid w:val="000A09DC"/>
    <w:rsid w:val="000A0E8A"/>
    <w:rsid w:val="000A1B8D"/>
    <w:rsid w:val="000A31B4"/>
    <w:rsid w:val="000A3436"/>
    <w:rsid w:val="000A4950"/>
    <w:rsid w:val="000A738E"/>
    <w:rsid w:val="000A7DAE"/>
    <w:rsid w:val="000B2124"/>
    <w:rsid w:val="000B2D2C"/>
    <w:rsid w:val="000B3AB7"/>
    <w:rsid w:val="000B3E68"/>
    <w:rsid w:val="000B6ADD"/>
    <w:rsid w:val="000B78F5"/>
    <w:rsid w:val="000C1D37"/>
    <w:rsid w:val="000C2F63"/>
    <w:rsid w:val="000C33F8"/>
    <w:rsid w:val="000D0FF4"/>
    <w:rsid w:val="000D206C"/>
    <w:rsid w:val="000D2519"/>
    <w:rsid w:val="000D39C8"/>
    <w:rsid w:val="000D3EC4"/>
    <w:rsid w:val="000D6031"/>
    <w:rsid w:val="000E084C"/>
    <w:rsid w:val="000E2B2A"/>
    <w:rsid w:val="000E32B7"/>
    <w:rsid w:val="000E503F"/>
    <w:rsid w:val="000E5271"/>
    <w:rsid w:val="000E5AFA"/>
    <w:rsid w:val="000E6CBD"/>
    <w:rsid w:val="000E792B"/>
    <w:rsid w:val="000F25D5"/>
    <w:rsid w:val="000F3706"/>
    <w:rsid w:val="000F4097"/>
    <w:rsid w:val="000F4152"/>
    <w:rsid w:val="000F5AC5"/>
    <w:rsid w:val="000F5F18"/>
    <w:rsid w:val="000F7593"/>
    <w:rsid w:val="000F75FD"/>
    <w:rsid w:val="000F78E5"/>
    <w:rsid w:val="00105C13"/>
    <w:rsid w:val="001067CD"/>
    <w:rsid w:val="00107194"/>
    <w:rsid w:val="00113B25"/>
    <w:rsid w:val="00114168"/>
    <w:rsid w:val="001141F6"/>
    <w:rsid w:val="001162A9"/>
    <w:rsid w:val="00116E90"/>
    <w:rsid w:val="00117DE5"/>
    <w:rsid w:val="0012059E"/>
    <w:rsid w:val="00122371"/>
    <w:rsid w:val="00122B6B"/>
    <w:rsid w:val="00123D98"/>
    <w:rsid w:val="00127853"/>
    <w:rsid w:val="001331AA"/>
    <w:rsid w:val="001331E7"/>
    <w:rsid w:val="001334A2"/>
    <w:rsid w:val="00134586"/>
    <w:rsid w:val="00134C00"/>
    <w:rsid w:val="00134D12"/>
    <w:rsid w:val="00135D8F"/>
    <w:rsid w:val="00137A35"/>
    <w:rsid w:val="001422D8"/>
    <w:rsid w:val="00142445"/>
    <w:rsid w:val="001424E0"/>
    <w:rsid w:val="00144BAC"/>
    <w:rsid w:val="00144CF7"/>
    <w:rsid w:val="001504B7"/>
    <w:rsid w:val="00152CC2"/>
    <w:rsid w:val="001577ED"/>
    <w:rsid w:val="001617F4"/>
    <w:rsid w:val="00161D50"/>
    <w:rsid w:val="001644ED"/>
    <w:rsid w:val="00166470"/>
    <w:rsid w:val="0016723A"/>
    <w:rsid w:val="00167AEC"/>
    <w:rsid w:val="00167CEA"/>
    <w:rsid w:val="00170102"/>
    <w:rsid w:val="00170F6F"/>
    <w:rsid w:val="00171578"/>
    <w:rsid w:val="001715E6"/>
    <w:rsid w:val="001723D7"/>
    <w:rsid w:val="00172C56"/>
    <w:rsid w:val="00174C6B"/>
    <w:rsid w:val="00177F2A"/>
    <w:rsid w:val="00182144"/>
    <w:rsid w:val="001832E1"/>
    <w:rsid w:val="0018537F"/>
    <w:rsid w:val="00185ECC"/>
    <w:rsid w:val="00186120"/>
    <w:rsid w:val="001877E6"/>
    <w:rsid w:val="00191FF6"/>
    <w:rsid w:val="00193970"/>
    <w:rsid w:val="00194DBB"/>
    <w:rsid w:val="00196529"/>
    <w:rsid w:val="001A05F9"/>
    <w:rsid w:val="001A0B42"/>
    <w:rsid w:val="001A110B"/>
    <w:rsid w:val="001A1112"/>
    <w:rsid w:val="001A24FB"/>
    <w:rsid w:val="001A2B45"/>
    <w:rsid w:val="001A2F35"/>
    <w:rsid w:val="001A374F"/>
    <w:rsid w:val="001A3BC5"/>
    <w:rsid w:val="001A5E2F"/>
    <w:rsid w:val="001A6121"/>
    <w:rsid w:val="001A6605"/>
    <w:rsid w:val="001B1045"/>
    <w:rsid w:val="001B1F3C"/>
    <w:rsid w:val="001B2B0B"/>
    <w:rsid w:val="001B4057"/>
    <w:rsid w:val="001B4625"/>
    <w:rsid w:val="001B5A17"/>
    <w:rsid w:val="001B771F"/>
    <w:rsid w:val="001B7E20"/>
    <w:rsid w:val="001C2B79"/>
    <w:rsid w:val="001C3AFC"/>
    <w:rsid w:val="001C7978"/>
    <w:rsid w:val="001D16B9"/>
    <w:rsid w:val="001D3053"/>
    <w:rsid w:val="001D407A"/>
    <w:rsid w:val="001D5254"/>
    <w:rsid w:val="001D5DE3"/>
    <w:rsid w:val="001D6B11"/>
    <w:rsid w:val="001D7651"/>
    <w:rsid w:val="001E098C"/>
    <w:rsid w:val="001E2A91"/>
    <w:rsid w:val="001E34B1"/>
    <w:rsid w:val="001E4259"/>
    <w:rsid w:val="001E4286"/>
    <w:rsid w:val="001E4CEE"/>
    <w:rsid w:val="001E65E8"/>
    <w:rsid w:val="001E66C4"/>
    <w:rsid w:val="001E6FAA"/>
    <w:rsid w:val="001E73FF"/>
    <w:rsid w:val="001E7813"/>
    <w:rsid w:val="001E7E8D"/>
    <w:rsid w:val="001F265B"/>
    <w:rsid w:val="001F2679"/>
    <w:rsid w:val="001F2950"/>
    <w:rsid w:val="001F3D9D"/>
    <w:rsid w:val="001F3DE9"/>
    <w:rsid w:val="001F47D9"/>
    <w:rsid w:val="001F5D3C"/>
    <w:rsid w:val="001F6615"/>
    <w:rsid w:val="00200C6B"/>
    <w:rsid w:val="00204A78"/>
    <w:rsid w:val="00207348"/>
    <w:rsid w:val="00210CB3"/>
    <w:rsid w:val="0021176C"/>
    <w:rsid w:val="0021191F"/>
    <w:rsid w:val="0021441E"/>
    <w:rsid w:val="00215862"/>
    <w:rsid w:val="00215886"/>
    <w:rsid w:val="00216751"/>
    <w:rsid w:val="00217A52"/>
    <w:rsid w:val="002216F7"/>
    <w:rsid w:val="00222DE0"/>
    <w:rsid w:val="00227C3C"/>
    <w:rsid w:val="00227D39"/>
    <w:rsid w:val="002305AB"/>
    <w:rsid w:val="00230AE1"/>
    <w:rsid w:val="002310D3"/>
    <w:rsid w:val="00231B25"/>
    <w:rsid w:val="0023280D"/>
    <w:rsid w:val="00232A95"/>
    <w:rsid w:val="00232D4F"/>
    <w:rsid w:val="00233C90"/>
    <w:rsid w:val="00233F6B"/>
    <w:rsid w:val="00234090"/>
    <w:rsid w:val="002342B7"/>
    <w:rsid w:val="00234309"/>
    <w:rsid w:val="002348FA"/>
    <w:rsid w:val="00235928"/>
    <w:rsid w:val="00236DC3"/>
    <w:rsid w:val="00237A78"/>
    <w:rsid w:val="00237CFC"/>
    <w:rsid w:val="0024243B"/>
    <w:rsid w:val="002440EF"/>
    <w:rsid w:val="00244751"/>
    <w:rsid w:val="002466D2"/>
    <w:rsid w:val="00246F70"/>
    <w:rsid w:val="00251359"/>
    <w:rsid w:val="00252045"/>
    <w:rsid w:val="00252144"/>
    <w:rsid w:val="00253BC2"/>
    <w:rsid w:val="00254997"/>
    <w:rsid w:val="00256859"/>
    <w:rsid w:val="00257302"/>
    <w:rsid w:val="002617B3"/>
    <w:rsid w:val="00261EAF"/>
    <w:rsid w:val="00262B7D"/>
    <w:rsid w:val="00263511"/>
    <w:rsid w:val="00264B88"/>
    <w:rsid w:val="00265120"/>
    <w:rsid w:val="002667F8"/>
    <w:rsid w:val="00277932"/>
    <w:rsid w:val="002810BE"/>
    <w:rsid w:val="00281A23"/>
    <w:rsid w:val="002826D1"/>
    <w:rsid w:val="00283217"/>
    <w:rsid w:val="0028346B"/>
    <w:rsid w:val="00284BE1"/>
    <w:rsid w:val="00290F5B"/>
    <w:rsid w:val="00291752"/>
    <w:rsid w:val="00297B5C"/>
    <w:rsid w:val="00297F19"/>
    <w:rsid w:val="002A022F"/>
    <w:rsid w:val="002A02F3"/>
    <w:rsid w:val="002A15E3"/>
    <w:rsid w:val="002A2867"/>
    <w:rsid w:val="002A329E"/>
    <w:rsid w:val="002A3A0B"/>
    <w:rsid w:val="002A4488"/>
    <w:rsid w:val="002A6A36"/>
    <w:rsid w:val="002A7D9F"/>
    <w:rsid w:val="002B158E"/>
    <w:rsid w:val="002B3E39"/>
    <w:rsid w:val="002B507C"/>
    <w:rsid w:val="002B7254"/>
    <w:rsid w:val="002B7B9C"/>
    <w:rsid w:val="002C3F48"/>
    <w:rsid w:val="002C642B"/>
    <w:rsid w:val="002C6959"/>
    <w:rsid w:val="002C7D80"/>
    <w:rsid w:val="002D24DD"/>
    <w:rsid w:val="002D407D"/>
    <w:rsid w:val="002D7305"/>
    <w:rsid w:val="002D7766"/>
    <w:rsid w:val="002D7ABE"/>
    <w:rsid w:val="002E05AD"/>
    <w:rsid w:val="002E0CB2"/>
    <w:rsid w:val="002E1CAE"/>
    <w:rsid w:val="002E1D0F"/>
    <w:rsid w:val="002E2436"/>
    <w:rsid w:val="002E42DE"/>
    <w:rsid w:val="002E4B07"/>
    <w:rsid w:val="002E697C"/>
    <w:rsid w:val="002E6D63"/>
    <w:rsid w:val="002E7948"/>
    <w:rsid w:val="002E7F23"/>
    <w:rsid w:val="002F05CA"/>
    <w:rsid w:val="002F13B8"/>
    <w:rsid w:val="002F2320"/>
    <w:rsid w:val="002F3CE0"/>
    <w:rsid w:val="002F4AAF"/>
    <w:rsid w:val="0030048A"/>
    <w:rsid w:val="00304941"/>
    <w:rsid w:val="00305401"/>
    <w:rsid w:val="00306D95"/>
    <w:rsid w:val="00307E0C"/>
    <w:rsid w:val="00310F6E"/>
    <w:rsid w:val="0031115B"/>
    <w:rsid w:val="00311193"/>
    <w:rsid w:val="00314098"/>
    <w:rsid w:val="0031529E"/>
    <w:rsid w:val="00315B5A"/>
    <w:rsid w:val="00316CA5"/>
    <w:rsid w:val="00321C7D"/>
    <w:rsid w:val="00324F4B"/>
    <w:rsid w:val="00325AE9"/>
    <w:rsid w:val="00326431"/>
    <w:rsid w:val="00326F7A"/>
    <w:rsid w:val="003300D6"/>
    <w:rsid w:val="00332067"/>
    <w:rsid w:val="003339D5"/>
    <w:rsid w:val="003372D5"/>
    <w:rsid w:val="00337784"/>
    <w:rsid w:val="003410CC"/>
    <w:rsid w:val="003413CB"/>
    <w:rsid w:val="00341C7E"/>
    <w:rsid w:val="00341E0E"/>
    <w:rsid w:val="00343B15"/>
    <w:rsid w:val="003445E1"/>
    <w:rsid w:val="0034506E"/>
    <w:rsid w:val="00345763"/>
    <w:rsid w:val="003470AE"/>
    <w:rsid w:val="003474E0"/>
    <w:rsid w:val="00347E1E"/>
    <w:rsid w:val="00347E8B"/>
    <w:rsid w:val="00351054"/>
    <w:rsid w:val="00351740"/>
    <w:rsid w:val="00352AA7"/>
    <w:rsid w:val="003530D0"/>
    <w:rsid w:val="003537EC"/>
    <w:rsid w:val="00353CF0"/>
    <w:rsid w:val="00353F49"/>
    <w:rsid w:val="00355EB5"/>
    <w:rsid w:val="003574B5"/>
    <w:rsid w:val="00357B9F"/>
    <w:rsid w:val="00361C28"/>
    <w:rsid w:val="00364042"/>
    <w:rsid w:val="00364311"/>
    <w:rsid w:val="0036437C"/>
    <w:rsid w:val="003716E4"/>
    <w:rsid w:val="00375278"/>
    <w:rsid w:val="00376104"/>
    <w:rsid w:val="003808AC"/>
    <w:rsid w:val="00383A12"/>
    <w:rsid w:val="00386454"/>
    <w:rsid w:val="00390464"/>
    <w:rsid w:val="0039166B"/>
    <w:rsid w:val="00393234"/>
    <w:rsid w:val="003934EA"/>
    <w:rsid w:val="00394076"/>
    <w:rsid w:val="00395EAF"/>
    <w:rsid w:val="00397378"/>
    <w:rsid w:val="003A1343"/>
    <w:rsid w:val="003A35B8"/>
    <w:rsid w:val="003A62CC"/>
    <w:rsid w:val="003A6508"/>
    <w:rsid w:val="003A6D80"/>
    <w:rsid w:val="003A71A2"/>
    <w:rsid w:val="003A76AE"/>
    <w:rsid w:val="003B2162"/>
    <w:rsid w:val="003B4C0B"/>
    <w:rsid w:val="003B4D6D"/>
    <w:rsid w:val="003B6E97"/>
    <w:rsid w:val="003C08BA"/>
    <w:rsid w:val="003C08C1"/>
    <w:rsid w:val="003C1204"/>
    <w:rsid w:val="003C3CE7"/>
    <w:rsid w:val="003C4731"/>
    <w:rsid w:val="003C484C"/>
    <w:rsid w:val="003C616A"/>
    <w:rsid w:val="003C7737"/>
    <w:rsid w:val="003D056F"/>
    <w:rsid w:val="003D1E0F"/>
    <w:rsid w:val="003D2C71"/>
    <w:rsid w:val="003D3B37"/>
    <w:rsid w:val="003D6A7B"/>
    <w:rsid w:val="003E00EC"/>
    <w:rsid w:val="003E0D00"/>
    <w:rsid w:val="003E0F50"/>
    <w:rsid w:val="003E0F78"/>
    <w:rsid w:val="003E1F2D"/>
    <w:rsid w:val="003E2B7C"/>
    <w:rsid w:val="003E5343"/>
    <w:rsid w:val="003E6B70"/>
    <w:rsid w:val="003E6CDA"/>
    <w:rsid w:val="003E7ADF"/>
    <w:rsid w:val="003F38BD"/>
    <w:rsid w:val="003F3E08"/>
    <w:rsid w:val="003F4AC8"/>
    <w:rsid w:val="003F7371"/>
    <w:rsid w:val="00401AA6"/>
    <w:rsid w:val="004020AA"/>
    <w:rsid w:val="0040522D"/>
    <w:rsid w:val="0040552A"/>
    <w:rsid w:val="00406260"/>
    <w:rsid w:val="0040708D"/>
    <w:rsid w:val="00410BD4"/>
    <w:rsid w:val="00410FD0"/>
    <w:rsid w:val="0041420F"/>
    <w:rsid w:val="00414DFB"/>
    <w:rsid w:val="00415A06"/>
    <w:rsid w:val="00415C34"/>
    <w:rsid w:val="00421A79"/>
    <w:rsid w:val="0042255A"/>
    <w:rsid w:val="00424A52"/>
    <w:rsid w:val="00425EF9"/>
    <w:rsid w:val="00430996"/>
    <w:rsid w:val="004310C0"/>
    <w:rsid w:val="004332F7"/>
    <w:rsid w:val="00433436"/>
    <w:rsid w:val="004338D9"/>
    <w:rsid w:val="004350D6"/>
    <w:rsid w:val="00441955"/>
    <w:rsid w:val="00441FB7"/>
    <w:rsid w:val="00442111"/>
    <w:rsid w:val="0044273B"/>
    <w:rsid w:val="00442D78"/>
    <w:rsid w:val="00443E9D"/>
    <w:rsid w:val="004441E3"/>
    <w:rsid w:val="0044465E"/>
    <w:rsid w:val="0044711D"/>
    <w:rsid w:val="0045018A"/>
    <w:rsid w:val="00450FCB"/>
    <w:rsid w:val="0045251A"/>
    <w:rsid w:val="00453CB4"/>
    <w:rsid w:val="00453CEC"/>
    <w:rsid w:val="00457049"/>
    <w:rsid w:val="004578A9"/>
    <w:rsid w:val="00461FAD"/>
    <w:rsid w:val="00467608"/>
    <w:rsid w:val="00470627"/>
    <w:rsid w:val="004732E4"/>
    <w:rsid w:val="00473FC4"/>
    <w:rsid w:val="0047434C"/>
    <w:rsid w:val="00476405"/>
    <w:rsid w:val="004774F4"/>
    <w:rsid w:val="0047773F"/>
    <w:rsid w:val="004803A1"/>
    <w:rsid w:val="004809D8"/>
    <w:rsid w:val="00480ECB"/>
    <w:rsid w:val="004815F2"/>
    <w:rsid w:val="004816EE"/>
    <w:rsid w:val="00482C73"/>
    <w:rsid w:val="00485CE1"/>
    <w:rsid w:val="00486D29"/>
    <w:rsid w:val="00486F9C"/>
    <w:rsid w:val="00491563"/>
    <w:rsid w:val="0049329E"/>
    <w:rsid w:val="00495059"/>
    <w:rsid w:val="00495C1B"/>
    <w:rsid w:val="004A13F7"/>
    <w:rsid w:val="004A2F2C"/>
    <w:rsid w:val="004A4713"/>
    <w:rsid w:val="004A6789"/>
    <w:rsid w:val="004A77FA"/>
    <w:rsid w:val="004B00E7"/>
    <w:rsid w:val="004B1B23"/>
    <w:rsid w:val="004B257E"/>
    <w:rsid w:val="004B3ABC"/>
    <w:rsid w:val="004B4560"/>
    <w:rsid w:val="004B5918"/>
    <w:rsid w:val="004B7DC5"/>
    <w:rsid w:val="004B7E78"/>
    <w:rsid w:val="004C003C"/>
    <w:rsid w:val="004C00C2"/>
    <w:rsid w:val="004C06B0"/>
    <w:rsid w:val="004C09B6"/>
    <w:rsid w:val="004C1CAB"/>
    <w:rsid w:val="004C1E80"/>
    <w:rsid w:val="004C238C"/>
    <w:rsid w:val="004C37E0"/>
    <w:rsid w:val="004C6AF1"/>
    <w:rsid w:val="004C7973"/>
    <w:rsid w:val="004D0982"/>
    <w:rsid w:val="004D1316"/>
    <w:rsid w:val="004D22F9"/>
    <w:rsid w:val="004D2850"/>
    <w:rsid w:val="004D318C"/>
    <w:rsid w:val="004D478F"/>
    <w:rsid w:val="004D5343"/>
    <w:rsid w:val="004D61FE"/>
    <w:rsid w:val="004D7776"/>
    <w:rsid w:val="004E1654"/>
    <w:rsid w:val="004E220E"/>
    <w:rsid w:val="004E35B6"/>
    <w:rsid w:val="004E51C3"/>
    <w:rsid w:val="004E528A"/>
    <w:rsid w:val="004E79CE"/>
    <w:rsid w:val="004F0F55"/>
    <w:rsid w:val="004F2B57"/>
    <w:rsid w:val="004F2D4D"/>
    <w:rsid w:val="004F353F"/>
    <w:rsid w:val="004F3AAB"/>
    <w:rsid w:val="004F3E33"/>
    <w:rsid w:val="004F4235"/>
    <w:rsid w:val="004F43CC"/>
    <w:rsid w:val="004F6C8E"/>
    <w:rsid w:val="00500514"/>
    <w:rsid w:val="005032BE"/>
    <w:rsid w:val="00503794"/>
    <w:rsid w:val="00505114"/>
    <w:rsid w:val="0050556A"/>
    <w:rsid w:val="00510317"/>
    <w:rsid w:val="00511135"/>
    <w:rsid w:val="00511D68"/>
    <w:rsid w:val="00513CBB"/>
    <w:rsid w:val="00517CAF"/>
    <w:rsid w:val="0052017B"/>
    <w:rsid w:val="0052028D"/>
    <w:rsid w:val="00520D33"/>
    <w:rsid w:val="00522901"/>
    <w:rsid w:val="00522BC6"/>
    <w:rsid w:val="00523B91"/>
    <w:rsid w:val="00524F07"/>
    <w:rsid w:val="00526095"/>
    <w:rsid w:val="005262D6"/>
    <w:rsid w:val="00527621"/>
    <w:rsid w:val="00527D2F"/>
    <w:rsid w:val="00534D6D"/>
    <w:rsid w:val="00537EC0"/>
    <w:rsid w:val="005408C5"/>
    <w:rsid w:val="00541372"/>
    <w:rsid w:val="00541E73"/>
    <w:rsid w:val="00542193"/>
    <w:rsid w:val="00543208"/>
    <w:rsid w:val="00544F0E"/>
    <w:rsid w:val="00545DA6"/>
    <w:rsid w:val="00545E88"/>
    <w:rsid w:val="0054604F"/>
    <w:rsid w:val="00546399"/>
    <w:rsid w:val="0054671E"/>
    <w:rsid w:val="00546829"/>
    <w:rsid w:val="0055163C"/>
    <w:rsid w:val="00552814"/>
    <w:rsid w:val="00553126"/>
    <w:rsid w:val="00555DC4"/>
    <w:rsid w:val="00557555"/>
    <w:rsid w:val="00564594"/>
    <w:rsid w:val="00566491"/>
    <w:rsid w:val="00566B42"/>
    <w:rsid w:val="00567C10"/>
    <w:rsid w:val="0057034F"/>
    <w:rsid w:val="00570666"/>
    <w:rsid w:val="005708AB"/>
    <w:rsid w:val="00570F4B"/>
    <w:rsid w:val="005717CD"/>
    <w:rsid w:val="0057209E"/>
    <w:rsid w:val="00572B6D"/>
    <w:rsid w:val="0057485E"/>
    <w:rsid w:val="00576505"/>
    <w:rsid w:val="00576B4C"/>
    <w:rsid w:val="00576C54"/>
    <w:rsid w:val="00580416"/>
    <w:rsid w:val="00582B52"/>
    <w:rsid w:val="00583670"/>
    <w:rsid w:val="00585A14"/>
    <w:rsid w:val="00585B27"/>
    <w:rsid w:val="005860F5"/>
    <w:rsid w:val="00591382"/>
    <w:rsid w:val="005914FE"/>
    <w:rsid w:val="00591599"/>
    <w:rsid w:val="0059576F"/>
    <w:rsid w:val="00597D33"/>
    <w:rsid w:val="005A1B84"/>
    <w:rsid w:val="005A2C95"/>
    <w:rsid w:val="005A6E07"/>
    <w:rsid w:val="005A70B8"/>
    <w:rsid w:val="005A76AB"/>
    <w:rsid w:val="005B2B2B"/>
    <w:rsid w:val="005B36DA"/>
    <w:rsid w:val="005B3D37"/>
    <w:rsid w:val="005B4B5C"/>
    <w:rsid w:val="005B5CAE"/>
    <w:rsid w:val="005B7801"/>
    <w:rsid w:val="005B792D"/>
    <w:rsid w:val="005C0FF4"/>
    <w:rsid w:val="005C5293"/>
    <w:rsid w:val="005C5306"/>
    <w:rsid w:val="005D0211"/>
    <w:rsid w:val="005D19A1"/>
    <w:rsid w:val="005D6B01"/>
    <w:rsid w:val="005D6F5E"/>
    <w:rsid w:val="005E2F5D"/>
    <w:rsid w:val="005E3E99"/>
    <w:rsid w:val="005E64AD"/>
    <w:rsid w:val="005E652B"/>
    <w:rsid w:val="005F006C"/>
    <w:rsid w:val="005F1AFF"/>
    <w:rsid w:val="005F3C6E"/>
    <w:rsid w:val="005F7725"/>
    <w:rsid w:val="0060405C"/>
    <w:rsid w:val="00604718"/>
    <w:rsid w:val="006055F1"/>
    <w:rsid w:val="0060711B"/>
    <w:rsid w:val="0061036D"/>
    <w:rsid w:val="0061195B"/>
    <w:rsid w:val="00613922"/>
    <w:rsid w:val="00615B73"/>
    <w:rsid w:val="006165DB"/>
    <w:rsid w:val="00617CB1"/>
    <w:rsid w:val="00620CC0"/>
    <w:rsid w:val="006225D0"/>
    <w:rsid w:val="00624EDB"/>
    <w:rsid w:val="00627660"/>
    <w:rsid w:val="006279DE"/>
    <w:rsid w:val="00627CBC"/>
    <w:rsid w:val="00630127"/>
    <w:rsid w:val="00630763"/>
    <w:rsid w:val="00630CD3"/>
    <w:rsid w:val="00632DAA"/>
    <w:rsid w:val="00635E50"/>
    <w:rsid w:val="00637871"/>
    <w:rsid w:val="006455A7"/>
    <w:rsid w:val="00645C90"/>
    <w:rsid w:val="006465F2"/>
    <w:rsid w:val="0064693C"/>
    <w:rsid w:val="006502B6"/>
    <w:rsid w:val="006504BA"/>
    <w:rsid w:val="00650C62"/>
    <w:rsid w:val="00652A1F"/>
    <w:rsid w:val="00652E46"/>
    <w:rsid w:val="00653C60"/>
    <w:rsid w:val="006554B9"/>
    <w:rsid w:val="00655DC8"/>
    <w:rsid w:val="00657458"/>
    <w:rsid w:val="00657459"/>
    <w:rsid w:val="00664455"/>
    <w:rsid w:val="0066449E"/>
    <w:rsid w:val="00665AC0"/>
    <w:rsid w:val="006678A5"/>
    <w:rsid w:val="006703B6"/>
    <w:rsid w:val="00670868"/>
    <w:rsid w:val="00672904"/>
    <w:rsid w:val="006733B0"/>
    <w:rsid w:val="00674E44"/>
    <w:rsid w:val="00674E4A"/>
    <w:rsid w:val="00675ADB"/>
    <w:rsid w:val="00675C15"/>
    <w:rsid w:val="00676966"/>
    <w:rsid w:val="00677F20"/>
    <w:rsid w:val="006818B9"/>
    <w:rsid w:val="006845A5"/>
    <w:rsid w:val="00684A6F"/>
    <w:rsid w:val="00684EF2"/>
    <w:rsid w:val="00685AC9"/>
    <w:rsid w:val="0068783C"/>
    <w:rsid w:val="0069060C"/>
    <w:rsid w:val="00690C4E"/>
    <w:rsid w:val="00694584"/>
    <w:rsid w:val="00694CEC"/>
    <w:rsid w:val="0069572E"/>
    <w:rsid w:val="00695E35"/>
    <w:rsid w:val="00696B96"/>
    <w:rsid w:val="00697BC4"/>
    <w:rsid w:val="00697D7C"/>
    <w:rsid w:val="006A1FAE"/>
    <w:rsid w:val="006A2112"/>
    <w:rsid w:val="006A533E"/>
    <w:rsid w:val="006A5A9E"/>
    <w:rsid w:val="006B0B05"/>
    <w:rsid w:val="006B119C"/>
    <w:rsid w:val="006B159E"/>
    <w:rsid w:val="006B1BE3"/>
    <w:rsid w:val="006B1C10"/>
    <w:rsid w:val="006B2740"/>
    <w:rsid w:val="006B2F04"/>
    <w:rsid w:val="006B57B6"/>
    <w:rsid w:val="006B7192"/>
    <w:rsid w:val="006B7BC3"/>
    <w:rsid w:val="006C1E97"/>
    <w:rsid w:val="006C23B8"/>
    <w:rsid w:val="006C4719"/>
    <w:rsid w:val="006C52F1"/>
    <w:rsid w:val="006C6046"/>
    <w:rsid w:val="006D0A58"/>
    <w:rsid w:val="006D1B10"/>
    <w:rsid w:val="006D443E"/>
    <w:rsid w:val="006D4622"/>
    <w:rsid w:val="006D744E"/>
    <w:rsid w:val="006D765B"/>
    <w:rsid w:val="006D795C"/>
    <w:rsid w:val="006E043B"/>
    <w:rsid w:val="006E19D0"/>
    <w:rsid w:val="006E2BB7"/>
    <w:rsid w:val="006E4D55"/>
    <w:rsid w:val="006E5252"/>
    <w:rsid w:val="006E70BD"/>
    <w:rsid w:val="006E79BE"/>
    <w:rsid w:val="006F18DF"/>
    <w:rsid w:val="006F2BFF"/>
    <w:rsid w:val="006F3494"/>
    <w:rsid w:val="006F38C5"/>
    <w:rsid w:val="006F3AED"/>
    <w:rsid w:val="006F3B8E"/>
    <w:rsid w:val="006F4B9B"/>
    <w:rsid w:val="006F4EAA"/>
    <w:rsid w:val="006F574B"/>
    <w:rsid w:val="006F5B55"/>
    <w:rsid w:val="006F705E"/>
    <w:rsid w:val="006F7BB4"/>
    <w:rsid w:val="007011FD"/>
    <w:rsid w:val="00701FCD"/>
    <w:rsid w:val="0070321A"/>
    <w:rsid w:val="007036E9"/>
    <w:rsid w:val="00706657"/>
    <w:rsid w:val="0070740A"/>
    <w:rsid w:val="00710423"/>
    <w:rsid w:val="007109FB"/>
    <w:rsid w:val="00711CCB"/>
    <w:rsid w:val="00715030"/>
    <w:rsid w:val="0071581D"/>
    <w:rsid w:val="00720614"/>
    <w:rsid w:val="00724495"/>
    <w:rsid w:val="00724833"/>
    <w:rsid w:val="00725BEF"/>
    <w:rsid w:val="0072746B"/>
    <w:rsid w:val="00727FA4"/>
    <w:rsid w:val="00730396"/>
    <w:rsid w:val="007346BC"/>
    <w:rsid w:val="00737953"/>
    <w:rsid w:val="00741512"/>
    <w:rsid w:val="00744646"/>
    <w:rsid w:val="00744E9A"/>
    <w:rsid w:val="00745694"/>
    <w:rsid w:val="007457EA"/>
    <w:rsid w:val="00746061"/>
    <w:rsid w:val="00746485"/>
    <w:rsid w:val="007509CA"/>
    <w:rsid w:val="00751285"/>
    <w:rsid w:val="0075284A"/>
    <w:rsid w:val="00753745"/>
    <w:rsid w:val="00753F76"/>
    <w:rsid w:val="00757890"/>
    <w:rsid w:val="007609F9"/>
    <w:rsid w:val="00762E46"/>
    <w:rsid w:val="00765C04"/>
    <w:rsid w:val="007660D9"/>
    <w:rsid w:val="00766D03"/>
    <w:rsid w:val="00767AAA"/>
    <w:rsid w:val="00767EC2"/>
    <w:rsid w:val="0077260C"/>
    <w:rsid w:val="0077338E"/>
    <w:rsid w:val="00773412"/>
    <w:rsid w:val="00780F53"/>
    <w:rsid w:val="007830EE"/>
    <w:rsid w:val="0078344C"/>
    <w:rsid w:val="007840AF"/>
    <w:rsid w:val="007856E5"/>
    <w:rsid w:val="00786F2C"/>
    <w:rsid w:val="007919AB"/>
    <w:rsid w:val="00791A3F"/>
    <w:rsid w:val="00791D63"/>
    <w:rsid w:val="007932D9"/>
    <w:rsid w:val="00794118"/>
    <w:rsid w:val="007944F3"/>
    <w:rsid w:val="00794CA9"/>
    <w:rsid w:val="00797879"/>
    <w:rsid w:val="007A1AB1"/>
    <w:rsid w:val="007A2346"/>
    <w:rsid w:val="007A3A1D"/>
    <w:rsid w:val="007A69DA"/>
    <w:rsid w:val="007B0A54"/>
    <w:rsid w:val="007B3620"/>
    <w:rsid w:val="007B3E15"/>
    <w:rsid w:val="007B49D2"/>
    <w:rsid w:val="007B54E5"/>
    <w:rsid w:val="007B56C3"/>
    <w:rsid w:val="007B77D9"/>
    <w:rsid w:val="007C0AF0"/>
    <w:rsid w:val="007C0ED8"/>
    <w:rsid w:val="007C27A8"/>
    <w:rsid w:val="007C2A81"/>
    <w:rsid w:val="007C301A"/>
    <w:rsid w:val="007C4861"/>
    <w:rsid w:val="007C76DB"/>
    <w:rsid w:val="007C7C35"/>
    <w:rsid w:val="007D026A"/>
    <w:rsid w:val="007D1746"/>
    <w:rsid w:val="007D5B39"/>
    <w:rsid w:val="007D5D07"/>
    <w:rsid w:val="007D621B"/>
    <w:rsid w:val="007D7496"/>
    <w:rsid w:val="007E195F"/>
    <w:rsid w:val="007E1F91"/>
    <w:rsid w:val="007E3190"/>
    <w:rsid w:val="007E5B3C"/>
    <w:rsid w:val="007E6253"/>
    <w:rsid w:val="007E7A1B"/>
    <w:rsid w:val="007F045E"/>
    <w:rsid w:val="007F2651"/>
    <w:rsid w:val="007F38E1"/>
    <w:rsid w:val="007F5759"/>
    <w:rsid w:val="007F6157"/>
    <w:rsid w:val="007F7C16"/>
    <w:rsid w:val="00800B17"/>
    <w:rsid w:val="0080115C"/>
    <w:rsid w:val="00801FC4"/>
    <w:rsid w:val="008020E6"/>
    <w:rsid w:val="00803A76"/>
    <w:rsid w:val="00803FA1"/>
    <w:rsid w:val="0080673D"/>
    <w:rsid w:val="00814212"/>
    <w:rsid w:val="00814590"/>
    <w:rsid w:val="00814ECE"/>
    <w:rsid w:val="00820126"/>
    <w:rsid w:val="008253F4"/>
    <w:rsid w:val="00825F86"/>
    <w:rsid w:val="00827998"/>
    <w:rsid w:val="00830EFE"/>
    <w:rsid w:val="00831EA6"/>
    <w:rsid w:val="0083242A"/>
    <w:rsid w:val="00833E20"/>
    <w:rsid w:val="00840B0A"/>
    <w:rsid w:val="008420AD"/>
    <w:rsid w:val="00844B7C"/>
    <w:rsid w:val="00847309"/>
    <w:rsid w:val="00853F2F"/>
    <w:rsid w:val="008541FD"/>
    <w:rsid w:val="00854F2D"/>
    <w:rsid w:val="00855483"/>
    <w:rsid w:val="008556DB"/>
    <w:rsid w:val="008577E5"/>
    <w:rsid w:val="00861B03"/>
    <w:rsid w:val="00861BF0"/>
    <w:rsid w:val="00863C7C"/>
    <w:rsid w:val="008646E0"/>
    <w:rsid w:val="00866A6D"/>
    <w:rsid w:val="008709C5"/>
    <w:rsid w:val="008716F7"/>
    <w:rsid w:val="00871CB7"/>
    <w:rsid w:val="00875DA6"/>
    <w:rsid w:val="008763E6"/>
    <w:rsid w:val="0087731C"/>
    <w:rsid w:val="0088097E"/>
    <w:rsid w:val="00881CB1"/>
    <w:rsid w:val="008822F2"/>
    <w:rsid w:val="00882A7A"/>
    <w:rsid w:val="00882DC6"/>
    <w:rsid w:val="00884233"/>
    <w:rsid w:val="00885020"/>
    <w:rsid w:val="00885A5B"/>
    <w:rsid w:val="00887DCF"/>
    <w:rsid w:val="0089041B"/>
    <w:rsid w:val="00891A5B"/>
    <w:rsid w:val="008935C8"/>
    <w:rsid w:val="008940C4"/>
    <w:rsid w:val="00894BB4"/>
    <w:rsid w:val="008955DD"/>
    <w:rsid w:val="008A30E3"/>
    <w:rsid w:val="008A53BA"/>
    <w:rsid w:val="008A55FA"/>
    <w:rsid w:val="008A6DA0"/>
    <w:rsid w:val="008B3A35"/>
    <w:rsid w:val="008B3C89"/>
    <w:rsid w:val="008B4AE2"/>
    <w:rsid w:val="008B4AE5"/>
    <w:rsid w:val="008C0D80"/>
    <w:rsid w:val="008C0F3C"/>
    <w:rsid w:val="008C1649"/>
    <w:rsid w:val="008C30D6"/>
    <w:rsid w:val="008C4E7F"/>
    <w:rsid w:val="008C6F96"/>
    <w:rsid w:val="008D104B"/>
    <w:rsid w:val="008D1475"/>
    <w:rsid w:val="008D1986"/>
    <w:rsid w:val="008D20A0"/>
    <w:rsid w:val="008D2F1D"/>
    <w:rsid w:val="008D7133"/>
    <w:rsid w:val="008D76FC"/>
    <w:rsid w:val="008D7ACE"/>
    <w:rsid w:val="008E07DB"/>
    <w:rsid w:val="008E1017"/>
    <w:rsid w:val="008E1C73"/>
    <w:rsid w:val="008E2659"/>
    <w:rsid w:val="008E2B2C"/>
    <w:rsid w:val="008E3DD1"/>
    <w:rsid w:val="008E4FF6"/>
    <w:rsid w:val="008E5B79"/>
    <w:rsid w:val="008E69D9"/>
    <w:rsid w:val="008E75BC"/>
    <w:rsid w:val="008F45FB"/>
    <w:rsid w:val="008F4AAE"/>
    <w:rsid w:val="008F4F0B"/>
    <w:rsid w:val="008F571B"/>
    <w:rsid w:val="008F658A"/>
    <w:rsid w:val="00900921"/>
    <w:rsid w:val="00900AC1"/>
    <w:rsid w:val="00903DA8"/>
    <w:rsid w:val="00904D5E"/>
    <w:rsid w:val="00904E42"/>
    <w:rsid w:val="00905743"/>
    <w:rsid w:val="00906330"/>
    <w:rsid w:val="0090665B"/>
    <w:rsid w:val="00910F67"/>
    <w:rsid w:val="00912301"/>
    <w:rsid w:val="009138CB"/>
    <w:rsid w:val="00914B52"/>
    <w:rsid w:val="00920B21"/>
    <w:rsid w:val="009268A3"/>
    <w:rsid w:val="00927923"/>
    <w:rsid w:val="009319AF"/>
    <w:rsid w:val="0093399C"/>
    <w:rsid w:val="009339CC"/>
    <w:rsid w:val="009349FD"/>
    <w:rsid w:val="00934A20"/>
    <w:rsid w:val="009355F7"/>
    <w:rsid w:val="009360F2"/>
    <w:rsid w:val="00937C15"/>
    <w:rsid w:val="00941CD9"/>
    <w:rsid w:val="0094319A"/>
    <w:rsid w:val="00943DED"/>
    <w:rsid w:val="00943E22"/>
    <w:rsid w:val="00944B6E"/>
    <w:rsid w:val="00944BE3"/>
    <w:rsid w:val="00944D95"/>
    <w:rsid w:val="00944E78"/>
    <w:rsid w:val="009520B9"/>
    <w:rsid w:val="009554D9"/>
    <w:rsid w:val="0095656D"/>
    <w:rsid w:val="00956DBF"/>
    <w:rsid w:val="00960291"/>
    <w:rsid w:val="00960850"/>
    <w:rsid w:val="00963126"/>
    <w:rsid w:val="00963A15"/>
    <w:rsid w:val="009645D1"/>
    <w:rsid w:val="009647DC"/>
    <w:rsid w:val="00965ECF"/>
    <w:rsid w:val="00965F7F"/>
    <w:rsid w:val="00967444"/>
    <w:rsid w:val="00967A32"/>
    <w:rsid w:val="00972151"/>
    <w:rsid w:val="0097228E"/>
    <w:rsid w:val="00972C9C"/>
    <w:rsid w:val="00973BE7"/>
    <w:rsid w:val="00974044"/>
    <w:rsid w:val="0097721B"/>
    <w:rsid w:val="00977CD7"/>
    <w:rsid w:val="009807A0"/>
    <w:rsid w:val="0098109D"/>
    <w:rsid w:val="00981961"/>
    <w:rsid w:val="00981E8E"/>
    <w:rsid w:val="00983843"/>
    <w:rsid w:val="0098431F"/>
    <w:rsid w:val="009849AF"/>
    <w:rsid w:val="00985805"/>
    <w:rsid w:val="00985ADE"/>
    <w:rsid w:val="00985EEA"/>
    <w:rsid w:val="009875B7"/>
    <w:rsid w:val="009878C1"/>
    <w:rsid w:val="00990A9F"/>
    <w:rsid w:val="00991C1B"/>
    <w:rsid w:val="009935B0"/>
    <w:rsid w:val="0099515C"/>
    <w:rsid w:val="00995921"/>
    <w:rsid w:val="00995B13"/>
    <w:rsid w:val="009978E8"/>
    <w:rsid w:val="009A07E3"/>
    <w:rsid w:val="009A09A3"/>
    <w:rsid w:val="009A352A"/>
    <w:rsid w:val="009B04A2"/>
    <w:rsid w:val="009B25BE"/>
    <w:rsid w:val="009B29D9"/>
    <w:rsid w:val="009B3B73"/>
    <w:rsid w:val="009B4BA0"/>
    <w:rsid w:val="009B5476"/>
    <w:rsid w:val="009B5943"/>
    <w:rsid w:val="009B612D"/>
    <w:rsid w:val="009B69B5"/>
    <w:rsid w:val="009B7C2E"/>
    <w:rsid w:val="009C0C30"/>
    <w:rsid w:val="009C0FE4"/>
    <w:rsid w:val="009C439B"/>
    <w:rsid w:val="009C4E4B"/>
    <w:rsid w:val="009D1357"/>
    <w:rsid w:val="009D1932"/>
    <w:rsid w:val="009D32EC"/>
    <w:rsid w:val="009D4599"/>
    <w:rsid w:val="009D5BD0"/>
    <w:rsid w:val="009D606F"/>
    <w:rsid w:val="009E11C3"/>
    <w:rsid w:val="009E31B6"/>
    <w:rsid w:val="009E33F1"/>
    <w:rsid w:val="009E3E04"/>
    <w:rsid w:val="009E4B38"/>
    <w:rsid w:val="009E518A"/>
    <w:rsid w:val="009E6549"/>
    <w:rsid w:val="009E77F0"/>
    <w:rsid w:val="009E7BA5"/>
    <w:rsid w:val="009F02CA"/>
    <w:rsid w:val="009F0965"/>
    <w:rsid w:val="009F13F7"/>
    <w:rsid w:val="009F25C4"/>
    <w:rsid w:val="009F3AF6"/>
    <w:rsid w:val="009F5BF1"/>
    <w:rsid w:val="00A01067"/>
    <w:rsid w:val="00A0155E"/>
    <w:rsid w:val="00A03BC2"/>
    <w:rsid w:val="00A05BFA"/>
    <w:rsid w:val="00A06026"/>
    <w:rsid w:val="00A06DCB"/>
    <w:rsid w:val="00A14F6C"/>
    <w:rsid w:val="00A1662A"/>
    <w:rsid w:val="00A205B2"/>
    <w:rsid w:val="00A21995"/>
    <w:rsid w:val="00A22DB2"/>
    <w:rsid w:val="00A23FA7"/>
    <w:rsid w:val="00A2600A"/>
    <w:rsid w:val="00A2657F"/>
    <w:rsid w:val="00A30F4C"/>
    <w:rsid w:val="00A31299"/>
    <w:rsid w:val="00A36248"/>
    <w:rsid w:val="00A4189A"/>
    <w:rsid w:val="00A41AF4"/>
    <w:rsid w:val="00A42E14"/>
    <w:rsid w:val="00A44056"/>
    <w:rsid w:val="00A51B2F"/>
    <w:rsid w:val="00A52433"/>
    <w:rsid w:val="00A52539"/>
    <w:rsid w:val="00A54EFC"/>
    <w:rsid w:val="00A5549C"/>
    <w:rsid w:val="00A63427"/>
    <w:rsid w:val="00A63D89"/>
    <w:rsid w:val="00A644D0"/>
    <w:rsid w:val="00A66368"/>
    <w:rsid w:val="00A66763"/>
    <w:rsid w:val="00A679DB"/>
    <w:rsid w:val="00A67CAD"/>
    <w:rsid w:val="00A70547"/>
    <w:rsid w:val="00A71828"/>
    <w:rsid w:val="00A71FCD"/>
    <w:rsid w:val="00A72C8D"/>
    <w:rsid w:val="00A72DE4"/>
    <w:rsid w:val="00A743C5"/>
    <w:rsid w:val="00A75D56"/>
    <w:rsid w:val="00A7651C"/>
    <w:rsid w:val="00A76870"/>
    <w:rsid w:val="00A77437"/>
    <w:rsid w:val="00A80037"/>
    <w:rsid w:val="00A80294"/>
    <w:rsid w:val="00A80F35"/>
    <w:rsid w:val="00A827E2"/>
    <w:rsid w:val="00A82975"/>
    <w:rsid w:val="00A830F1"/>
    <w:rsid w:val="00A84B10"/>
    <w:rsid w:val="00A84D20"/>
    <w:rsid w:val="00A8585A"/>
    <w:rsid w:val="00A86F5D"/>
    <w:rsid w:val="00A876CD"/>
    <w:rsid w:val="00A92E32"/>
    <w:rsid w:val="00A92FCE"/>
    <w:rsid w:val="00A97A90"/>
    <w:rsid w:val="00AA31C9"/>
    <w:rsid w:val="00AA3D9B"/>
    <w:rsid w:val="00AA3F76"/>
    <w:rsid w:val="00AA6A98"/>
    <w:rsid w:val="00AA721B"/>
    <w:rsid w:val="00AA74E5"/>
    <w:rsid w:val="00AB1BD3"/>
    <w:rsid w:val="00AB1D7E"/>
    <w:rsid w:val="00AB3024"/>
    <w:rsid w:val="00AB4C21"/>
    <w:rsid w:val="00AB4DB8"/>
    <w:rsid w:val="00AB7EA6"/>
    <w:rsid w:val="00AC08D1"/>
    <w:rsid w:val="00AC1E96"/>
    <w:rsid w:val="00AC2CA3"/>
    <w:rsid w:val="00AC4357"/>
    <w:rsid w:val="00AD4757"/>
    <w:rsid w:val="00AD56D0"/>
    <w:rsid w:val="00AD797F"/>
    <w:rsid w:val="00AD7A65"/>
    <w:rsid w:val="00AE0EBC"/>
    <w:rsid w:val="00AE454B"/>
    <w:rsid w:val="00AE7E4E"/>
    <w:rsid w:val="00AF2A14"/>
    <w:rsid w:val="00AF4020"/>
    <w:rsid w:val="00AF5DCA"/>
    <w:rsid w:val="00AF5E38"/>
    <w:rsid w:val="00AF7B6B"/>
    <w:rsid w:val="00B039ED"/>
    <w:rsid w:val="00B0515D"/>
    <w:rsid w:val="00B05298"/>
    <w:rsid w:val="00B10375"/>
    <w:rsid w:val="00B116D6"/>
    <w:rsid w:val="00B15942"/>
    <w:rsid w:val="00B16B18"/>
    <w:rsid w:val="00B16F20"/>
    <w:rsid w:val="00B16F4B"/>
    <w:rsid w:val="00B20CFF"/>
    <w:rsid w:val="00B21763"/>
    <w:rsid w:val="00B2231E"/>
    <w:rsid w:val="00B224A8"/>
    <w:rsid w:val="00B22C52"/>
    <w:rsid w:val="00B22D9E"/>
    <w:rsid w:val="00B23BC3"/>
    <w:rsid w:val="00B314F2"/>
    <w:rsid w:val="00B33386"/>
    <w:rsid w:val="00B35190"/>
    <w:rsid w:val="00B358FF"/>
    <w:rsid w:val="00B37413"/>
    <w:rsid w:val="00B37705"/>
    <w:rsid w:val="00B40DB8"/>
    <w:rsid w:val="00B42767"/>
    <w:rsid w:val="00B4331D"/>
    <w:rsid w:val="00B43B8E"/>
    <w:rsid w:val="00B50E89"/>
    <w:rsid w:val="00B52C81"/>
    <w:rsid w:val="00B53F71"/>
    <w:rsid w:val="00B543DD"/>
    <w:rsid w:val="00B54D92"/>
    <w:rsid w:val="00B54F43"/>
    <w:rsid w:val="00B55571"/>
    <w:rsid w:val="00B57FE0"/>
    <w:rsid w:val="00B60B53"/>
    <w:rsid w:val="00B64C65"/>
    <w:rsid w:val="00B655A2"/>
    <w:rsid w:val="00B67C0B"/>
    <w:rsid w:val="00B70544"/>
    <w:rsid w:val="00B707BC"/>
    <w:rsid w:val="00B7244E"/>
    <w:rsid w:val="00B75F1E"/>
    <w:rsid w:val="00B77F68"/>
    <w:rsid w:val="00B801B9"/>
    <w:rsid w:val="00B82B9B"/>
    <w:rsid w:val="00B82EEA"/>
    <w:rsid w:val="00B85A21"/>
    <w:rsid w:val="00B8681B"/>
    <w:rsid w:val="00B90093"/>
    <w:rsid w:val="00B91EF7"/>
    <w:rsid w:val="00B923D2"/>
    <w:rsid w:val="00B92D76"/>
    <w:rsid w:val="00B93208"/>
    <w:rsid w:val="00B93639"/>
    <w:rsid w:val="00B93738"/>
    <w:rsid w:val="00B93E66"/>
    <w:rsid w:val="00B93F9A"/>
    <w:rsid w:val="00B941D0"/>
    <w:rsid w:val="00B965EE"/>
    <w:rsid w:val="00BA0DEB"/>
    <w:rsid w:val="00BA298C"/>
    <w:rsid w:val="00BA4A3A"/>
    <w:rsid w:val="00BA5368"/>
    <w:rsid w:val="00BA5723"/>
    <w:rsid w:val="00BA5C06"/>
    <w:rsid w:val="00BB098C"/>
    <w:rsid w:val="00BB119C"/>
    <w:rsid w:val="00BB2F44"/>
    <w:rsid w:val="00BB467F"/>
    <w:rsid w:val="00BB5146"/>
    <w:rsid w:val="00BC1DFC"/>
    <w:rsid w:val="00BC2C9A"/>
    <w:rsid w:val="00BC618D"/>
    <w:rsid w:val="00BC7B2E"/>
    <w:rsid w:val="00BD0263"/>
    <w:rsid w:val="00BD1C17"/>
    <w:rsid w:val="00BD385B"/>
    <w:rsid w:val="00BD5675"/>
    <w:rsid w:val="00BD5FA4"/>
    <w:rsid w:val="00BD5FBE"/>
    <w:rsid w:val="00BD6912"/>
    <w:rsid w:val="00BE1A55"/>
    <w:rsid w:val="00BE6C23"/>
    <w:rsid w:val="00BE6E94"/>
    <w:rsid w:val="00BF0BFD"/>
    <w:rsid w:val="00BF2ADA"/>
    <w:rsid w:val="00BF2C57"/>
    <w:rsid w:val="00BF533A"/>
    <w:rsid w:val="00BF5985"/>
    <w:rsid w:val="00BF5E91"/>
    <w:rsid w:val="00BF745E"/>
    <w:rsid w:val="00C02F1B"/>
    <w:rsid w:val="00C045DF"/>
    <w:rsid w:val="00C05326"/>
    <w:rsid w:val="00C06466"/>
    <w:rsid w:val="00C06FD6"/>
    <w:rsid w:val="00C074AE"/>
    <w:rsid w:val="00C1281F"/>
    <w:rsid w:val="00C1366D"/>
    <w:rsid w:val="00C14BF6"/>
    <w:rsid w:val="00C14D6A"/>
    <w:rsid w:val="00C15F0C"/>
    <w:rsid w:val="00C16608"/>
    <w:rsid w:val="00C2260D"/>
    <w:rsid w:val="00C232BE"/>
    <w:rsid w:val="00C23B56"/>
    <w:rsid w:val="00C254CC"/>
    <w:rsid w:val="00C257D4"/>
    <w:rsid w:val="00C27AFA"/>
    <w:rsid w:val="00C30778"/>
    <w:rsid w:val="00C3145D"/>
    <w:rsid w:val="00C31AC1"/>
    <w:rsid w:val="00C32563"/>
    <w:rsid w:val="00C34E71"/>
    <w:rsid w:val="00C37115"/>
    <w:rsid w:val="00C42A78"/>
    <w:rsid w:val="00C43281"/>
    <w:rsid w:val="00C43919"/>
    <w:rsid w:val="00C44595"/>
    <w:rsid w:val="00C50548"/>
    <w:rsid w:val="00C51912"/>
    <w:rsid w:val="00C52701"/>
    <w:rsid w:val="00C53F4A"/>
    <w:rsid w:val="00C56181"/>
    <w:rsid w:val="00C56371"/>
    <w:rsid w:val="00C60C25"/>
    <w:rsid w:val="00C64B42"/>
    <w:rsid w:val="00C65BF3"/>
    <w:rsid w:val="00C675BF"/>
    <w:rsid w:val="00C707B7"/>
    <w:rsid w:val="00C7172D"/>
    <w:rsid w:val="00C72C28"/>
    <w:rsid w:val="00C73769"/>
    <w:rsid w:val="00C73BAA"/>
    <w:rsid w:val="00C73C47"/>
    <w:rsid w:val="00C73D58"/>
    <w:rsid w:val="00C7538D"/>
    <w:rsid w:val="00C76904"/>
    <w:rsid w:val="00C76D79"/>
    <w:rsid w:val="00C77D7B"/>
    <w:rsid w:val="00C80319"/>
    <w:rsid w:val="00C84673"/>
    <w:rsid w:val="00C8546B"/>
    <w:rsid w:val="00C8648C"/>
    <w:rsid w:val="00C91012"/>
    <w:rsid w:val="00C92599"/>
    <w:rsid w:val="00C93A06"/>
    <w:rsid w:val="00C95466"/>
    <w:rsid w:val="00CA1850"/>
    <w:rsid w:val="00CA46BC"/>
    <w:rsid w:val="00CA6675"/>
    <w:rsid w:val="00CA6ABC"/>
    <w:rsid w:val="00CA7A9B"/>
    <w:rsid w:val="00CA7B51"/>
    <w:rsid w:val="00CB02D4"/>
    <w:rsid w:val="00CB068F"/>
    <w:rsid w:val="00CB0B55"/>
    <w:rsid w:val="00CB5110"/>
    <w:rsid w:val="00CB6700"/>
    <w:rsid w:val="00CB770F"/>
    <w:rsid w:val="00CB777F"/>
    <w:rsid w:val="00CB7A18"/>
    <w:rsid w:val="00CB7BBC"/>
    <w:rsid w:val="00CB7D4B"/>
    <w:rsid w:val="00CC098B"/>
    <w:rsid w:val="00CC186B"/>
    <w:rsid w:val="00CC1F7D"/>
    <w:rsid w:val="00CC2367"/>
    <w:rsid w:val="00CC2715"/>
    <w:rsid w:val="00CC3795"/>
    <w:rsid w:val="00CD0491"/>
    <w:rsid w:val="00CD0572"/>
    <w:rsid w:val="00CD25E2"/>
    <w:rsid w:val="00CD4576"/>
    <w:rsid w:val="00CD55D0"/>
    <w:rsid w:val="00CD7EE5"/>
    <w:rsid w:val="00CE048B"/>
    <w:rsid w:val="00CE15C1"/>
    <w:rsid w:val="00CE3F69"/>
    <w:rsid w:val="00CE455E"/>
    <w:rsid w:val="00CE69E6"/>
    <w:rsid w:val="00CE750E"/>
    <w:rsid w:val="00CF0352"/>
    <w:rsid w:val="00CF2077"/>
    <w:rsid w:val="00CF3729"/>
    <w:rsid w:val="00CF3D72"/>
    <w:rsid w:val="00CF430F"/>
    <w:rsid w:val="00CF4B61"/>
    <w:rsid w:val="00CF5244"/>
    <w:rsid w:val="00CF5EB1"/>
    <w:rsid w:val="00CF71A8"/>
    <w:rsid w:val="00D01C3A"/>
    <w:rsid w:val="00D02817"/>
    <w:rsid w:val="00D06976"/>
    <w:rsid w:val="00D10465"/>
    <w:rsid w:val="00D108A8"/>
    <w:rsid w:val="00D11D04"/>
    <w:rsid w:val="00D131AE"/>
    <w:rsid w:val="00D13BB3"/>
    <w:rsid w:val="00D14AEF"/>
    <w:rsid w:val="00D14F4B"/>
    <w:rsid w:val="00D15EDA"/>
    <w:rsid w:val="00D16EC8"/>
    <w:rsid w:val="00D2088D"/>
    <w:rsid w:val="00D21650"/>
    <w:rsid w:val="00D21711"/>
    <w:rsid w:val="00D21F62"/>
    <w:rsid w:val="00D231F3"/>
    <w:rsid w:val="00D24CC7"/>
    <w:rsid w:val="00D24D93"/>
    <w:rsid w:val="00D25243"/>
    <w:rsid w:val="00D275CE"/>
    <w:rsid w:val="00D3129C"/>
    <w:rsid w:val="00D325D9"/>
    <w:rsid w:val="00D32A1F"/>
    <w:rsid w:val="00D32AAA"/>
    <w:rsid w:val="00D3300E"/>
    <w:rsid w:val="00D334CD"/>
    <w:rsid w:val="00D36E7C"/>
    <w:rsid w:val="00D40CEE"/>
    <w:rsid w:val="00D43492"/>
    <w:rsid w:val="00D43B60"/>
    <w:rsid w:val="00D44BC6"/>
    <w:rsid w:val="00D44D6B"/>
    <w:rsid w:val="00D50743"/>
    <w:rsid w:val="00D51EE2"/>
    <w:rsid w:val="00D52496"/>
    <w:rsid w:val="00D52D57"/>
    <w:rsid w:val="00D53BB1"/>
    <w:rsid w:val="00D54A2B"/>
    <w:rsid w:val="00D55E01"/>
    <w:rsid w:val="00D60815"/>
    <w:rsid w:val="00D60D82"/>
    <w:rsid w:val="00D61E8B"/>
    <w:rsid w:val="00D64F96"/>
    <w:rsid w:val="00D65577"/>
    <w:rsid w:val="00D65992"/>
    <w:rsid w:val="00D66437"/>
    <w:rsid w:val="00D70B74"/>
    <w:rsid w:val="00D7340C"/>
    <w:rsid w:val="00D73D9B"/>
    <w:rsid w:val="00D76A64"/>
    <w:rsid w:val="00D76C71"/>
    <w:rsid w:val="00D77547"/>
    <w:rsid w:val="00D80313"/>
    <w:rsid w:val="00D807AF"/>
    <w:rsid w:val="00D825CD"/>
    <w:rsid w:val="00D82951"/>
    <w:rsid w:val="00D82F3C"/>
    <w:rsid w:val="00D84240"/>
    <w:rsid w:val="00D863C1"/>
    <w:rsid w:val="00D87145"/>
    <w:rsid w:val="00D904B8"/>
    <w:rsid w:val="00D94A34"/>
    <w:rsid w:val="00D96276"/>
    <w:rsid w:val="00D96453"/>
    <w:rsid w:val="00D9661F"/>
    <w:rsid w:val="00D976B2"/>
    <w:rsid w:val="00DA66EC"/>
    <w:rsid w:val="00DB2179"/>
    <w:rsid w:val="00DB5E03"/>
    <w:rsid w:val="00DB7A95"/>
    <w:rsid w:val="00DC060A"/>
    <w:rsid w:val="00DC121D"/>
    <w:rsid w:val="00DC14A5"/>
    <w:rsid w:val="00DC49A0"/>
    <w:rsid w:val="00DC58CA"/>
    <w:rsid w:val="00DC5E1C"/>
    <w:rsid w:val="00DC62DF"/>
    <w:rsid w:val="00DD2611"/>
    <w:rsid w:val="00DD2D1E"/>
    <w:rsid w:val="00DD4EA6"/>
    <w:rsid w:val="00DD539A"/>
    <w:rsid w:val="00DD5606"/>
    <w:rsid w:val="00DD6685"/>
    <w:rsid w:val="00DD693C"/>
    <w:rsid w:val="00DE02AC"/>
    <w:rsid w:val="00DE1964"/>
    <w:rsid w:val="00DE1EC3"/>
    <w:rsid w:val="00DE2D61"/>
    <w:rsid w:val="00DE4D44"/>
    <w:rsid w:val="00DF0134"/>
    <w:rsid w:val="00DF3401"/>
    <w:rsid w:val="00DF5776"/>
    <w:rsid w:val="00DF5816"/>
    <w:rsid w:val="00DF64D2"/>
    <w:rsid w:val="00DF7D02"/>
    <w:rsid w:val="00E002E1"/>
    <w:rsid w:val="00E02541"/>
    <w:rsid w:val="00E027A1"/>
    <w:rsid w:val="00E0395F"/>
    <w:rsid w:val="00E0424F"/>
    <w:rsid w:val="00E06786"/>
    <w:rsid w:val="00E102A3"/>
    <w:rsid w:val="00E10FE6"/>
    <w:rsid w:val="00E11D2F"/>
    <w:rsid w:val="00E12B4D"/>
    <w:rsid w:val="00E14718"/>
    <w:rsid w:val="00E16D8A"/>
    <w:rsid w:val="00E17669"/>
    <w:rsid w:val="00E178AD"/>
    <w:rsid w:val="00E17A00"/>
    <w:rsid w:val="00E17A8D"/>
    <w:rsid w:val="00E17B1D"/>
    <w:rsid w:val="00E20B97"/>
    <w:rsid w:val="00E20CDF"/>
    <w:rsid w:val="00E20D9E"/>
    <w:rsid w:val="00E20DA1"/>
    <w:rsid w:val="00E22ED8"/>
    <w:rsid w:val="00E24832"/>
    <w:rsid w:val="00E25642"/>
    <w:rsid w:val="00E25773"/>
    <w:rsid w:val="00E32138"/>
    <w:rsid w:val="00E34CB7"/>
    <w:rsid w:val="00E34DF4"/>
    <w:rsid w:val="00E3568B"/>
    <w:rsid w:val="00E40B11"/>
    <w:rsid w:val="00E42F90"/>
    <w:rsid w:val="00E433CC"/>
    <w:rsid w:val="00E43D5D"/>
    <w:rsid w:val="00E504F6"/>
    <w:rsid w:val="00E52ADC"/>
    <w:rsid w:val="00E5527D"/>
    <w:rsid w:val="00E558DE"/>
    <w:rsid w:val="00E55C4C"/>
    <w:rsid w:val="00E56552"/>
    <w:rsid w:val="00E56774"/>
    <w:rsid w:val="00E61896"/>
    <w:rsid w:val="00E62E4A"/>
    <w:rsid w:val="00E639EC"/>
    <w:rsid w:val="00E64E66"/>
    <w:rsid w:val="00E7126E"/>
    <w:rsid w:val="00E73A32"/>
    <w:rsid w:val="00E747B9"/>
    <w:rsid w:val="00E74C60"/>
    <w:rsid w:val="00E75296"/>
    <w:rsid w:val="00E75D1C"/>
    <w:rsid w:val="00E7660E"/>
    <w:rsid w:val="00E77801"/>
    <w:rsid w:val="00E7797A"/>
    <w:rsid w:val="00E82B9B"/>
    <w:rsid w:val="00E85698"/>
    <w:rsid w:val="00E86CD2"/>
    <w:rsid w:val="00E90998"/>
    <w:rsid w:val="00E913A3"/>
    <w:rsid w:val="00E92902"/>
    <w:rsid w:val="00E92A31"/>
    <w:rsid w:val="00E93E10"/>
    <w:rsid w:val="00E95C7D"/>
    <w:rsid w:val="00E97907"/>
    <w:rsid w:val="00EA0B5F"/>
    <w:rsid w:val="00EA0C71"/>
    <w:rsid w:val="00EA1048"/>
    <w:rsid w:val="00EA1324"/>
    <w:rsid w:val="00EA1A95"/>
    <w:rsid w:val="00EA1F4B"/>
    <w:rsid w:val="00EA5016"/>
    <w:rsid w:val="00EA5DC5"/>
    <w:rsid w:val="00EB221C"/>
    <w:rsid w:val="00EB3147"/>
    <w:rsid w:val="00EB479E"/>
    <w:rsid w:val="00EB61CF"/>
    <w:rsid w:val="00EB65B3"/>
    <w:rsid w:val="00EB7486"/>
    <w:rsid w:val="00EC0536"/>
    <w:rsid w:val="00EC4007"/>
    <w:rsid w:val="00EC6CF9"/>
    <w:rsid w:val="00EC7D13"/>
    <w:rsid w:val="00EC7F80"/>
    <w:rsid w:val="00ED480F"/>
    <w:rsid w:val="00EE00BC"/>
    <w:rsid w:val="00EE039F"/>
    <w:rsid w:val="00EE03B1"/>
    <w:rsid w:val="00EE0F2E"/>
    <w:rsid w:val="00EE27F2"/>
    <w:rsid w:val="00EE3D73"/>
    <w:rsid w:val="00EE5ADE"/>
    <w:rsid w:val="00EE5B45"/>
    <w:rsid w:val="00EE6594"/>
    <w:rsid w:val="00EE65D4"/>
    <w:rsid w:val="00EE6D88"/>
    <w:rsid w:val="00EF26AA"/>
    <w:rsid w:val="00EF524B"/>
    <w:rsid w:val="00EF5B93"/>
    <w:rsid w:val="00F03160"/>
    <w:rsid w:val="00F04173"/>
    <w:rsid w:val="00F05B1A"/>
    <w:rsid w:val="00F10F22"/>
    <w:rsid w:val="00F139DE"/>
    <w:rsid w:val="00F140AC"/>
    <w:rsid w:val="00F1491A"/>
    <w:rsid w:val="00F15691"/>
    <w:rsid w:val="00F15C1D"/>
    <w:rsid w:val="00F16FB8"/>
    <w:rsid w:val="00F17D42"/>
    <w:rsid w:val="00F23061"/>
    <w:rsid w:val="00F2314C"/>
    <w:rsid w:val="00F23511"/>
    <w:rsid w:val="00F2386D"/>
    <w:rsid w:val="00F23BF8"/>
    <w:rsid w:val="00F24B80"/>
    <w:rsid w:val="00F260AF"/>
    <w:rsid w:val="00F268F0"/>
    <w:rsid w:val="00F306D7"/>
    <w:rsid w:val="00F338B8"/>
    <w:rsid w:val="00F34A03"/>
    <w:rsid w:val="00F37BE3"/>
    <w:rsid w:val="00F405D2"/>
    <w:rsid w:val="00F44123"/>
    <w:rsid w:val="00F47C29"/>
    <w:rsid w:val="00F50411"/>
    <w:rsid w:val="00F51597"/>
    <w:rsid w:val="00F54FE2"/>
    <w:rsid w:val="00F55419"/>
    <w:rsid w:val="00F576F4"/>
    <w:rsid w:val="00F62DF5"/>
    <w:rsid w:val="00F656B1"/>
    <w:rsid w:val="00F65A5D"/>
    <w:rsid w:val="00F715BC"/>
    <w:rsid w:val="00F72C68"/>
    <w:rsid w:val="00F73B15"/>
    <w:rsid w:val="00F7565C"/>
    <w:rsid w:val="00F7719C"/>
    <w:rsid w:val="00F8092D"/>
    <w:rsid w:val="00F814FB"/>
    <w:rsid w:val="00F836A0"/>
    <w:rsid w:val="00F84AE0"/>
    <w:rsid w:val="00F857C2"/>
    <w:rsid w:val="00F85FA4"/>
    <w:rsid w:val="00F87CD5"/>
    <w:rsid w:val="00F9089F"/>
    <w:rsid w:val="00F90C79"/>
    <w:rsid w:val="00F90C9F"/>
    <w:rsid w:val="00F91592"/>
    <w:rsid w:val="00F92648"/>
    <w:rsid w:val="00F935BC"/>
    <w:rsid w:val="00F94CCA"/>
    <w:rsid w:val="00F96025"/>
    <w:rsid w:val="00FA2A34"/>
    <w:rsid w:val="00FA2B4A"/>
    <w:rsid w:val="00FA5A4D"/>
    <w:rsid w:val="00FA5CA5"/>
    <w:rsid w:val="00FA6690"/>
    <w:rsid w:val="00FA75D7"/>
    <w:rsid w:val="00FB0E83"/>
    <w:rsid w:val="00FB11FE"/>
    <w:rsid w:val="00FB1B3B"/>
    <w:rsid w:val="00FB24AA"/>
    <w:rsid w:val="00FB2B8F"/>
    <w:rsid w:val="00FB42E8"/>
    <w:rsid w:val="00FB5739"/>
    <w:rsid w:val="00FB583D"/>
    <w:rsid w:val="00FB7F28"/>
    <w:rsid w:val="00FC0519"/>
    <w:rsid w:val="00FC0A77"/>
    <w:rsid w:val="00FC65BC"/>
    <w:rsid w:val="00FC6E2E"/>
    <w:rsid w:val="00FD082D"/>
    <w:rsid w:val="00FD33B4"/>
    <w:rsid w:val="00FD4EAB"/>
    <w:rsid w:val="00FD575B"/>
    <w:rsid w:val="00FE013D"/>
    <w:rsid w:val="00FE0C3D"/>
    <w:rsid w:val="00FE0DAB"/>
    <w:rsid w:val="00FE0E26"/>
    <w:rsid w:val="00FE21DD"/>
    <w:rsid w:val="00FE300A"/>
    <w:rsid w:val="00FE3430"/>
    <w:rsid w:val="00FE7F53"/>
    <w:rsid w:val="00FF027F"/>
    <w:rsid w:val="00FF1D93"/>
    <w:rsid w:val="00FF329B"/>
    <w:rsid w:val="00FF50AA"/>
    <w:rsid w:val="00FF64C8"/>
    <w:rsid w:val="00FF728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CB479"/>
  <w15:docId w15:val="{573ACA0C-1B1E-481C-A821-327B1E41F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ind w:right="28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FCD"/>
    <w:rPr>
      <w:rFonts w:eastAsia="Verdana" w:cs="Verdana"/>
      <w:sz w:val="24"/>
      <w:lang w:val="en-AU"/>
    </w:rPr>
  </w:style>
  <w:style w:type="paragraph" w:styleId="Heading1">
    <w:name w:val="heading 1"/>
    <w:basedOn w:val="Normal"/>
    <w:link w:val="Heading1Char"/>
    <w:uiPriority w:val="9"/>
    <w:qFormat/>
    <w:rsid w:val="00DE4D44"/>
    <w:pPr>
      <w:ind w:left="636" w:hanging="517"/>
      <w:outlineLvl w:val="0"/>
    </w:pPr>
    <w:rPr>
      <w:sz w:val="28"/>
      <w:szCs w:val="26"/>
    </w:rPr>
  </w:style>
  <w:style w:type="paragraph" w:styleId="Heading2">
    <w:name w:val="heading 2"/>
    <w:basedOn w:val="Normal"/>
    <w:next w:val="Normal"/>
    <w:link w:val="Heading2Char"/>
    <w:uiPriority w:val="9"/>
    <w:unhideWhenUsed/>
    <w:qFormat/>
    <w:rsid w:val="000A09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D4757"/>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unhideWhenUsed/>
    <w:qFormat/>
    <w:rsid w:val="00650C62"/>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650C62"/>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85"/>
      <w:ind w:left="650" w:right="1081"/>
    </w:pPr>
    <w:rPr>
      <w:rFonts w:ascii="Arial" w:eastAsia="Arial" w:hAnsi="Arial" w:cs="Arial"/>
      <w:b/>
      <w:bCs/>
      <w:sz w:val="48"/>
      <w:szCs w:val="48"/>
    </w:rPr>
  </w:style>
  <w:style w:type="paragraph" w:styleId="ListParagraph">
    <w:name w:val="List Paragraph"/>
    <w:basedOn w:val="Normal"/>
    <w:uiPriority w:val="34"/>
    <w:qFormat/>
    <w:pPr>
      <w:ind w:left="480" w:hanging="361"/>
    </w:pPr>
  </w:style>
  <w:style w:type="paragraph" w:customStyle="1" w:styleId="TableParagraph">
    <w:name w:val="Table Paragraph"/>
    <w:basedOn w:val="Normal"/>
    <w:uiPriority w:val="1"/>
    <w:qFormat/>
    <w:pPr>
      <w:ind w:left="107"/>
    </w:pPr>
    <w:rPr>
      <w:rFonts w:ascii="Calibri" w:eastAsia="Calibri" w:hAnsi="Calibri" w:cs="Calibri"/>
    </w:rPr>
  </w:style>
  <w:style w:type="paragraph" w:styleId="Caption">
    <w:name w:val="caption"/>
    <w:basedOn w:val="Normal"/>
    <w:next w:val="Normal"/>
    <w:uiPriority w:val="35"/>
    <w:unhideWhenUsed/>
    <w:qFormat/>
    <w:rsid w:val="00235928"/>
    <w:pPr>
      <w:spacing w:after="200"/>
    </w:pPr>
    <w:rPr>
      <w:iCs/>
      <w:color w:val="1F497D" w:themeColor="text2"/>
      <w:szCs w:val="18"/>
    </w:rPr>
  </w:style>
  <w:style w:type="paragraph" w:styleId="FootnoteText">
    <w:name w:val="footnote text"/>
    <w:basedOn w:val="Normal"/>
    <w:link w:val="FootnoteTextChar"/>
    <w:uiPriority w:val="99"/>
    <w:unhideWhenUsed/>
    <w:rsid w:val="00AA74E5"/>
    <w:rPr>
      <w:sz w:val="20"/>
      <w:szCs w:val="20"/>
    </w:rPr>
  </w:style>
  <w:style w:type="character" w:customStyle="1" w:styleId="FootnoteTextChar">
    <w:name w:val="Footnote Text Char"/>
    <w:basedOn w:val="DefaultParagraphFont"/>
    <w:link w:val="FootnoteText"/>
    <w:uiPriority w:val="99"/>
    <w:rsid w:val="00AA74E5"/>
    <w:rPr>
      <w:rFonts w:ascii="Verdana" w:eastAsia="Verdana" w:hAnsi="Verdana" w:cs="Verdana"/>
      <w:sz w:val="20"/>
      <w:szCs w:val="20"/>
      <w:lang w:val="en-AU"/>
    </w:rPr>
  </w:style>
  <w:style w:type="character" w:styleId="FootnoteReference">
    <w:name w:val="footnote reference"/>
    <w:basedOn w:val="DefaultParagraphFont"/>
    <w:uiPriority w:val="99"/>
    <w:unhideWhenUsed/>
    <w:rsid w:val="00AA74E5"/>
    <w:rPr>
      <w:vertAlign w:val="superscript"/>
    </w:rPr>
  </w:style>
  <w:style w:type="paragraph" w:customStyle="1" w:styleId="EndNoteBibliographyTitle">
    <w:name w:val="EndNote Bibliography Title"/>
    <w:basedOn w:val="Normal"/>
    <w:link w:val="EndNoteBibliographyTitleChar"/>
    <w:rsid w:val="00AA74E5"/>
    <w:pPr>
      <w:jc w:val="center"/>
    </w:pPr>
    <w:rPr>
      <w:rFonts w:ascii="Verdana" w:hAnsi="Verdana"/>
      <w:noProof/>
      <w:sz w:val="22"/>
      <w:lang w:val="en-US"/>
    </w:rPr>
  </w:style>
  <w:style w:type="character" w:customStyle="1" w:styleId="EndNoteBibliographyTitleChar">
    <w:name w:val="EndNote Bibliography Title Char"/>
    <w:basedOn w:val="FootnoteTextChar"/>
    <w:link w:val="EndNoteBibliographyTitle"/>
    <w:rsid w:val="00AA74E5"/>
    <w:rPr>
      <w:rFonts w:ascii="Verdana" w:eastAsia="Verdana" w:hAnsi="Verdana" w:cs="Verdana"/>
      <w:noProof/>
      <w:sz w:val="20"/>
      <w:szCs w:val="20"/>
      <w:lang w:val="en-AU"/>
    </w:rPr>
  </w:style>
  <w:style w:type="paragraph" w:customStyle="1" w:styleId="EndNoteBibliography">
    <w:name w:val="EndNote Bibliography"/>
    <w:basedOn w:val="Normal"/>
    <w:link w:val="EndNoteBibliographyChar"/>
    <w:rsid w:val="00AA74E5"/>
    <w:rPr>
      <w:rFonts w:ascii="Verdana" w:hAnsi="Verdana"/>
      <w:noProof/>
      <w:sz w:val="22"/>
      <w:lang w:val="en-US"/>
    </w:rPr>
  </w:style>
  <w:style w:type="character" w:customStyle="1" w:styleId="EndNoteBibliographyChar">
    <w:name w:val="EndNote Bibliography Char"/>
    <w:basedOn w:val="FootnoteTextChar"/>
    <w:link w:val="EndNoteBibliography"/>
    <w:rsid w:val="00AA74E5"/>
    <w:rPr>
      <w:rFonts w:ascii="Verdana" w:eastAsia="Verdana" w:hAnsi="Verdana" w:cs="Verdana"/>
      <w:noProof/>
      <w:sz w:val="20"/>
      <w:szCs w:val="20"/>
      <w:lang w:val="en-AU"/>
    </w:rPr>
  </w:style>
  <w:style w:type="character" w:customStyle="1" w:styleId="BodyTextChar">
    <w:name w:val="Body Text Char"/>
    <w:basedOn w:val="DefaultParagraphFont"/>
    <w:link w:val="BodyText"/>
    <w:uiPriority w:val="1"/>
    <w:rsid w:val="00685AC9"/>
    <w:rPr>
      <w:rFonts w:ascii="Verdana" w:eastAsia="Verdana" w:hAnsi="Verdana" w:cs="Verdana"/>
      <w:lang w:val="en-AU"/>
    </w:rPr>
  </w:style>
  <w:style w:type="character" w:styleId="IntenseEmphasis">
    <w:name w:val="Intense Emphasis"/>
    <w:basedOn w:val="DefaultParagraphFont"/>
    <w:uiPriority w:val="21"/>
    <w:qFormat/>
    <w:rsid w:val="000A09DC"/>
    <w:rPr>
      <w:i/>
      <w:iCs/>
      <w:color w:val="4F81BD" w:themeColor="accent1"/>
    </w:rPr>
  </w:style>
  <w:style w:type="character" w:customStyle="1" w:styleId="Heading2Char">
    <w:name w:val="Heading 2 Char"/>
    <w:basedOn w:val="DefaultParagraphFont"/>
    <w:link w:val="Heading2"/>
    <w:uiPriority w:val="9"/>
    <w:rsid w:val="000A09DC"/>
    <w:rPr>
      <w:rFonts w:asciiTheme="majorHAnsi" w:eastAsiaTheme="majorEastAsia" w:hAnsiTheme="majorHAnsi" w:cstheme="majorBidi"/>
      <w:color w:val="365F91" w:themeColor="accent1" w:themeShade="BF"/>
      <w:sz w:val="26"/>
      <w:szCs w:val="26"/>
      <w:lang w:val="en-AU"/>
    </w:rPr>
  </w:style>
  <w:style w:type="paragraph" w:styleId="BalloonText">
    <w:name w:val="Balloon Text"/>
    <w:basedOn w:val="Normal"/>
    <w:link w:val="BalloonTextChar"/>
    <w:uiPriority w:val="99"/>
    <w:semiHidden/>
    <w:unhideWhenUsed/>
    <w:rsid w:val="00B64C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C65"/>
    <w:rPr>
      <w:rFonts w:ascii="Segoe UI" w:eastAsia="Verdana" w:hAnsi="Segoe UI" w:cs="Segoe UI"/>
      <w:sz w:val="18"/>
      <w:szCs w:val="18"/>
      <w:lang w:val="en-AU"/>
    </w:rPr>
  </w:style>
  <w:style w:type="paragraph" w:styleId="NormalWeb">
    <w:name w:val="Normal (Web)"/>
    <w:basedOn w:val="Normal"/>
    <w:uiPriority w:val="99"/>
    <w:unhideWhenUsed/>
    <w:rsid w:val="00433436"/>
    <w:pPr>
      <w:spacing w:before="100" w:beforeAutospacing="1" w:after="100" w:afterAutospacing="1"/>
      <w:ind w:right="0"/>
    </w:pPr>
    <w:rPr>
      <w:rFonts w:ascii="Times New Roman" w:eastAsia="Times New Roman" w:hAnsi="Times New Roman" w:cs="Times New Roman"/>
      <w:szCs w:val="24"/>
      <w:lang w:eastAsia="en-AU"/>
    </w:rPr>
  </w:style>
  <w:style w:type="paragraph" w:styleId="Header">
    <w:name w:val="header"/>
    <w:basedOn w:val="Normal"/>
    <w:link w:val="HeaderChar"/>
    <w:uiPriority w:val="99"/>
    <w:unhideWhenUsed/>
    <w:rsid w:val="00433436"/>
    <w:pPr>
      <w:tabs>
        <w:tab w:val="center" w:pos="4513"/>
        <w:tab w:val="right" w:pos="9026"/>
      </w:tabs>
    </w:pPr>
  </w:style>
  <w:style w:type="character" w:customStyle="1" w:styleId="HeaderChar">
    <w:name w:val="Header Char"/>
    <w:basedOn w:val="DefaultParagraphFont"/>
    <w:link w:val="Header"/>
    <w:uiPriority w:val="99"/>
    <w:rsid w:val="00433436"/>
    <w:rPr>
      <w:rFonts w:ascii="Verdana" w:eastAsia="Verdana" w:hAnsi="Verdana" w:cs="Verdana"/>
      <w:lang w:val="en-AU"/>
    </w:rPr>
  </w:style>
  <w:style w:type="paragraph" w:styleId="Footer">
    <w:name w:val="footer"/>
    <w:basedOn w:val="Normal"/>
    <w:link w:val="FooterChar"/>
    <w:uiPriority w:val="99"/>
    <w:unhideWhenUsed/>
    <w:rsid w:val="00433436"/>
    <w:pPr>
      <w:tabs>
        <w:tab w:val="center" w:pos="4513"/>
        <w:tab w:val="right" w:pos="9026"/>
      </w:tabs>
    </w:pPr>
  </w:style>
  <w:style w:type="character" w:customStyle="1" w:styleId="FooterChar">
    <w:name w:val="Footer Char"/>
    <w:basedOn w:val="DefaultParagraphFont"/>
    <w:link w:val="Footer"/>
    <w:uiPriority w:val="99"/>
    <w:rsid w:val="00433436"/>
    <w:rPr>
      <w:rFonts w:ascii="Verdana" w:eastAsia="Verdana" w:hAnsi="Verdana" w:cs="Verdana"/>
      <w:lang w:val="en-AU"/>
    </w:rPr>
  </w:style>
  <w:style w:type="character" w:styleId="Hyperlink">
    <w:name w:val="Hyperlink"/>
    <w:basedOn w:val="DefaultParagraphFont"/>
    <w:uiPriority w:val="99"/>
    <w:unhideWhenUsed/>
    <w:rsid w:val="00672904"/>
    <w:rPr>
      <w:color w:val="0000FF"/>
      <w:u w:val="single"/>
    </w:rPr>
  </w:style>
  <w:style w:type="character" w:styleId="FollowedHyperlink">
    <w:name w:val="FollowedHyperlink"/>
    <w:basedOn w:val="DefaultParagraphFont"/>
    <w:uiPriority w:val="99"/>
    <w:semiHidden/>
    <w:unhideWhenUsed/>
    <w:rsid w:val="00A54EFC"/>
    <w:rPr>
      <w:color w:val="800080" w:themeColor="followedHyperlink"/>
      <w:u w:val="single"/>
    </w:rPr>
  </w:style>
  <w:style w:type="table" w:styleId="TableGrid">
    <w:name w:val="Table Grid"/>
    <w:basedOn w:val="TableNormal"/>
    <w:uiPriority w:val="59"/>
    <w:rsid w:val="00A92F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4506E"/>
    <w:rPr>
      <w:color w:val="605E5C"/>
      <w:shd w:val="clear" w:color="auto" w:fill="E1DFDD"/>
    </w:rPr>
  </w:style>
  <w:style w:type="character" w:customStyle="1" w:styleId="Heading3Char">
    <w:name w:val="Heading 3 Char"/>
    <w:basedOn w:val="DefaultParagraphFont"/>
    <w:link w:val="Heading3"/>
    <w:uiPriority w:val="9"/>
    <w:rsid w:val="00AD4757"/>
    <w:rPr>
      <w:rFonts w:asciiTheme="majorHAnsi" w:eastAsiaTheme="majorEastAsia" w:hAnsiTheme="majorHAnsi" w:cstheme="majorBidi"/>
      <w:color w:val="243F60" w:themeColor="accent1" w:themeShade="7F"/>
      <w:sz w:val="24"/>
      <w:szCs w:val="24"/>
      <w:lang w:val="en-AU"/>
    </w:rPr>
  </w:style>
  <w:style w:type="character" w:customStyle="1" w:styleId="Heading4Char">
    <w:name w:val="Heading 4 Char"/>
    <w:basedOn w:val="DefaultParagraphFont"/>
    <w:link w:val="Heading4"/>
    <w:uiPriority w:val="9"/>
    <w:rsid w:val="00650C62"/>
    <w:rPr>
      <w:rFonts w:asciiTheme="majorHAnsi" w:eastAsiaTheme="majorEastAsia" w:hAnsiTheme="majorHAnsi" w:cstheme="majorBidi"/>
      <w:i/>
      <w:iCs/>
      <w:color w:val="365F91" w:themeColor="accent1" w:themeShade="BF"/>
      <w:lang w:val="en-AU"/>
    </w:rPr>
  </w:style>
  <w:style w:type="character" w:customStyle="1" w:styleId="Heading5Char">
    <w:name w:val="Heading 5 Char"/>
    <w:basedOn w:val="DefaultParagraphFont"/>
    <w:link w:val="Heading5"/>
    <w:uiPriority w:val="9"/>
    <w:rsid w:val="00650C62"/>
    <w:rPr>
      <w:rFonts w:asciiTheme="majorHAnsi" w:eastAsiaTheme="majorEastAsia" w:hAnsiTheme="majorHAnsi" w:cstheme="majorBidi"/>
      <w:color w:val="365F91" w:themeColor="accent1" w:themeShade="BF"/>
      <w:lang w:val="en-AU"/>
    </w:rPr>
  </w:style>
  <w:style w:type="paragraph" w:styleId="TOCHeading">
    <w:name w:val="TOC Heading"/>
    <w:basedOn w:val="Heading1"/>
    <w:next w:val="Normal"/>
    <w:uiPriority w:val="39"/>
    <w:unhideWhenUsed/>
    <w:qFormat/>
    <w:rsid w:val="00D94A34"/>
    <w:pPr>
      <w:keepNext/>
      <w:keepLines/>
      <w:spacing w:before="480" w:line="276" w:lineRule="auto"/>
      <w:ind w:left="0" w:right="0" w:firstLine="0"/>
      <w:outlineLvl w:val="9"/>
    </w:pPr>
    <w:rPr>
      <w:rFonts w:asciiTheme="majorHAnsi" w:eastAsiaTheme="majorEastAsia" w:hAnsiTheme="majorHAnsi" w:cstheme="majorBidi"/>
      <w:b/>
      <w:bCs/>
      <w:color w:val="365F91" w:themeColor="accent1" w:themeShade="BF"/>
      <w:szCs w:val="28"/>
      <w:lang w:val="en-US"/>
    </w:rPr>
  </w:style>
  <w:style w:type="paragraph" w:styleId="TOC1">
    <w:name w:val="toc 1"/>
    <w:basedOn w:val="Normal"/>
    <w:next w:val="Normal"/>
    <w:autoRedefine/>
    <w:uiPriority w:val="39"/>
    <w:unhideWhenUsed/>
    <w:rsid w:val="00D94A34"/>
    <w:pPr>
      <w:spacing w:before="120"/>
    </w:pPr>
    <w:rPr>
      <w:rFonts w:cstheme="minorHAnsi"/>
      <w:b/>
      <w:bCs/>
      <w:i/>
      <w:iCs/>
      <w:szCs w:val="24"/>
    </w:rPr>
  </w:style>
  <w:style w:type="paragraph" w:styleId="TOC2">
    <w:name w:val="toc 2"/>
    <w:basedOn w:val="Normal"/>
    <w:next w:val="Normal"/>
    <w:autoRedefine/>
    <w:uiPriority w:val="39"/>
    <w:unhideWhenUsed/>
    <w:rsid w:val="00D94A34"/>
    <w:pPr>
      <w:spacing w:before="120"/>
      <w:ind w:left="240"/>
    </w:pPr>
    <w:rPr>
      <w:rFonts w:cstheme="minorHAnsi"/>
      <w:b/>
      <w:bCs/>
      <w:sz w:val="22"/>
    </w:rPr>
  </w:style>
  <w:style w:type="paragraph" w:styleId="TOC3">
    <w:name w:val="toc 3"/>
    <w:basedOn w:val="Normal"/>
    <w:next w:val="Normal"/>
    <w:autoRedefine/>
    <w:uiPriority w:val="39"/>
    <w:unhideWhenUsed/>
    <w:rsid w:val="00D94A34"/>
    <w:pPr>
      <w:ind w:left="480"/>
    </w:pPr>
    <w:rPr>
      <w:rFonts w:cstheme="minorHAnsi"/>
      <w:sz w:val="20"/>
      <w:szCs w:val="20"/>
    </w:rPr>
  </w:style>
  <w:style w:type="paragraph" w:styleId="TOC4">
    <w:name w:val="toc 4"/>
    <w:basedOn w:val="Normal"/>
    <w:next w:val="Normal"/>
    <w:autoRedefine/>
    <w:uiPriority w:val="39"/>
    <w:semiHidden/>
    <w:unhideWhenUsed/>
    <w:rsid w:val="00D94A34"/>
    <w:pPr>
      <w:ind w:left="720"/>
    </w:pPr>
    <w:rPr>
      <w:rFonts w:cstheme="minorHAnsi"/>
      <w:sz w:val="20"/>
      <w:szCs w:val="20"/>
    </w:rPr>
  </w:style>
  <w:style w:type="paragraph" w:styleId="TOC5">
    <w:name w:val="toc 5"/>
    <w:basedOn w:val="Normal"/>
    <w:next w:val="Normal"/>
    <w:autoRedefine/>
    <w:uiPriority w:val="39"/>
    <w:semiHidden/>
    <w:unhideWhenUsed/>
    <w:rsid w:val="00D94A34"/>
    <w:pPr>
      <w:ind w:left="960"/>
    </w:pPr>
    <w:rPr>
      <w:rFonts w:cstheme="minorHAnsi"/>
      <w:sz w:val="20"/>
      <w:szCs w:val="20"/>
    </w:rPr>
  </w:style>
  <w:style w:type="paragraph" w:styleId="TOC6">
    <w:name w:val="toc 6"/>
    <w:basedOn w:val="Normal"/>
    <w:next w:val="Normal"/>
    <w:autoRedefine/>
    <w:uiPriority w:val="39"/>
    <w:semiHidden/>
    <w:unhideWhenUsed/>
    <w:rsid w:val="00D94A34"/>
    <w:pPr>
      <w:ind w:left="1200"/>
    </w:pPr>
    <w:rPr>
      <w:rFonts w:cstheme="minorHAnsi"/>
      <w:sz w:val="20"/>
      <w:szCs w:val="20"/>
    </w:rPr>
  </w:style>
  <w:style w:type="paragraph" w:styleId="TOC7">
    <w:name w:val="toc 7"/>
    <w:basedOn w:val="Normal"/>
    <w:next w:val="Normal"/>
    <w:autoRedefine/>
    <w:uiPriority w:val="39"/>
    <w:semiHidden/>
    <w:unhideWhenUsed/>
    <w:rsid w:val="00D94A34"/>
    <w:pPr>
      <w:ind w:left="1440"/>
    </w:pPr>
    <w:rPr>
      <w:rFonts w:cstheme="minorHAnsi"/>
      <w:sz w:val="20"/>
      <w:szCs w:val="20"/>
    </w:rPr>
  </w:style>
  <w:style w:type="paragraph" w:styleId="TOC8">
    <w:name w:val="toc 8"/>
    <w:basedOn w:val="Normal"/>
    <w:next w:val="Normal"/>
    <w:autoRedefine/>
    <w:uiPriority w:val="39"/>
    <w:semiHidden/>
    <w:unhideWhenUsed/>
    <w:rsid w:val="00D94A34"/>
    <w:pPr>
      <w:ind w:left="1680"/>
    </w:pPr>
    <w:rPr>
      <w:rFonts w:cstheme="minorHAnsi"/>
      <w:sz w:val="20"/>
      <w:szCs w:val="20"/>
    </w:rPr>
  </w:style>
  <w:style w:type="paragraph" w:styleId="TOC9">
    <w:name w:val="toc 9"/>
    <w:basedOn w:val="Normal"/>
    <w:next w:val="Normal"/>
    <w:autoRedefine/>
    <w:uiPriority w:val="39"/>
    <w:semiHidden/>
    <w:unhideWhenUsed/>
    <w:rsid w:val="00D94A34"/>
    <w:pPr>
      <w:ind w:left="1920"/>
    </w:pPr>
    <w:rPr>
      <w:rFonts w:cstheme="minorHAnsi"/>
      <w:sz w:val="20"/>
      <w:szCs w:val="20"/>
    </w:rPr>
  </w:style>
  <w:style w:type="character" w:styleId="CommentReference">
    <w:name w:val="annotation reference"/>
    <w:basedOn w:val="DefaultParagraphFont"/>
    <w:uiPriority w:val="99"/>
    <w:semiHidden/>
    <w:unhideWhenUsed/>
    <w:rsid w:val="00B21763"/>
    <w:rPr>
      <w:sz w:val="16"/>
      <w:szCs w:val="16"/>
    </w:rPr>
  </w:style>
  <w:style w:type="paragraph" w:styleId="CommentText">
    <w:name w:val="annotation text"/>
    <w:basedOn w:val="Normal"/>
    <w:link w:val="CommentTextChar"/>
    <w:uiPriority w:val="99"/>
    <w:semiHidden/>
    <w:unhideWhenUsed/>
    <w:rsid w:val="00B21763"/>
    <w:rPr>
      <w:sz w:val="20"/>
      <w:szCs w:val="20"/>
    </w:rPr>
  </w:style>
  <w:style w:type="character" w:customStyle="1" w:styleId="CommentTextChar">
    <w:name w:val="Comment Text Char"/>
    <w:basedOn w:val="DefaultParagraphFont"/>
    <w:link w:val="CommentText"/>
    <w:uiPriority w:val="99"/>
    <w:semiHidden/>
    <w:rsid w:val="00B21763"/>
    <w:rPr>
      <w:rFonts w:eastAsia="Verdana" w:cs="Verdana"/>
      <w:sz w:val="20"/>
      <w:szCs w:val="20"/>
      <w:lang w:val="en-AU"/>
    </w:rPr>
  </w:style>
  <w:style w:type="paragraph" w:styleId="CommentSubject">
    <w:name w:val="annotation subject"/>
    <w:basedOn w:val="CommentText"/>
    <w:next w:val="CommentText"/>
    <w:link w:val="CommentSubjectChar"/>
    <w:uiPriority w:val="99"/>
    <w:semiHidden/>
    <w:unhideWhenUsed/>
    <w:rsid w:val="00B21763"/>
    <w:rPr>
      <w:b/>
      <w:bCs/>
    </w:rPr>
  </w:style>
  <w:style w:type="character" w:customStyle="1" w:styleId="CommentSubjectChar">
    <w:name w:val="Comment Subject Char"/>
    <w:basedOn w:val="CommentTextChar"/>
    <w:link w:val="CommentSubject"/>
    <w:uiPriority w:val="99"/>
    <w:semiHidden/>
    <w:rsid w:val="00B21763"/>
    <w:rPr>
      <w:rFonts w:eastAsia="Verdana" w:cs="Verdana"/>
      <w:b/>
      <w:bCs/>
      <w:sz w:val="20"/>
      <w:szCs w:val="20"/>
      <w:lang w:val="en-AU"/>
    </w:rPr>
  </w:style>
  <w:style w:type="paragraph" w:styleId="TableofFigures">
    <w:name w:val="table of figures"/>
    <w:basedOn w:val="Normal"/>
    <w:next w:val="Normal"/>
    <w:uiPriority w:val="99"/>
    <w:unhideWhenUsed/>
    <w:rsid w:val="00A80294"/>
  </w:style>
  <w:style w:type="paragraph" w:customStyle="1" w:styleId="Notes">
    <w:name w:val="Note(s)"/>
    <w:basedOn w:val="Normal"/>
    <w:uiPriority w:val="2"/>
    <w:qFormat/>
    <w:rsid w:val="00BA5723"/>
    <w:pPr>
      <w:tabs>
        <w:tab w:val="left" w:pos="709"/>
      </w:tabs>
      <w:ind w:left="709" w:right="0" w:hanging="709"/>
    </w:pPr>
    <w:rPr>
      <w:rFonts w:eastAsiaTheme="minorEastAsia" w:cstheme="minorBidi"/>
      <w:i/>
      <w:iCs/>
      <w:sz w:val="16"/>
      <w:szCs w:val="18"/>
      <w:lang w:eastAsia="zh-CN"/>
    </w:rPr>
  </w:style>
  <w:style w:type="character" w:customStyle="1" w:styleId="Heading1Char">
    <w:name w:val="Heading 1 Char"/>
    <w:basedOn w:val="DefaultParagraphFont"/>
    <w:link w:val="Heading1"/>
    <w:uiPriority w:val="9"/>
    <w:rsid w:val="00DE4D44"/>
    <w:rPr>
      <w:rFonts w:eastAsia="Verdana" w:cs="Verdana"/>
      <w:sz w:val="28"/>
      <w:szCs w:val="26"/>
      <w:lang w:val="en-AU"/>
    </w:rPr>
  </w:style>
  <w:style w:type="paragraph" w:customStyle="1" w:styleId="CaptionCallout">
    <w:name w:val="Caption Callout"/>
    <w:basedOn w:val="Normal"/>
    <w:qFormat/>
    <w:rsid w:val="00CB770F"/>
    <w:pPr>
      <w:spacing w:line="480" w:lineRule="auto"/>
      <w:ind w:right="0"/>
    </w:pPr>
    <w:rPr>
      <w:rFonts w:eastAsiaTheme="minorHAnsi" w:cstheme="minorBidi"/>
      <w:b/>
      <w:sz w:val="22"/>
      <w:lang w:val="en-US"/>
    </w:rPr>
  </w:style>
  <w:style w:type="paragraph" w:customStyle="1" w:styleId="Default">
    <w:name w:val="Default"/>
    <w:rsid w:val="00CB770F"/>
    <w:pPr>
      <w:autoSpaceDE w:val="0"/>
      <w:autoSpaceDN w:val="0"/>
      <w:adjustRightInd w:val="0"/>
      <w:ind w:right="0"/>
    </w:pPr>
    <w:rPr>
      <w:rFonts w:ascii="Calibri" w:hAnsi="Calibri" w:cs="Calibri"/>
      <w:color w:val="000000"/>
      <w:sz w:val="24"/>
      <w:szCs w:val="24"/>
      <w:lang w:val="en-AU"/>
    </w:rPr>
  </w:style>
  <w:style w:type="character" w:customStyle="1" w:styleId="CharSectno">
    <w:name w:val="CharSectno"/>
    <w:basedOn w:val="DefaultParagraphFont"/>
    <w:qFormat/>
    <w:rsid w:val="00741512"/>
  </w:style>
  <w:style w:type="paragraph" w:customStyle="1" w:styleId="subsection">
    <w:name w:val="subsection"/>
    <w:aliases w:val="ss"/>
    <w:basedOn w:val="Normal"/>
    <w:link w:val="subsectionChar"/>
    <w:rsid w:val="00741512"/>
    <w:pPr>
      <w:tabs>
        <w:tab w:val="right" w:pos="1021"/>
      </w:tabs>
      <w:spacing w:before="180"/>
      <w:ind w:left="1134" w:right="0" w:hanging="1134"/>
    </w:pPr>
    <w:rPr>
      <w:rFonts w:ascii="Times New Roman" w:eastAsia="Times New Roman" w:hAnsi="Times New Roman" w:cs="Times New Roman"/>
      <w:sz w:val="22"/>
      <w:szCs w:val="20"/>
      <w:lang w:eastAsia="en-AU"/>
    </w:rPr>
  </w:style>
  <w:style w:type="paragraph" w:customStyle="1" w:styleId="ActHead5">
    <w:name w:val="ActHead 5"/>
    <w:aliases w:val="s"/>
    <w:basedOn w:val="Normal"/>
    <w:next w:val="subsection"/>
    <w:link w:val="ActHead5Char"/>
    <w:qFormat/>
    <w:rsid w:val="00741512"/>
    <w:pPr>
      <w:keepNext/>
      <w:keepLines/>
      <w:spacing w:before="280"/>
      <w:ind w:left="1134" w:right="0" w:hanging="1134"/>
      <w:outlineLvl w:val="4"/>
    </w:pPr>
    <w:rPr>
      <w:rFonts w:ascii="Times New Roman" w:eastAsia="Times New Roman" w:hAnsi="Times New Roman" w:cs="Times New Roman"/>
      <w:b/>
      <w:kern w:val="28"/>
      <w:szCs w:val="20"/>
      <w:lang w:eastAsia="en-AU"/>
    </w:rPr>
  </w:style>
  <w:style w:type="character" w:customStyle="1" w:styleId="subsectionChar">
    <w:name w:val="subsection Char"/>
    <w:aliases w:val="ss Char"/>
    <w:basedOn w:val="DefaultParagraphFont"/>
    <w:link w:val="subsection"/>
    <w:rsid w:val="00741512"/>
    <w:rPr>
      <w:rFonts w:ascii="Times New Roman" w:eastAsia="Times New Roman" w:hAnsi="Times New Roman" w:cs="Times New Roman"/>
      <w:szCs w:val="20"/>
      <w:lang w:val="en-AU" w:eastAsia="en-AU"/>
    </w:rPr>
  </w:style>
  <w:style w:type="character" w:customStyle="1" w:styleId="ActHead5Char">
    <w:name w:val="ActHead 5 Char"/>
    <w:aliases w:val="s Char"/>
    <w:link w:val="ActHead5"/>
    <w:locked/>
    <w:rsid w:val="00741512"/>
    <w:rPr>
      <w:rFonts w:ascii="Times New Roman" w:eastAsia="Times New Roman" w:hAnsi="Times New Roman" w:cs="Times New Roman"/>
      <w:b/>
      <w:kern w:val="28"/>
      <w:sz w:val="24"/>
      <w:szCs w:val="20"/>
      <w:lang w:val="en-AU" w:eastAsia="en-AU"/>
    </w:rPr>
  </w:style>
  <w:style w:type="character" w:styleId="PlaceholderText">
    <w:name w:val="Placeholder Text"/>
    <w:basedOn w:val="DefaultParagraphFont"/>
    <w:uiPriority w:val="99"/>
    <w:semiHidden/>
    <w:rsid w:val="00861B03"/>
    <w:rPr>
      <w:color w:val="808080"/>
    </w:rPr>
  </w:style>
  <w:style w:type="character" w:styleId="Emphasis">
    <w:name w:val="Emphasis"/>
    <w:basedOn w:val="DefaultParagraphFont"/>
    <w:uiPriority w:val="20"/>
    <w:qFormat/>
    <w:rsid w:val="00D76C71"/>
    <w:rPr>
      <w:i/>
      <w:iCs/>
    </w:rPr>
  </w:style>
  <w:style w:type="paragraph" w:customStyle="1" w:styleId="Text">
    <w:name w:val="Text"/>
    <w:rsid w:val="00A82975"/>
    <w:pPr>
      <w:keepLines/>
      <w:autoSpaceDE w:val="0"/>
      <w:autoSpaceDN w:val="0"/>
      <w:spacing w:before="240"/>
      <w:ind w:left="720" w:right="0"/>
    </w:pPr>
    <w:rPr>
      <w:rFonts w:ascii="Times New Roman" w:eastAsia="Times New Roman" w:hAnsi="Times New Roman" w:cs="Times New Roman"/>
      <w:spacing w:val="-3"/>
      <w:sz w:val="20"/>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7951">
      <w:bodyDiv w:val="1"/>
      <w:marLeft w:val="0"/>
      <w:marRight w:val="0"/>
      <w:marTop w:val="0"/>
      <w:marBottom w:val="0"/>
      <w:divBdr>
        <w:top w:val="none" w:sz="0" w:space="0" w:color="auto"/>
        <w:left w:val="none" w:sz="0" w:space="0" w:color="auto"/>
        <w:bottom w:val="none" w:sz="0" w:space="0" w:color="auto"/>
        <w:right w:val="none" w:sz="0" w:space="0" w:color="auto"/>
      </w:divBdr>
      <w:divsChild>
        <w:div w:id="546138249">
          <w:marLeft w:val="480"/>
          <w:marRight w:val="0"/>
          <w:marTop w:val="0"/>
          <w:marBottom w:val="0"/>
          <w:divBdr>
            <w:top w:val="none" w:sz="0" w:space="0" w:color="auto"/>
            <w:left w:val="none" w:sz="0" w:space="0" w:color="auto"/>
            <w:bottom w:val="none" w:sz="0" w:space="0" w:color="auto"/>
            <w:right w:val="none" w:sz="0" w:space="0" w:color="auto"/>
          </w:divBdr>
        </w:div>
        <w:div w:id="1914512872">
          <w:marLeft w:val="480"/>
          <w:marRight w:val="0"/>
          <w:marTop w:val="0"/>
          <w:marBottom w:val="0"/>
          <w:divBdr>
            <w:top w:val="none" w:sz="0" w:space="0" w:color="auto"/>
            <w:left w:val="none" w:sz="0" w:space="0" w:color="auto"/>
            <w:bottom w:val="none" w:sz="0" w:space="0" w:color="auto"/>
            <w:right w:val="none" w:sz="0" w:space="0" w:color="auto"/>
          </w:divBdr>
        </w:div>
        <w:div w:id="1380469245">
          <w:marLeft w:val="480"/>
          <w:marRight w:val="0"/>
          <w:marTop w:val="0"/>
          <w:marBottom w:val="0"/>
          <w:divBdr>
            <w:top w:val="none" w:sz="0" w:space="0" w:color="auto"/>
            <w:left w:val="none" w:sz="0" w:space="0" w:color="auto"/>
            <w:bottom w:val="none" w:sz="0" w:space="0" w:color="auto"/>
            <w:right w:val="none" w:sz="0" w:space="0" w:color="auto"/>
          </w:divBdr>
        </w:div>
        <w:div w:id="93943499">
          <w:marLeft w:val="480"/>
          <w:marRight w:val="0"/>
          <w:marTop w:val="0"/>
          <w:marBottom w:val="0"/>
          <w:divBdr>
            <w:top w:val="none" w:sz="0" w:space="0" w:color="auto"/>
            <w:left w:val="none" w:sz="0" w:space="0" w:color="auto"/>
            <w:bottom w:val="none" w:sz="0" w:space="0" w:color="auto"/>
            <w:right w:val="none" w:sz="0" w:space="0" w:color="auto"/>
          </w:divBdr>
        </w:div>
      </w:divsChild>
    </w:div>
    <w:div w:id="71196603">
      <w:bodyDiv w:val="1"/>
      <w:marLeft w:val="0"/>
      <w:marRight w:val="0"/>
      <w:marTop w:val="0"/>
      <w:marBottom w:val="0"/>
      <w:divBdr>
        <w:top w:val="none" w:sz="0" w:space="0" w:color="auto"/>
        <w:left w:val="none" w:sz="0" w:space="0" w:color="auto"/>
        <w:bottom w:val="none" w:sz="0" w:space="0" w:color="auto"/>
        <w:right w:val="none" w:sz="0" w:space="0" w:color="auto"/>
      </w:divBdr>
    </w:div>
    <w:div w:id="185992603">
      <w:bodyDiv w:val="1"/>
      <w:marLeft w:val="0"/>
      <w:marRight w:val="0"/>
      <w:marTop w:val="0"/>
      <w:marBottom w:val="0"/>
      <w:divBdr>
        <w:top w:val="none" w:sz="0" w:space="0" w:color="auto"/>
        <w:left w:val="none" w:sz="0" w:space="0" w:color="auto"/>
        <w:bottom w:val="none" w:sz="0" w:space="0" w:color="auto"/>
        <w:right w:val="none" w:sz="0" w:space="0" w:color="auto"/>
      </w:divBdr>
    </w:div>
    <w:div w:id="204947157">
      <w:bodyDiv w:val="1"/>
      <w:marLeft w:val="0"/>
      <w:marRight w:val="0"/>
      <w:marTop w:val="0"/>
      <w:marBottom w:val="0"/>
      <w:divBdr>
        <w:top w:val="none" w:sz="0" w:space="0" w:color="auto"/>
        <w:left w:val="none" w:sz="0" w:space="0" w:color="auto"/>
        <w:bottom w:val="none" w:sz="0" w:space="0" w:color="auto"/>
        <w:right w:val="none" w:sz="0" w:space="0" w:color="auto"/>
      </w:divBdr>
      <w:divsChild>
        <w:div w:id="22901694">
          <w:marLeft w:val="480"/>
          <w:marRight w:val="0"/>
          <w:marTop w:val="0"/>
          <w:marBottom w:val="0"/>
          <w:divBdr>
            <w:top w:val="none" w:sz="0" w:space="0" w:color="auto"/>
            <w:left w:val="none" w:sz="0" w:space="0" w:color="auto"/>
            <w:bottom w:val="none" w:sz="0" w:space="0" w:color="auto"/>
            <w:right w:val="none" w:sz="0" w:space="0" w:color="auto"/>
          </w:divBdr>
        </w:div>
        <w:div w:id="1836258397">
          <w:marLeft w:val="480"/>
          <w:marRight w:val="0"/>
          <w:marTop w:val="0"/>
          <w:marBottom w:val="0"/>
          <w:divBdr>
            <w:top w:val="none" w:sz="0" w:space="0" w:color="auto"/>
            <w:left w:val="none" w:sz="0" w:space="0" w:color="auto"/>
            <w:bottom w:val="none" w:sz="0" w:space="0" w:color="auto"/>
            <w:right w:val="none" w:sz="0" w:space="0" w:color="auto"/>
          </w:divBdr>
        </w:div>
        <w:div w:id="1037699051">
          <w:marLeft w:val="480"/>
          <w:marRight w:val="0"/>
          <w:marTop w:val="0"/>
          <w:marBottom w:val="0"/>
          <w:divBdr>
            <w:top w:val="none" w:sz="0" w:space="0" w:color="auto"/>
            <w:left w:val="none" w:sz="0" w:space="0" w:color="auto"/>
            <w:bottom w:val="none" w:sz="0" w:space="0" w:color="auto"/>
            <w:right w:val="none" w:sz="0" w:space="0" w:color="auto"/>
          </w:divBdr>
        </w:div>
        <w:div w:id="1007757079">
          <w:marLeft w:val="480"/>
          <w:marRight w:val="0"/>
          <w:marTop w:val="0"/>
          <w:marBottom w:val="0"/>
          <w:divBdr>
            <w:top w:val="none" w:sz="0" w:space="0" w:color="auto"/>
            <w:left w:val="none" w:sz="0" w:space="0" w:color="auto"/>
            <w:bottom w:val="none" w:sz="0" w:space="0" w:color="auto"/>
            <w:right w:val="none" w:sz="0" w:space="0" w:color="auto"/>
          </w:divBdr>
        </w:div>
        <w:div w:id="1141582768">
          <w:marLeft w:val="480"/>
          <w:marRight w:val="0"/>
          <w:marTop w:val="0"/>
          <w:marBottom w:val="0"/>
          <w:divBdr>
            <w:top w:val="none" w:sz="0" w:space="0" w:color="auto"/>
            <w:left w:val="none" w:sz="0" w:space="0" w:color="auto"/>
            <w:bottom w:val="none" w:sz="0" w:space="0" w:color="auto"/>
            <w:right w:val="none" w:sz="0" w:space="0" w:color="auto"/>
          </w:divBdr>
        </w:div>
        <w:div w:id="380981820">
          <w:marLeft w:val="480"/>
          <w:marRight w:val="0"/>
          <w:marTop w:val="0"/>
          <w:marBottom w:val="0"/>
          <w:divBdr>
            <w:top w:val="none" w:sz="0" w:space="0" w:color="auto"/>
            <w:left w:val="none" w:sz="0" w:space="0" w:color="auto"/>
            <w:bottom w:val="none" w:sz="0" w:space="0" w:color="auto"/>
            <w:right w:val="none" w:sz="0" w:space="0" w:color="auto"/>
          </w:divBdr>
        </w:div>
        <w:div w:id="2015375509">
          <w:marLeft w:val="480"/>
          <w:marRight w:val="0"/>
          <w:marTop w:val="0"/>
          <w:marBottom w:val="0"/>
          <w:divBdr>
            <w:top w:val="none" w:sz="0" w:space="0" w:color="auto"/>
            <w:left w:val="none" w:sz="0" w:space="0" w:color="auto"/>
            <w:bottom w:val="none" w:sz="0" w:space="0" w:color="auto"/>
            <w:right w:val="none" w:sz="0" w:space="0" w:color="auto"/>
          </w:divBdr>
        </w:div>
        <w:div w:id="1513836647">
          <w:marLeft w:val="480"/>
          <w:marRight w:val="0"/>
          <w:marTop w:val="0"/>
          <w:marBottom w:val="0"/>
          <w:divBdr>
            <w:top w:val="none" w:sz="0" w:space="0" w:color="auto"/>
            <w:left w:val="none" w:sz="0" w:space="0" w:color="auto"/>
            <w:bottom w:val="none" w:sz="0" w:space="0" w:color="auto"/>
            <w:right w:val="none" w:sz="0" w:space="0" w:color="auto"/>
          </w:divBdr>
        </w:div>
        <w:div w:id="426730099">
          <w:marLeft w:val="480"/>
          <w:marRight w:val="0"/>
          <w:marTop w:val="0"/>
          <w:marBottom w:val="0"/>
          <w:divBdr>
            <w:top w:val="none" w:sz="0" w:space="0" w:color="auto"/>
            <w:left w:val="none" w:sz="0" w:space="0" w:color="auto"/>
            <w:bottom w:val="none" w:sz="0" w:space="0" w:color="auto"/>
            <w:right w:val="none" w:sz="0" w:space="0" w:color="auto"/>
          </w:divBdr>
        </w:div>
        <w:div w:id="85536555">
          <w:marLeft w:val="480"/>
          <w:marRight w:val="0"/>
          <w:marTop w:val="0"/>
          <w:marBottom w:val="0"/>
          <w:divBdr>
            <w:top w:val="none" w:sz="0" w:space="0" w:color="auto"/>
            <w:left w:val="none" w:sz="0" w:space="0" w:color="auto"/>
            <w:bottom w:val="none" w:sz="0" w:space="0" w:color="auto"/>
            <w:right w:val="none" w:sz="0" w:space="0" w:color="auto"/>
          </w:divBdr>
        </w:div>
        <w:div w:id="686832519">
          <w:marLeft w:val="480"/>
          <w:marRight w:val="0"/>
          <w:marTop w:val="0"/>
          <w:marBottom w:val="0"/>
          <w:divBdr>
            <w:top w:val="none" w:sz="0" w:space="0" w:color="auto"/>
            <w:left w:val="none" w:sz="0" w:space="0" w:color="auto"/>
            <w:bottom w:val="none" w:sz="0" w:space="0" w:color="auto"/>
            <w:right w:val="none" w:sz="0" w:space="0" w:color="auto"/>
          </w:divBdr>
        </w:div>
        <w:div w:id="1033194916">
          <w:marLeft w:val="480"/>
          <w:marRight w:val="0"/>
          <w:marTop w:val="0"/>
          <w:marBottom w:val="0"/>
          <w:divBdr>
            <w:top w:val="none" w:sz="0" w:space="0" w:color="auto"/>
            <w:left w:val="none" w:sz="0" w:space="0" w:color="auto"/>
            <w:bottom w:val="none" w:sz="0" w:space="0" w:color="auto"/>
            <w:right w:val="none" w:sz="0" w:space="0" w:color="auto"/>
          </w:divBdr>
        </w:div>
        <w:div w:id="533931918">
          <w:marLeft w:val="480"/>
          <w:marRight w:val="0"/>
          <w:marTop w:val="0"/>
          <w:marBottom w:val="0"/>
          <w:divBdr>
            <w:top w:val="none" w:sz="0" w:space="0" w:color="auto"/>
            <w:left w:val="none" w:sz="0" w:space="0" w:color="auto"/>
            <w:bottom w:val="none" w:sz="0" w:space="0" w:color="auto"/>
            <w:right w:val="none" w:sz="0" w:space="0" w:color="auto"/>
          </w:divBdr>
        </w:div>
        <w:div w:id="2037460531">
          <w:marLeft w:val="480"/>
          <w:marRight w:val="0"/>
          <w:marTop w:val="0"/>
          <w:marBottom w:val="0"/>
          <w:divBdr>
            <w:top w:val="none" w:sz="0" w:space="0" w:color="auto"/>
            <w:left w:val="none" w:sz="0" w:space="0" w:color="auto"/>
            <w:bottom w:val="none" w:sz="0" w:space="0" w:color="auto"/>
            <w:right w:val="none" w:sz="0" w:space="0" w:color="auto"/>
          </w:divBdr>
        </w:div>
        <w:div w:id="1901593177">
          <w:marLeft w:val="480"/>
          <w:marRight w:val="0"/>
          <w:marTop w:val="0"/>
          <w:marBottom w:val="0"/>
          <w:divBdr>
            <w:top w:val="none" w:sz="0" w:space="0" w:color="auto"/>
            <w:left w:val="none" w:sz="0" w:space="0" w:color="auto"/>
            <w:bottom w:val="none" w:sz="0" w:space="0" w:color="auto"/>
            <w:right w:val="none" w:sz="0" w:space="0" w:color="auto"/>
          </w:divBdr>
        </w:div>
      </w:divsChild>
    </w:div>
    <w:div w:id="219053878">
      <w:bodyDiv w:val="1"/>
      <w:marLeft w:val="0"/>
      <w:marRight w:val="0"/>
      <w:marTop w:val="0"/>
      <w:marBottom w:val="0"/>
      <w:divBdr>
        <w:top w:val="none" w:sz="0" w:space="0" w:color="auto"/>
        <w:left w:val="none" w:sz="0" w:space="0" w:color="auto"/>
        <w:bottom w:val="none" w:sz="0" w:space="0" w:color="auto"/>
        <w:right w:val="none" w:sz="0" w:space="0" w:color="auto"/>
      </w:divBdr>
    </w:div>
    <w:div w:id="270557611">
      <w:bodyDiv w:val="1"/>
      <w:marLeft w:val="0"/>
      <w:marRight w:val="0"/>
      <w:marTop w:val="0"/>
      <w:marBottom w:val="0"/>
      <w:divBdr>
        <w:top w:val="none" w:sz="0" w:space="0" w:color="auto"/>
        <w:left w:val="none" w:sz="0" w:space="0" w:color="auto"/>
        <w:bottom w:val="none" w:sz="0" w:space="0" w:color="auto"/>
        <w:right w:val="none" w:sz="0" w:space="0" w:color="auto"/>
      </w:divBdr>
    </w:div>
    <w:div w:id="303312035">
      <w:bodyDiv w:val="1"/>
      <w:marLeft w:val="0"/>
      <w:marRight w:val="0"/>
      <w:marTop w:val="0"/>
      <w:marBottom w:val="0"/>
      <w:divBdr>
        <w:top w:val="none" w:sz="0" w:space="0" w:color="auto"/>
        <w:left w:val="none" w:sz="0" w:space="0" w:color="auto"/>
        <w:bottom w:val="none" w:sz="0" w:space="0" w:color="auto"/>
        <w:right w:val="none" w:sz="0" w:space="0" w:color="auto"/>
      </w:divBdr>
    </w:div>
    <w:div w:id="445783091">
      <w:bodyDiv w:val="1"/>
      <w:marLeft w:val="0"/>
      <w:marRight w:val="0"/>
      <w:marTop w:val="0"/>
      <w:marBottom w:val="0"/>
      <w:divBdr>
        <w:top w:val="none" w:sz="0" w:space="0" w:color="auto"/>
        <w:left w:val="none" w:sz="0" w:space="0" w:color="auto"/>
        <w:bottom w:val="none" w:sz="0" w:space="0" w:color="auto"/>
        <w:right w:val="none" w:sz="0" w:space="0" w:color="auto"/>
      </w:divBdr>
    </w:div>
    <w:div w:id="492523797">
      <w:bodyDiv w:val="1"/>
      <w:marLeft w:val="0"/>
      <w:marRight w:val="0"/>
      <w:marTop w:val="0"/>
      <w:marBottom w:val="0"/>
      <w:divBdr>
        <w:top w:val="none" w:sz="0" w:space="0" w:color="auto"/>
        <w:left w:val="none" w:sz="0" w:space="0" w:color="auto"/>
        <w:bottom w:val="none" w:sz="0" w:space="0" w:color="auto"/>
        <w:right w:val="none" w:sz="0" w:space="0" w:color="auto"/>
      </w:divBdr>
    </w:div>
    <w:div w:id="502934466">
      <w:bodyDiv w:val="1"/>
      <w:marLeft w:val="0"/>
      <w:marRight w:val="0"/>
      <w:marTop w:val="0"/>
      <w:marBottom w:val="0"/>
      <w:divBdr>
        <w:top w:val="none" w:sz="0" w:space="0" w:color="auto"/>
        <w:left w:val="none" w:sz="0" w:space="0" w:color="auto"/>
        <w:bottom w:val="none" w:sz="0" w:space="0" w:color="auto"/>
        <w:right w:val="none" w:sz="0" w:space="0" w:color="auto"/>
      </w:divBdr>
      <w:divsChild>
        <w:div w:id="1096756004">
          <w:marLeft w:val="480"/>
          <w:marRight w:val="0"/>
          <w:marTop w:val="0"/>
          <w:marBottom w:val="0"/>
          <w:divBdr>
            <w:top w:val="none" w:sz="0" w:space="0" w:color="auto"/>
            <w:left w:val="none" w:sz="0" w:space="0" w:color="auto"/>
            <w:bottom w:val="none" w:sz="0" w:space="0" w:color="auto"/>
            <w:right w:val="none" w:sz="0" w:space="0" w:color="auto"/>
          </w:divBdr>
        </w:div>
        <w:div w:id="442110524">
          <w:marLeft w:val="480"/>
          <w:marRight w:val="0"/>
          <w:marTop w:val="0"/>
          <w:marBottom w:val="0"/>
          <w:divBdr>
            <w:top w:val="none" w:sz="0" w:space="0" w:color="auto"/>
            <w:left w:val="none" w:sz="0" w:space="0" w:color="auto"/>
            <w:bottom w:val="none" w:sz="0" w:space="0" w:color="auto"/>
            <w:right w:val="none" w:sz="0" w:space="0" w:color="auto"/>
          </w:divBdr>
        </w:div>
        <w:div w:id="422645732">
          <w:marLeft w:val="480"/>
          <w:marRight w:val="0"/>
          <w:marTop w:val="0"/>
          <w:marBottom w:val="0"/>
          <w:divBdr>
            <w:top w:val="none" w:sz="0" w:space="0" w:color="auto"/>
            <w:left w:val="none" w:sz="0" w:space="0" w:color="auto"/>
            <w:bottom w:val="none" w:sz="0" w:space="0" w:color="auto"/>
            <w:right w:val="none" w:sz="0" w:space="0" w:color="auto"/>
          </w:divBdr>
        </w:div>
        <w:div w:id="495220076">
          <w:marLeft w:val="480"/>
          <w:marRight w:val="0"/>
          <w:marTop w:val="0"/>
          <w:marBottom w:val="0"/>
          <w:divBdr>
            <w:top w:val="none" w:sz="0" w:space="0" w:color="auto"/>
            <w:left w:val="none" w:sz="0" w:space="0" w:color="auto"/>
            <w:bottom w:val="none" w:sz="0" w:space="0" w:color="auto"/>
            <w:right w:val="none" w:sz="0" w:space="0" w:color="auto"/>
          </w:divBdr>
        </w:div>
        <w:div w:id="1849514069">
          <w:marLeft w:val="480"/>
          <w:marRight w:val="0"/>
          <w:marTop w:val="0"/>
          <w:marBottom w:val="0"/>
          <w:divBdr>
            <w:top w:val="none" w:sz="0" w:space="0" w:color="auto"/>
            <w:left w:val="none" w:sz="0" w:space="0" w:color="auto"/>
            <w:bottom w:val="none" w:sz="0" w:space="0" w:color="auto"/>
            <w:right w:val="none" w:sz="0" w:space="0" w:color="auto"/>
          </w:divBdr>
        </w:div>
        <w:div w:id="1149009692">
          <w:marLeft w:val="480"/>
          <w:marRight w:val="0"/>
          <w:marTop w:val="0"/>
          <w:marBottom w:val="0"/>
          <w:divBdr>
            <w:top w:val="none" w:sz="0" w:space="0" w:color="auto"/>
            <w:left w:val="none" w:sz="0" w:space="0" w:color="auto"/>
            <w:bottom w:val="none" w:sz="0" w:space="0" w:color="auto"/>
            <w:right w:val="none" w:sz="0" w:space="0" w:color="auto"/>
          </w:divBdr>
        </w:div>
        <w:div w:id="1923832251">
          <w:marLeft w:val="480"/>
          <w:marRight w:val="0"/>
          <w:marTop w:val="0"/>
          <w:marBottom w:val="0"/>
          <w:divBdr>
            <w:top w:val="none" w:sz="0" w:space="0" w:color="auto"/>
            <w:left w:val="none" w:sz="0" w:space="0" w:color="auto"/>
            <w:bottom w:val="none" w:sz="0" w:space="0" w:color="auto"/>
            <w:right w:val="none" w:sz="0" w:space="0" w:color="auto"/>
          </w:divBdr>
        </w:div>
        <w:div w:id="1995790444">
          <w:marLeft w:val="480"/>
          <w:marRight w:val="0"/>
          <w:marTop w:val="0"/>
          <w:marBottom w:val="0"/>
          <w:divBdr>
            <w:top w:val="none" w:sz="0" w:space="0" w:color="auto"/>
            <w:left w:val="none" w:sz="0" w:space="0" w:color="auto"/>
            <w:bottom w:val="none" w:sz="0" w:space="0" w:color="auto"/>
            <w:right w:val="none" w:sz="0" w:space="0" w:color="auto"/>
          </w:divBdr>
        </w:div>
        <w:div w:id="1288245932">
          <w:marLeft w:val="480"/>
          <w:marRight w:val="0"/>
          <w:marTop w:val="0"/>
          <w:marBottom w:val="0"/>
          <w:divBdr>
            <w:top w:val="none" w:sz="0" w:space="0" w:color="auto"/>
            <w:left w:val="none" w:sz="0" w:space="0" w:color="auto"/>
            <w:bottom w:val="none" w:sz="0" w:space="0" w:color="auto"/>
            <w:right w:val="none" w:sz="0" w:space="0" w:color="auto"/>
          </w:divBdr>
        </w:div>
        <w:div w:id="1425031899">
          <w:marLeft w:val="480"/>
          <w:marRight w:val="0"/>
          <w:marTop w:val="0"/>
          <w:marBottom w:val="0"/>
          <w:divBdr>
            <w:top w:val="none" w:sz="0" w:space="0" w:color="auto"/>
            <w:left w:val="none" w:sz="0" w:space="0" w:color="auto"/>
            <w:bottom w:val="none" w:sz="0" w:space="0" w:color="auto"/>
            <w:right w:val="none" w:sz="0" w:space="0" w:color="auto"/>
          </w:divBdr>
        </w:div>
        <w:div w:id="1874879503">
          <w:marLeft w:val="480"/>
          <w:marRight w:val="0"/>
          <w:marTop w:val="0"/>
          <w:marBottom w:val="0"/>
          <w:divBdr>
            <w:top w:val="none" w:sz="0" w:space="0" w:color="auto"/>
            <w:left w:val="none" w:sz="0" w:space="0" w:color="auto"/>
            <w:bottom w:val="none" w:sz="0" w:space="0" w:color="auto"/>
            <w:right w:val="none" w:sz="0" w:space="0" w:color="auto"/>
          </w:divBdr>
        </w:div>
        <w:div w:id="852644934">
          <w:marLeft w:val="480"/>
          <w:marRight w:val="0"/>
          <w:marTop w:val="0"/>
          <w:marBottom w:val="0"/>
          <w:divBdr>
            <w:top w:val="none" w:sz="0" w:space="0" w:color="auto"/>
            <w:left w:val="none" w:sz="0" w:space="0" w:color="auto"/>
            <w:bottom w:val="none" w:sz="0" w:space="0" w:color="auto"/>
            <w:right w:val="none" w:sz="0" w:space="0" w:color="auto"/>
          </w:divBdr>
        </w:div>
        <w:div w:id="883369377">
          <w:marLeft w:val="480"/>
          <w:marRight w:val="0"/>
          <w:marTop w:val="0"/>
          <w:marBottom w:val="0"/>
          <w:divBdr>
            <w:top w:val="none" w:sz="0" w:space="0" w:color="auto"/>
            <w:left w:val="none" w:sz="0" w:space="0" w:color="auto"/>
            <w:bottom w:val="none" w:sz="0" w:space="0" w:color="auto"/>
            <w:right w:val="none" w:sz="0" w:space="0" w:color="auto"/>
          </w:divBdr>
        </w:div>
        <w:div w:id="405029303">
          <w:marLeft w:val="480"/>
          <w:marRight w:val="0"/>
          <w:marTop w:val="0"/>
          <w:marBottom w:val="0"/>
          <w:divBdr>
            <w:top w:val="none" w:sz="0" w:space="0" w:color="auto"/>
            <w:left w:val="none" w:sz="0" w:space="0" w:color="auto"/>
            <w:bottom w:val="none" w:sz="0" w:space="0" w:color="auto"/>
            <w:right w:val="none" w:sz="0" w:space="0" w:color="auto"/>
          </w:divBdr>
        </w:div>
      </w:divsChild>
    </w:div>
    <w:div w:id="575634519">
      <w:bodyDiv w:val="1"/>
      <w:marLeft w:val="0"/>
      <w:marRight w:val="0"/>
      <w:marTop w:val="0"/>
      <w:marBottom w:val="0"/>
      <w:divBdr>
        <w:top w:val="none" w:sz="0" w:space="0" w:color="auto"/>
        <w:left w:val="none" w:sz="0" w:space="0" w:color="auto"/>
        <w:bottom w:val="none" w:sz="0" w:space="0" w:color="auto"/>
        <w:right w:val="none" w:sz="0" w:space="0" w:color="auto"/>
      </w:divBdr>
    </w:div>
    <w:div w:id="584998973">
      <w:bodyDiv w:val="1"/>
      <w:marLeft w:val="0"/>
      <w:marRight w:val="0"/>
      <w:marTop w:val="0"/>
      <w:marBottom w:val="0"/>
      <w:divBdr>
        <w:top w:val="none" w:sz="0" w:space="0" w:color="auto"/>
        <w:left w:val="none" w:sz="0" w:space="0" w:color="auto"/>
        <w:bottom w:val="none" w:sz="0" w:space="0" w:color="auto"/>
        <w:right w:val="none" w:sz="0" w:space="0" w:color="auto"/>
      </w:divBdr>
    </w:div>
    <w:div w:id="620386072">
      <w:bodyDiv w:val="1"/>
      <w:marLeft w:val="0"/>
      <w:marRight w:val="0"/>
      <w:marTop w:val="0"/>
      <w:marBottom w:val="0"/>
      <w:divBdr>
        <w:top w:val="none" w:sz="0" w:space="0" w:color="auto"/>
        <w:left w:val="none" w:sz="0" w:space="0" w:color="auto"/>
        <w:bottom w:val="none" w:sz="0" w:space="0" w:color="auto"/>
        <w:right w:val="none" w:sz="0" w:space="0" w:color="auto"/>
      </w:divBdr>
      <w:divsChild>
        <w:div w:id="1909536809">
          <w:marLeft w:val="480"/>
          <w:marRight w:val="0"/>
          <w:marTop w:val="0"/>
          <w:marBottom w:val="0"/>
          <w:divBdr>
            <w:top w:val="none" w:sz="0" w:space="0" w:color="auto"/>
            <w:left w:val="none" w:sz="0" w:space="0" w:color="auto"/>
            <w:bottom w:val="none" w:sz="0" w:space="0" w:color="auto"/>
            <w:right w:val="none" w:sz="0" w:space="0" w:color="auto"/>
          </w:divBdr>
        </w:div>
        <w:div w:id="673142610">
          <w:marLeft w:val="480"/>
          <w:marRight w:val="0"/>
          <w:marTop w:val="0"/>
          <w:marBottom w:val="0"/>
          <w:divBdr>
            <w:top w:val="none" w:sz="0" w:space="0" w:color="auto"/>
            <w:left w:val="none" w:sz="0" w:space="0" w:color="auto"/>
            <w:bottom w:val="none" w:sz="0" w:space="0" w:color="auto"/>
            <w:right w:val="none" w:sz="0" w:space="0" w:color="auto"/>
          </w:divBdr>
        </w:div>
        <w:div w:id="55933618">
          <w:marLeft w:val="480"/>
          <w:marRight w:val="0"/>
          <w:marTop w:val="0"/>
          <w:marBottom w:val="0"/>
          <w:divBdr>
            <w:top w:val="none" w:sz="0" w:space="0" w:color="auto"/>
            <w:left w:val="none" w:sz="0" w:space="0" w:color="auto"/>
            <w:bottom w:val="none" w:sz="0" w:space="0" w:color="auto"/>
            <w:right w:val="none" w:sz="0" w:space="0" w:color="auto"/>
          </w:divBdr>
        </w:div>
      </w:divsChild>
    </w:div>
    <w:div w:id="634989076">
      <w:bodyDiv w:val="1"/>
      <w:marLeft w:val="0"/>
      <w:marRight w:val="0"/>
      <w:marTop w:val="0"/>
      <w:marBottom w:val="0"/>
      <w:divBdr>
        <w:top w:val="none" w:sz="0" w:space="0" w:color="auto"/>
        <w:left w:val="none" w:sz="0" w:space="0" w:color="auto"/>
        <w:bottom w:val="none" w:sz="0" w:space="0" w:color="auto"/>
        <w:right w:val="none" w:sz="0" w:space="0" w:color="auto"/>
      </w:divBdr>
    </w:div>
    <w:div w:id="650183922">
      <w:bodyDiv w:val="1"/>
      <w:marLeft w:val="0"/>
      <w:marRight w:val="0"/>
      <w:marTop w:val="0"/>
      <w:marBottom w:val="0"/>
      <w:divBdr>
        <w:top w:val="none" w:sz="0" w:space="0" w:color="auto"/>
        <w:left w:val="none" w:sz="0" w:space="0" w:color="auto"/>
        <w:bottom w:val="none" w:sz="0" w:space="0" w:color="auto"/>
        <w:right w:val="none" w:sz="0" w:space="0" w:color="auto"/>
      </w:divBdr>
    </w:div>
    <w:div w:id="836579017">
      <w:bodyDiv w:val="1"/>
      <w:marLeft w:val="0"/>
      <w:marRight w:val="0"/>
      <w:marTop w:val="0"/>
      <w:marBottom w:val="0"/>
      <w:divBdr>
        <w:top w:val="none" w:sz="0" w:space="0" w:color="auto"/>
        <w:left w:val="none" w:sz="0" w:space="0" w:color="auto"/>
        <w:bottom w:val="none" w:sz="0" w:space="0" w:color="auto"/>
        <w:right w:val="none" w:sz="0" w:space="0" w:color="auto"/>
      </w:divBdr>
    </w:div>
    <w:div w:id="995842354">
      <w:bodyDiv w:val="1"/>
      <w:marLeft w:val="0"/>
      <w:marRight w:val="0"/>
      <w:marTop w:val="0"/>
      <w:marBottom w:val="0"/>
      <w:divBdr>
        <w:top w:val="none" w:sz="0" w:space="0" w:color="auto"/>
        <w:left w:val="none" w:sz="0" w:space="0" w:color="auto"/>
        <w:bottom w:val="none" w:sz="0" w:space="0" w:color="auto"/>
        <w:right w:val="none" w:sz="0" w:space="0" w:color="auto"/>
      </w:divBdr>
      <w:divsChild>
        <w:div w:id="762142440">
          <w:marLeft w:val="480"/>
          <w:marRight w:val="0"/>
          <w:marTop w:val="0"/>
          <w:marBottom w:val="0"/>
          <w:divBdr>
            <w:top w:val="none" w:sz="0" w:space="0" w:color="auto"/>
            <w:left w:val="none" w:sz="0" w:space="0" w:color="auto"/>
            <w:bottom w:val="none" w:sz="0" w:space="0" w:color="auto"/>
            <w:right w:val="none" w:sz="0" w:space="0" w:color="auto"/>
          </w:divBdr>
        </w:div>
        <w:div w:id="546373664">
          <w:marLeft w:val="480"/>
          <w:marRight w:val="0"/>
          <w:marTop w:val="0"/>
          <w:marBottom w:val="0"/>
          <w:divBdr>
            <w:top w:val="none" w:sz="0" w:space="0" w:color="auto"/>
            <w:left w:val="none" w:sz="0" w:space="0" w:color="auto"/>
            <w:bottom w:val="none" w:sz="0" w:space="0" w:color="auto"/>
            <w:right w:val="none" w:sz="0" w:space="0" w:color="auto"/>
          </w:divBdr>
        </w:div>
        <w:div w:id="1645744058">
          <w:marLeft w:val="480"/>
          <w:marRight w:val="0"/>
          <w:marTop w:val="0"/>
          <w:marBottom w:val="0"/>
          <w:divBdr>
            <w:top w:val="none" w:sz="0" w:space="0" w:color="auto"/>
            <w:left w:val="none" w:sz="0" w:space="0" w:color="auto"/>
            <w:bottom w:val="none" w:sz="0" w:space="0" w:color="auto"/>
            <w:right w:val="none" w:sz="0" w:space="0" w:color="auto"/>
          </w:divBdr>
        </w:div>
        <w:div w:id="1429085611">
          <w:marLeft w:val="480"/>
          <w:marRight w:val="0"/>
          <w:marTop w:val="0"/>
          <w:marBottom w:val="0"/>
          <w:divBdr>
            <w:top w:val="none" w:sz="0" w:space="0" w:color="auto"/>
            <w:left w:val="none" w:sz="0" w:space="0" w:color="auto"/>
            <w:bottom w:val="none" w:sz="0" w:space="0" w:color="auto"/>
            <w:right w:val="none" w:sz="0" w:space="0" w:color="auto"/>
          </w:divBdr>
        </w:div>
        <w:div w:id="693462829">
          <w:marLeft w:val="480"/>
          <w:marRight w:val="0"/>
          <w:marTop w:val="0"/>
          <w:marBottom w:val="0"/>
          <w:divBdr>
            <w:top w:val="none" w:sz="0" w:space="0" w:color="auto"/>
            <w:left w:val="none" w:sz="0" w:space="0" w:color="auto"/>
            <w:bottom w:val="none" w:sz="0" w:space="0" w:color="auto"/>
            <w:right w:val="none" w:sz="0" w:space="0" w:color="auto"/>
          </w:divBdr>
        </w:div>
        <w:div w:id="1566380345">
          <w:marLeft w:val="480"/>
          <w:marRight w:val="0"/>
          <w:marTop w:val="0"/>
          <w:marBottom w:val="0"/>
          <w:divBdr>
            <w:top w:val="none" w:sz="0" w:space="0" w:color="auto"/>
            <w:left w:val="none" w:sz="0" w:space="0" w:color="auto"/>
            <w:bottom w:val="none" w:sz="0" w:space="0" w:color="auto"/>
            <w:right w:val="none" w:sz="0" w:space="0" w:color="auto"/>
          </w:divBdr>
        </w:div>
      </w:divsChild>
    </w:div>
    <w:div w:id="1090194417">
      <w:bodyDiv w:val="1"/>
      <w:marLeft w:val="0"/>
      <w:marRight w:val="0"/>
      <w:marTop w:val="0"/>
      <w:marBottom w:val="0"/>
      <w:divBdr>
        <w:top w:val="none" w:sz="0" w:space="0" w:color="auto"/>
        <w:left w:val="none" w:sz="0" w:space="0" w:color="auto"/>
        <w:bottom w:val="none" w:sz="0" w:space="0" w:color="auto"/>
        <w:right w:val="none" w:sz="0" w:space="0" w:color="auto"/>
      </w:divBdr>
      <w:divsChild>
        <w:div w:id="65803675">
          <w:marLeft w:val="480"/>
          <w:marRight w:val="0"/>
          <w:marTop w:val="0"/>
          <w:marBottom w:val="0"/>
          <w:divBdr>
            <w:top w:val="none" w:sz="0" w:space="0" w:color="auto"/>
            <w:left w:val="none" w:sz="0" w:space="0" w:color="auto"/>
            <w:bottom w:val="none" w:sz="0" w:space="0" w:color="auto"/>
            <w:right w:val="none" w:sz="0" w:space="0" w:color="auto"/>
          </w:divBdr>
        </w:div>
        <w:div w:id="1593665192">
          <w:marLeft w:val="480"/>
          <w:marRight w:val="0"/>
          <w:marTop w:val="0"/>
          <w:marBottom w:val="0"/>
          <w:divBdr>
            <w:top w:val="none" w:sz="0" w:space="0" w:color="auto"/>
            <w:left w:val="none" w:sz="0" w:space="0" w:color="auto"/>
            <w:bottom w:val="none" w:sz="0" w:space="0" w:color="auto"/>
            <w:right w:val="none" w:sz="0" w:space="0" w:color="auto"/>
          </w:divBdr>
        </w:div>
        <w:div w:id="1641836176">
          <w:marLeft w:val="480"/>
          <w:marRight w:val="0"/>
          <w:marTop w:val="0"/>
          <w:marBottom w:val="0"/>
          <w:divBdr>
            <w:top w:val="none" w:sz="0" w:space="0" w:color="auto"/>
            <w:left w:val="none" w:sz="0" w:space="0" w:color="auto"/>
            <w:bottom w:val="none" w:sz="0" w:space="0" w:color="auto"/>
            <w:right w:val="none" w:sz="0" w:space="0" w:color="auto"/>
          </w:divBdr>
        </w:div>
        <w:div w:id="1180701093">
          <w:marLeft w:val="480"/>
          <w:marRight w:val="0"/>
          <w:marTop w:val="0"/>
          <w:marBottom w:val="0"/>
          <w:divBdr>
            <w:top w:val="none" w:sz="0" w:space="0" w:color="auto"/>
            <w:left w:val="none" w:sz="0" w:space="0" w:color="auto"/>
            <w:bottom w:val="none" w:sz="0" w:space="0" w:color="auto"/>
            <w:right w:val="none" w:sz="0" w:space="0" w:color="auto"/>
          </w:divBdr>
        </w:div>
        <w:div w:id="2039118070">
          <w:marLeft w:val="480"/>
          <w:marRight w:val="0"/>
          <w:marTop w:val="0"/>
          <w:marBottom w:val="0"/>
          <w:divBdr>
            <w:top w:val="none" w:sz="0" w:space="0" w:color="auto"/>
            <w:left w:val="none" w:sz="0" w:space="0" w:color="auto"/>
            <w:bottom w:val="none" w:sz="0" w:space="0" w:color="auto"/>
            <w:right w:val="none" w:sz="0" w:space="0" w:color="auto"/>
          </w:divBdr>
        </w:div>
        <w:div w:id="531110274">
          <w:marLeft w:val="480"/>
          <w:marRight w:val="0"/>
          <w:marTop w:val="0"/>
          <w:marBottom w:val="0"/>
          <w:divBdr>
            <w:top w:val="none" w:sz="0" w:space="0" w:color="auto"/>
            <w:left w:val="none" w:sz="0" w:space="0" w:color="auto"/>
            <w:bottom w:val="none" w:sz="0" w:space="0" w:color="auto"/>
            <w:right w:val="none" w:sz="0" w:space="0" w:color="auto"/>
          </w:divBdr>
        </w:div>
        <w:div w:id="633609111">
          <w:marLeft w:val="480"/>
          <w:marRight w:val="0"/>
          <w:marTop w:val="0"/>
          <w:marBottom w:val="0"/>
          <w:divBdr>
            <w:top w:val="none" w:sz="0" w:space="0" w:color="auto"/>
            <w:left w:val="none" w:sz="0" w:space="0" w:color="auto"/>
            <w:bottom w:val="none" w:sz="0" w:space="0" w:color="auto"/>
            <w:right w:val="none" w:sz="0" w:space="0" w:color="auto"/>
          </w:divBdr>
        </w:div>
        <w:div w:id="146018167">
          <w:marLeft w:val="480"/>
          <w:marRight w:val="0"/>
          <w:marTop w:val="0"/>
          <w:marBottom w:val="0"/>
          <w:divBdr>
            <w:top w:val="none" w:sz="0" w:space="0" w:color="auto"/>
            <w:left w:val="none" w:sz="0" w:space="0" w:color="auto"/>
            <w:bottom w:val="none" w:sz="0" w:space="0" w:color="auto"/>
            <w:right w:val="none" w:sz="0" w:space="0" w:color="auto"/>
          </w:divBdr>
        </w:div>
        <w:div w:id="1725710786">
          <w:marLeft w:val="480"/>
          <w:marRight w:val="0"/>
          <w:marTop w:val="0"/>
          <w:marBottom w:val="0"/>
          <w:divBdr>
            <w:top w:val="none" w:sz="0" w:space="0" w:color="auto"/>
            <w:left w:val="none" w:sz="0" w:space="0" w:color="auto"/>
            <w:bottom w:val="none" w:sz="0" w:space="0" w:color="auto"/>
            <w:right w:val="none" w:sz="0" w:space="0" w:color="auto"/>
          </w:divBdr>
        </w:div>
      </w:divsChild>
    </w:div>
    <w:div w:id="1108961517">
      <w:bodyDiv w:val="1"/>
      <w:marLeft w:val="0"/>
      <w:marRight w:val="0"/>
      <w:marTop w:val="0"/>
      <w:marBottom w:val="0"/>
      <w:divBdr>
        <w:top w:val="none" w:sz="0" w:space="0" w:color="auto"/>
        <w:left w:val="none" w:sz="0" w:space="0" w:color="auto"/>
        <w:bottom w:val="none" w:sz="0" w:space="0" w:color="auto"/>
        <w:right w:val="none" w:sz="0" w:space="0" w:color="auto"/>
      </w:divBdr>
    </w:div>
    <w:div w:id="1118135456">
      <w:bodyDiv w:val="1"/>
      <w:marLeft w:val="0"/>
      <w:marRight w:val="0"/>
      <w:marTop w:val="0"/>
      <w:marBottom w:val="0"/>
      <w:divBdr>
        <w:top w:val="none" w:sz="0" w:space="0" w:color="auto"/>
        <w:left w:val="none" w:sz="0" w:space="0" w:color="auto"/>
        <w:bottom w:val="none" w:sz="0" w:space="0" w:color="auto"/>
        <w:right w:val="none" w:sz="0" w:space="0" w:color="auto"/>
      </w:divBdr>
      <w:divsChild>
        <w:div w:id="1502046091">
          <w:marLeft w:val="480"/>
          <w:marRight w:val="0"/>
          <w:marTop w:val="0"/>
          <w:marBottom w:val="0"/>
          <w:divBdr>
            <w:top w:val="none" w:sz="0" w:space="0" w:color="auto"/>
            <w:left w:val="none" w:sz="0" w:space="0" w:color="auto"/>
            <w:bottom w:val="none" w:sz="0" w:space="0" w:color="auto"/>
            <w:right w:val="none" w:sz="0" w:space="0" w:color="auto"/>
          </w:divBdr>
        </w:div>
        <w:div w:id="1461458890">
          <w:marLeft w:val="480"/>
          <w:marRight w:val="0"/>
          <w:marTop w:val="0"/>
          <w:marBottom w:val="0"/>
          <w:divBdr>
            <w:top w:val="none" w:sz="0" w:space="0" w:color="auto"/>
            <w:left w:val="none" w:sz="0" w:space="0" w:color="auto"/>
            <w:bottom w:val="none" w:sz="0" w:space="0" w:color="auto"/>
            <w:right w:val="none" w:sz="0" w:space="0" w:color="auto"/>
          </w:divBdr>
        </w:div>
        <w:div w:id="497575053">
          <w:marLeft w:val="480"/>
          <w:marRight w:val="0"/>
          <w:marTop w:val="0"/>
          <w:marBottom w:val="0"/>
          <w:divBdr>
            <w:top w:val="none" w:sz="0" w:space="0" w:color="auto"/>
            <w:left w:val="none" w:sz="0" w:space="0" w:color="auto"/>
            <w:bottom w:val="none" w:sz="0" w:space="0" w:color="auto"/>
            <w:right w:val="none" w:sz="0" w:space="0" w:color="auto"/>
          </w:divBdr>
        </w:div>
        <w:div w:id="674694276">
          <w:marLeft w:val="480"/>
          <w:marRight w:val="0"/>
          <w:marTop w:val="0"/>
          <w:marBottom w:val="0"/>
          <w:divBdr>
            <w:top w:val="none" w:sz="0" w:space="0" w:color="auto"/>
            <w:left w:val="none" w:sz="0" w:space="0" w:color="auto"/>
            <w:bottom w:val="none" w:sz="0" w:space="0" w:color="auto"/>
            <w:right w:val="none" w:sz="0" w:space="0" w:color="auto"/>
          </w:divBdr>
        </w:div>
        <w:div w:id="1309096452">
          <w:marLeft w:val="480"/>
          <w:marRight w:val="0"/>
          <w:marTop w:val="0"/>
          <w:marBottom w:val="0"/>
          <w:divBdr>
            <w:top w:val="none" w:sz="0" w:space="0" w:color="auto"/>
            <w:left w:val="none" w:sz="0" w:space="0" w:color="auto"/>
            <w:bottom w:val="none" w:sz="0" w:space="0" w:color="auto"/>
            <w:right w:val="none" w:sz="0" w:space="0" w:color="auto"/>
          </w:divBdr>
        </w:div>
        <w:div w:id="1412317003">
          <w:marLeft w:val="480"/>
          <w:marRight w:val="0"/>
          <w:marTop w:val="0"/>
          <w:marBottom w:val="0"/>
          <w:divBdr>
            <w:top w:val="none" w:sz="0" w:space="0" w:color="auto"/>
            <w:left w:val="none" w:sz="0" w:space="0" w:color="auto"/>
            <w:bottom w:val="none" w:sz="0" w:space="0" w:color="auto"/>
            <w:right w:val="none" w:sz="0" w:space="0" w:color="auto"/>
          </w:divBdr>
        </w:div>
        <w:div w:id="1059093111">
          <w:marLeft w:val="480"/>
          <w:marRight w:val="0"/>
          <w:marTop w:val="0"/>
          <w:marBottom w:val="0"/>
          <w:divBdr>
            <w:top w:val="none" w:sz="0" w:space="0" w:color="auto"/>
            <w:left w:val="none" w:sz="0" w:space="0" w:color="auto"/>
            <w:bottom w:val="none" w:sz="0" w:space="0" w:color="auto"/>
            <w:right w:val="none" w:sz="0" w:space="0" w:color="auto"/>
          </w:divBdr>
        </w:div>
        <w:div w:id="1477137404">
          <w:marLeft w:val="480"/>
          <w:marRight w:val="0"/>
          <w:marTop w:val="0"/>
          <w:marBottom w:val="0"/>
          <w:divBdr>
            <w:top w:val="none" w:sz="0" w:space="0" w:color="auto"/>
            <w:left w:val="none" w:sz="0" w:space="0" w:color="auto"/>
            <w:bottom w:val="none" w:sz="0" w:space="0" w:color="auto"/>
            <w:right w:val="none" w:sz="0" w:space="0" w:color="auto"/>
          </w:divBdr>
        </w:div>
        <w:div w:id="258678496">
          <w:marLeft w:val="480"/>
          <w:marRight w:val="0"/>
          <w:marTop w:val="0"/>
          <w:marBottom w:val="0"/>
          <w:divBdr>
            <w:top w:val="none" w:sz="0" w:space="0" w:color="auto"/>
            <w:left w:val="none" w:sz="0" w:space="0" w:color="auto"/>
            <w:bottom w:val="none" w:sz="0" w:space="0" w:color="auto"/>
            <w:right w:val="none" w:sz="0" w:space="0" w:color="auto"/>
          </w:divBdr>
        </w:div>
        <w:div w:id="455754362">
          <w:marLeft w:val="480"/>
          <w:marRight w:val="0"/>
          <w:marTop w:val="0"/>
          <w:marBottom w:val="0"/>
          <w:divBdr>
            <w:top w:val="none" w:sz="0" w:space="0" w:color="auto"/>
            <w:left w:val="none" w:sz="0" w:space="0" w:color="auto"/>
            <w:bottom w:val="none" w:sz="0" w:space="0" w:color="auto"/>
            <w:right w:val="none" w:sz="0" w:space="0" w:color="auto"/>
          </w:divBdr>
        </w:div>
        <w:div w:id="1466006228">
          <w:marLeft w:val="480"/>
          <w:marRight w:val="0"/>
          <w:marTop w:val="0"/>
          <w:marBottom w:val="0"/>
          <w:divBdr>
            <w:top w:val="none" w:sz="0" w:space="0" w:color="auto"/>
            <w:left w:val="none" w:sz="0" w:space="0" w:color="auto"/>
            <w:bottom w:val="none" w:sz="0" w:space="0" w:color="auto"/>
            <w:right w:val="none" w:sz="0" w:space="0" w:color="auto"/>
          </w:divBdr>
        </w:div>
        <w:div w:id="991761870">
          <w:marLeft w:val="480"/>
          <w:marRight w:val="0"/>
          <w:marTop w:val="0"/>
          <w:marBottom w:val="0"/>
          <w:divBdr>
            <w:top w:val="none" w:sz="0" w:space="0" w:color="auto"/>
            <w:left w:val="none" w:sz="0" w:space="0" w:color="auto"/>
            <w:bottom w:val="none" w:sz="0" w:space="0" w:color="auto"/>
            <w:right w:val="none" w:sz="0" w:space="0" w:color="auto"/>
          </w:divBdr>
        </w:div>
        <w:div w:id="2134127471">
          <w:marLeft w:val="480"/>
          <w:marRight w:val="0"/>
          <w:marTop w:val="0"/>
          <w:marBottom w:val="0"/>
          <w:divBdr>
            <w:top w:val="none" w:sz="0" w:space="0" w:color="auto"/>
            <w:left w:val="none" w:sz="0" w:space="0" w:color="auto"/>
            <w:bottom w:val="none" w:sz="0" w:space="0" w:color="auto"/>
            <w:right w:val="none" w:sz="0" w:space="0" w:color="auto"/>
          </w:divBdr>
        </w:div>
      </w:divsChild>
    </w:div>
    <w:div w:id="1239172152">
      <w:bodyDiv w:val="1"/>
      <w:marLeft w:val="0"/>
      <w:marRight w:val="0"/>
      <w:marTop w:val="0"/>
      <w:marBottom w:val="0"/>
      <w:divBdr>
        <w:top w:val="none" w:sz="0" w:space="0" w:color="auto"/>
        <w:left w:val="none" w:sz="0" w:space="0" w:color="auto"/>
        <w:bottom w:val="none" w:sz="0" w:space="0" w:color="auto"/>
        <w:right w:val="none" w:sz="0" w:space="0" w:color="auto"/>
      </w:divBdr>
    </w:div>
    <w:div w:id="1272125990">
      <w:bodyDiv w:val="1"/>
      <w:marLeft w:val="0"/>
      <w:marRight w:val="0"/>
      <w:marTop w:val="0"/>
      <w:marBottom w:val="0"/>
      <w:divBdr>
        <w:top w:val="none" w:sz="0" w:space="0" w:color="auto"/>
        <w:left w:val="none" w:sz="0" w:space="0" w:color="auto"/>
        <w:bottom w:val="none" w:sz="0" w:space="0" w:color="auto"/>
        <w:right w:val="none" w:sz="0" w:space="0" w:color="auto"/>
      </w:divBdr>
    </w:div>
    <w:div w:id="1362899736">
      <w:bodyDiv w:val="1"/>
      <w:marLeft w:val="0"/>
      <w:marRight w:val="0"/>
      <w:marTop w:val="0"/>
      <w:marBottom w:val="0"/>
      <w:divBdr>
        <w:top w:val="none" w:sz="0" w:space="0" w:color="auto"/>
        <w:left w:val="none" w:sz="0" w:space="0" w:color="auto"/>
        <w:bottom w:val="none" w:sz="0" w:space="0" w:color="auto"/>
        <w:right w:val="none" w:sz="0" w:space="0" w:color="auto"/>
      </w:divBdr>
    </w:div>
    <w:div w:id="1396245405">
      <w:bodyDiv w:val="1"/>
      <w:marLeft w:val="0"/>
      <w:marRight w:val="0"/>
      <w:marTop w:val="0"/>
      <w:marBottom w:val="0"/>
      <w:divBdr>
        <w:top w:val="none" w:sz="0" w:space="0" w:color="auto"/>
        <w:left w:val="none" w:sz="0" w:space="0" w:color="auto"/>
        <w:bottom w:val="none" w:sz="0" w:space="0" w:color="auto"/>
        <w:right w:val="none" w:sz="0" w:space="0" w:color="auto"/>
      </w:divBdr>
    </w:div>
    <w:div w:id="1494028102">
      <w:bodyDiv w:val="1"/>
      <w:marLeft w:val="0"/>
      <w:marRight w:val="0"/>
      <w:marTop w:val="0"/>
      <w:marBottom w:val="0"/>
      <w:divBdr>
        <w:top w:val="none" w:sz="0" w:space="0" w:color="auto"/>
        <w:left w:val="none" w:sz="0" w:space="0" w:color="auto"/>
        <w:bottom w:val="none" w:sz="0" w:space="0" w:color="auto"/>
        <w:right w:val="none" w:sz="0" w:space="0" w:color="auto"/>
      </w:divBdr>
    </w:div>
    <w:div w:id="1517423826">
      <w:bodyDiv w:val="1"/>
      <w:marLeft w:val="0"/>
      <w:marRight w:val="0"/>
      <w:marTop w:val="0"/>
      <w:marBottom w:val="0"/>
      <w:divBdr>
        <w:top w:val="none" w:sz="0" w:space="0" w:color="auto"/>
        <w:left w:val="none" w:sz="0" w:space="0" w:color="auto"/>
        <w:bottom w:val="none" w:sz="0" w:space="0" w:color="auto"/>
        <w:right w:val="none" w:sz="0" w:space="0" w:color="auto"/>
      </w:divBdr>
      <w:divsChild>
        <w:div w:id="924727302">
          <w:marLeft w:val="480"/>
          <w:marRight w:val="0"/>
          <w:marTop w:val="0"/>
          <w:marBottom w:val="0"/>
          <w:divBdr>
            <w:top w:val="none" w:sz="0" w:space="0" w:color="auto"/>
            <w:left w:val="none" w:sz="0" w:space="0" w:color="auto"/>
            <w:bottom w:val="none" w:sz="0" w:space="0" w:color="auto"/>
            <w:right w:val="none" w:sz="0" w:space="0" w:color="auto"/>
          </w:divBdr>
        </w:div>
        <w:div w:id="1161696581">
          <w:marLeft w:val="480"/>
          <w:marRight w:val="0"/>
          <w:marTop w:val="0"/>
          <w:marBottom w:val="0"/>
          <w:divBdr>
            <w:top w:val="none" w:sz="0" w:space="0" w:color="auto"/>
            <w:left w:val="none" w:sz="0" w:space="0" w:color="auto"/>
            <w:bottom w:val="none" w:sz="0" w:space="0" w:color="auto"/>
            <w:right w:val="none" w:sz="0" w:space="0" w:color="auto"/>
          </w:divBdr>
        </w:div>
        <w:div w:id="175852928">
          <w:marLeft w:val="480"/>
          <w:marRight w:val="0"/>
          <w:marTop w:val="0"/>
          <w:marBottom w:val="0"/>
          <w:divBdr>
            <w:top w:val="none" w:sz="0" w:space="0" w:color="auto"/>
            <w:left w:val="none" w:sz="0" w:space="0" w:color="auto"/>
            <w:bottom w:val="none" w:sz="0" w:space="0" w:color="auto"/>
            <w:right w:val="none" w:sz="0" w:space="0" w:color="auto"/>
          </w:divBdr>
        </w:div>
        <w:div w:id="887648832">
          <w:marLeft w:val="480"/>
          <w:marRight w:val="0"/>
          <w:marTop w:val="0"/>
          <w:marBottom w:val="0"/>
          <w:divBdr>
            <w:top w:val="none" w:sz="0" w:space="0" w:color="auto"/>
            <w:left w:val="none" w:sz="0" w:space="0" w:color="auto"/>
            <w:bottom w:val="none" w:sz="0" w:space="0" w:color="auto"/>
            <w:right w:val="none" w:sz="0" w:space="0" w:color="auto"/>
          </w:divBdr>
        </w:div>
        <w:div w:id="814954910">
          <w:marLeft w:val="480"/>
          <w:marRight w:val="0"/>
          <w:marTop w:val="0"/>
          <w:marBottom w:val="0"/>
          <w:divBdr>
            <w:top w:val="none" w:sz="0" w:space="0" w:color="auto"/>
            <w:left w:val="none" w:sz="0" w:space="0" w:color="auto"/>
            <w:bottom w:val="none" w:sz="0" w:space="0" w:color="auto"/>
            <w:right w:val="none" w:sz="0" w:space="0" w:color="auto"/>
          </w:divBdr>
        </w:div>
        <w:div w:id="1982492402">
          <w:marLeft w:val="480"/>
          <w:marRight w:val="0"/>
          <w:marTop w:val="0"/>
          <w:marBottom w:val="0"/>
          <w:divBdr>
            <w:top w:val="none" w:sz="0" w:space="0" w:color="auto"/>
            <w:left w:val="none" w:sz="0" w:space="0" w:color="auto"/>
            <w:bottom w:val="none" w:sz="0" w:space="0" w:color="auto"/>
            <w:right w:val="none" w:sz="0" w:space="0" w:color="auto"/>
          </w:divBdr>
        </w:div>
        <w:div w:id="1619027744">
          <w:marLeft w:val="480"/>
          <w:marRight w:val="0"/>
          <w:marTop w:val="0"/>
          <w:marBottom w:val="0"/>
          <w:divBdr>
            <w:top w:val="none" w:sz="0" w:space="0" w:color="auto"/>
            <w:left w:val="none" w:sz="0" w:space="0" w:color="auto"/>
            <w:bottom w:val="none" w:sz="0" w:space="0" w:color="auto"/>
            <w:right w:val="none" w:sz="0" w:space="0" w:color="auto"/>
          </w:divBdr>
        </w:div>
      </w:divsChild>
    </w:div>
    <w:div w:id="1531264072">
      <w:bodyDiv w:val="1"/>
      <w:marLeft w:val="0"/>
      <w:marRight w:val="0"/>
      <w:marTop w:val="0"/>
      <w:marBottom w:val="0"/>
      <w:divBdr>
        <w:top w:val="none" w:sz="0" w:space="0" w:color="auto"/>
        <w:left w:val="none" w:sz="0" w:space="0" w:color="auto"/>
        <w:bottom w:val="none" w:sz="0" w:space="0" w:color="auto"/>
        <w:right w:val="none" w:sz="0" w:space="0" w:color="auto"/>
      </w:divBdr>
    </w:div>
    <w:div w:id="1626620725">
      <w:bodyDiv w:val="1"/>
      <w:marLeft w:val="0"/>
      <w:marRight w:val="0"/>
      <w:marTop w:val="0"/>
      <w:marBottom w:val="0"/>
      <w:divBdr>
        <w:top w:val="none" w:sz="0" w:space="0" w:color="auto"/>
        <w:left w:val="none" w:sz="0" w:space="0" w:color="auto"/>
        <w:bottom w:val="none" w:sz="0" w:space="0" w:color="auto"/>
        <w:right w:val="none" w:sz="0" w:space="0" w:color="auto"/>
      </w:divBdr>
      <w:divsChild>
        <w:div w:id="50809476">
          <w:marLeft w:val="480"/>
          <w:marRight w:val="0"/>
          <w:marTop w:val="0"/>
          <w:marBottom w:val="0"/>
          <w:divBdr>
            <w:top w:val="none" w:sz="0" w:space="0" w:color="auto"/>
            <w:left w:val="none" w:sz="0" w:space="0" w:color="auto"/>
            <w:bottom w:val="none" w:sz="0" w:space="0" w:color="auto"/>
            <w:right w:val="none" w:sz="0" w:space="0" w:color="auto"/>
          </w:divBdr>
        </w:div>
        <w:div w:id="1510559423">
          <w:marLeft w:val="480"/>
          <w:marRight w:val="0"/>
          <w:marTop w:val="0"/>
          <w:marBottom w:val="0"/>
          <w:divBdr>
            <w:top w:val="none" w:sz="0" w:space="0" w:color="auto"/>
            <w:left w:val="none" w:sz="0" w:space="0" w:color="auto"/>
            <w:bottom w:val="none" w:sz="0" w:space="0" w:color="auto"/>
            <w:right w:val="none" w:sz="0" w:space="0" w:color="auto"/>
          </w:divBdr>
        </w:div>
        <w:div w:id="517163887">
          <w:marLeft w:val="480"/>
          <w:marRight w:val="0"/>
          <w:marTop w:val="0"/>
          <w:marBottom w:val="0"/>
          <w:divBdr>
            <w:top w:val="none" w:sz="0" w:space="0" w:color="auto"/>
            <w:left w:val="none" w:sz="0" w:space="0" w:color="auto"/>
            <w:bottom w:val="none" w:sz="0" w:space="0" w:color="auto"/>
            <w:right w:val="none" w:sz="0" w:space="0" w:color="auto"/>
          </w:divBdr>
        </w:div>
        <w:div w:id="2041319118">
          <w:marLeft w:val="480"/>
          <w:marRight w:val="0"/>
          <w:marTop w:val="0"/>
          <w:marBottom w:val="0"/>
          <w:divBdr>
            <w:top w:val="none" w:sz="0" w:space="0" w:color="auto"/>
            <w:left w:val="none" w:sz="0" w:space="0" w:color="auto"/>
            <w:bottom w:val="none" w:sz="0" w:space="0" w:color="auto"/>
            <w:right w:val="none" w:sz="0" w:space="0" w:color="auto"/>
          </w:divBdr>
        </w:div>
        <w:div w:id="1992445913">
          <w:marLeft w:val="480"/>
          <w:marRight w:val="0"/>
          <w:marTop w:val="0"/>
          <w:marBottom w:val="0"/>
          <w:divBdr>
            <w:top w:val="none" w:sz="0" w:space="0" w:color="auto"/>
            <w:left w:val="none" w:sz="0" w:space="0" w:color="auto"/>
            <w:bottom w:val="none" w:sz="0" w:space="0" w:color="auto"/>
            <w:right w:val="none" w:sz="0" w:space="0" w:color="auto"/>
          </w:divBdr>
        </w:div>
      </w:divsChild>
    </w:div>
    <w:div w:id="1727800507">
      <w:bodyDiv w:val="1"/>
      <w:marLeft w:val="0"/>
      <w:marRight w:val="0"/>
      <w:marTop w:val="0"/>
      <w:marBottom w:val="0"/>
      <w:divBdr>
        <w:top w:val="none" w:sz="0" w:space="0" w:color="auto"/>
        <w:left w:val="none" w:sz="0" w:space="0" w:color="auto"/>
        <w:bottom w:val="none" w:sz="0" w:space="0" w:color="auto"/>
        <w:right w:val="none" w:sz="0" w:space="0" w:color="auto"/>
      </w:divBdr>
      <w:divsChild>
        <w:div w:id="945885231">
          <w:marLeft w:val="480"/>
          <w:marRight w:val="0"/>
          <w:marTop w:val="0"/>
          <w:marBottom w:val="0"/>
          <w:divBdr>
            <w:top w:val="none" w:sz="0" w:space="0" w:color="auto"/>
            <w:left w:val="none" w:sz="0" w:space="0" w:color="auto"/>
            <w:bottom w:val="none" w:sz="0" w:space="0" w:color="auto"/>
            <w:right w:val="none" w:sz="0" w:space="0" w:color="auto"/>
          </w:divBdr>
        </w:div>
        <w:div w:id="1523274891">
          <w:marLeft w:val="480"/>
          <w:marRight w:val="0"/>
          <w:marTop w:val="0"/>
          <w:marBottom w:val="0"/>
          <w:divBdr>
            <w:top w:val="none" w:sz="0" w:space="0" w:color="auto"/>
            <w:left w:val="none" w:sz="0" w:space="0" w:color="auto"/>
            <w:bottom w:val="none" w:sz="0" w:space="0" w:color="auto"/>
            <w:right w:val="none" w:sz="0" w:space="0" w:color="auto"/>
          </w:divBdr>
        </w:div>
        <w:div w:id="211774462">
          <w:marLeft w:val="480"/>
          <w:marRight w:val="0"/>
          <w:marTop w:val="0"/>
          <w:marBottom w:val="0"/>
          <w:divBdr>
            <w:top w:val="none" w:sz="0" w:space="0" w:color="auto"/>
            <w:left w:val="none" w:sz="0" w:space="0" w:color="auto"/>
            <w:bottom w:val="none" w:sz="0" w:space="0" w:color="auto"/>
            <w:right w:val="none" w:sz="0" w:space="0" w:color="auto"/>
          </w:divBdr>
        </w:div>
        <w:div w:id="305860797">
          <w:marLeft w:val="480"/>
          <w:marRight w:val="0"/>
          <w:marTop w:val="0"/>
          <w:marBottom w:val="0"/>
          <w:divBdr>
            <w:top w:val="none" w:sz="0" w:space="0" w:color="auto"/>
            <w:left w:val="none" w:sz="0" w:space="0" w:color="auto"/>
            <w:bottom w:val="none" w:sz="0" w:space="0" w:color="auto"/>
            <w:right w:val="none" w:sz="0" w:space="0" w:color="auto"/>
          </w:divBdr>
        </w:div>
        <w:div w:id="576716921">
          <w:marLeft w:val="480"/>
          <w:marRight w:val="0"/>
          <w:marTop w:val="0"/>
          <w:marBottom w:val="0"/>
          <w:divBdr>
            <w:top w:val="none" w:sz="0" w:space="0" w:color="auto"/>
            <w:left w:val="none" w:sz="0" w:space="0" w:color="auto"/>
            <w:bottom w:val="none" w:sz="0" w:space="0" w:color="auto"/>
            <w:right w:val="none" w:sz="0" w:space="0" w:color="auto"/>
          </w:divBdr>
        </w:div>
        <w:div w:id="655961127">
          <w:marLeft w:val="480"/>
          <w:marRight w:val="0"/>
          <w:marTop w:val="0"/>
          <w:marBottom w:val="0"/>
          <w:divBdr>
            <w:top w:val="none" w:sz="0" w:space="0" w:color="auto"/>
            <w:left w:val="none" w:sz="0" w:space="0" w:color="auto"/>
            <w:bottom w:val="none" w:sz="0" w:space="0" w:color="auto"/>
            <w:right w:val="none" w:sz="0" w:space="0" w:color="auto"/>
          </w:divBdr>
        </w:div>
        <w:div w:id="1762986691">
          <w:marLeft w:val="480"/>
          <w:marRight w:val="0"/>
          <w:marTop w:val="0"/>
          <w:marBottom w:val="0"/>
          <w:divBdr>
            <w:top w:val="none" w:sz="0" w:space="0" w:color="auto"/>
            <w:left w:val="none" w:sz="0" w:space="0" w:color="auto"/>
            <w:bottom w:val="none" w:sz="0" w:space="0" w:color="auto"/>
            <w:right w:val="none" w:sz="0" w:space="0" w:color="auto"/>
          </w:divBdr>
        </w:div>
        <w:div w:id="1604997974">
          <w:marLeft w:val="480"/>
          <w:marRight w:val="0"/>
          <w:marTop w:val="0"/>
          <w:marBottom w:val="0"/>
          <w:divBdr>
            <w:top w:val="none" w:sz="0" w:space="0" w:color="auto"/>
            <w:left w:val="none" w:sz="0" w:space="0" w:color="auto"/>
            <w:bottom w:val="none" w:sz="0" w:space="0" w:color="auto"/>
            <w:right w:val="none" w:sz="0" w:space="0" w:color="auto"/>
          </w:divBdr>
        </w:div>
        <w:div w:id="930046649">
          <w:marLeft w:val="480"/>
          <w:marRight w:val="0"/>
          <w:marTop w:val="0"/>
          <w:marBottom w:val="0"/>
          <w:divBdr>
            <w:top w:val="none" w:sz="0" w:space="0" w:color="auto"/>
            <w:left w:val="none" w:sz="0" w:space="0" w:color="auto"/>
            <w:bottom w:val="none" w:sz="0" w:space="0" w:color="auto"/>
            <w:right w:val="none" w:sz="0" w:space="0" w:color="auto"/>
          </w:divBdr>
        </w:div>
        <w:div w:id="62918655">
          <w:marLeft w:val="480"/>
          <w:marRight w:val="0"/>
          <w:marTop w:val="0"/>
          <w:marBottom w:val="0"/>
          <w:divBdr>
            <w:top w:val="none" w:sz="0" w:space="0" w:color="auto"/>
            <w:left w:val="none" w:sz="0" w:space="0" w:color="auto"/>
            <w:bottom w:val="none" w:sz="0" w:space="0" w:color="auto"/>
            <w:right w:val="none" w:sz="0" w:space="0" w:color="auto"/>
          </w:divBdr>
        </w:div>
        <w:div w:id="652442732">
          <w:marLeft w:val="480"/>
          <w:marRight w:val="0"/>
          <w:marTop w:val="0"/>
          <w:marBottom w:val="0"/>
          <w:divBdr>
            <w:top w:val="none" w:sz="0" w:space="0" w:color="auto"/>
            <w:left w:val="none" w:sz="0" w:space="0" w:color="auto"/>
            <w:bottom w:val="none" w:sz="0" w:space="0" w:color="auto"/>
            <w:right w:val="none" w:sz="0" w:space="0" w:color="auto"/>
          </w:divBdr>
        </w:div>
      </w:divsChild>
    </w:div>
    <w:div w:id="1780685555">
      <w:bodyDiv w:val="1"/>
      <w:marLeft w:val="0"/>
      <w:marRight w:val="0"/>
      <w:marTop w:val="0"/>
      <w:marBottom w:val="0"/>
      <w:divBdr>
        <w:top w:val="none" w:sz="0" w:space="0" w:color="auto"/>
        <w:left w:val="none" w:sz="0" w:space="0" w:color="auto"/>
        <w:bottom w:val="none" w:sz="0" w:space="0" w:color="auto"/>
        <w:right w:val="none" w:sz="0" w:space="0" w:color="auto"/>
      </w:divBdr>
    </w:div>
    <w:div w:id="1876041070">
      <w:bodyDiv w:val="1"/>
      <w:marLeft w:val="0"/>
      <w:marRight w:val="0"/>
      <w:marTop w:val="0"/>
      <w:marBottom w:val="0"/>
      <w:divBdr>
        <w:top w:val="none" w:sz="0" w:space="0" w:color="auto"/>
        <w:left w:val="none" w:sz="0" w:space="0" w:color="auto"/>
        <w:bottom w:val="none" w:sz="0" w:space="0" w:color="auto"/>
        <w:right w:val="none" w:sz="0" w:space="0" w:color="auto"/>
      </w:divBdr>
    </w:div>
    <w:div w:id="1902673052">
      <w:bodyDiv w:val="1"/>
      <w:marLeft w:val="0"/>
      <w:marRight w:val="0"/>
      <w:marTop w:val="0"/>
      <w:marBottom w:val="0"/>
      <w:divBdr>
        <w:top w:val="none" w:sz="0" w:space="0" w:color="auto"/>
        <w:left w:val="none" w:sz="0" w:space="0" w:color="auto"/>
        <w:bottom w:val="none" w:sz="0" w:space="0" w:color="auto"/>
        <w:right w:val="none" w:sz="0" w:space="0" w:color="auto"/>
      </w:divBdr>
    </w:div>
    <w:div w:id="1952786827">
      <w:bodyDiv w:val="1"/>
      <w:marLeft w:val="0"/>
      <w:marRight w:val="0"/>
      <w:marTop w:val="0"/>
      <w:marBottom w:val="0"/>
      <w:divBdr>
        <w:top w:val="none" w:sz="0" w:space="0" w:color="auto"/>
        <w:left w:val="none" w:sz="0" w:space="0" w:color="auto"/>
        <w:bottom w:val="none" w:sz="0" w:space="0" w:color="auto"/>
        <w:right w:val="none" w:sz="0" w:space="0" w:color="auto"/>
      </w:divBdr>
    </w:div>
    <w:div w:id="2066368143">
      <w:bodyDiv w:val="1"/>
      <w:marLeft w:val="0"/>
      <w:marRight w:val="0"/>
      <w:marTop w:val="0"/>
      <w:marBottom w:val="0"/>
      <w:divBdr>
        <w:top w:val="none" w:sz="0" w:space="0" w:color="auto"/>
        <w:left w:val="none" w:sz="0" w:space="0" w:color="auto"/>
        <w:bottom w:val="none" w:sz="0" w:space="0" w:color="auto"/>
        <w:right w:val="none" w:sz="0" w:space="0" w:color="auto"/>
      </w:divBdr>
      <w:divsChild>
        <w:div w:id="1874658120">
          <w:marLeft w:val="480"/>
          <w:marRight w:val="0"/>
          <w:marTop w:val="0"/>
          <w:marBottom w:val="0"/>
          <w:divBdr>
            <w:top w:val="none" w:sz="0" w:space="0" w:color="auto"/>
            <w:left w:val="none" w:sz="0" w:space="0" w:color="auto"/>
            <w:bottom w:val="none" w:sz="0" w:space="0" w:color="auto"/>
            <w:right w:val="none" w:sz="0" w:space="0" w:color="auto"/>
          </w:divBdr>
        </w:div>
        <w:div w:id="1781143743">
          <w:marLeft w:val="480"/>
          <w:marRight w:val="0"/>
          <w:marTop w:val="0"/>
          <w:marBottom w:val="0"/>
          <w:divBdr>
            <w:top w:val="none" w:sz="0" w:space="0" w:color="auto"/>
            <w:left w:val="none" w:sz="0" w:space="0" w:color="auto"/>
            <w:bottom w:val="none" w:sz="0" w:space="0" w:color="auto"/>
            <w:right w:val="none" w:sz="0" w:space="0" w:color="auto"/>
          </w:divBdr>
        </w:div>
        <w:div w:id="1634140440">
          <w:marLeft w:val="480"/>
          <w:marRight w:val="0"/>
          <w:marTop w:val="0"/>
          <w:marBottom w:val="0"/>
          <w:divBdr>
            <w:top w:val="none" w:sz="0" w:space="0" w:color="auto"/>
            <w:left w:val="none" w:sz="0" w:space="0" w:color="auto"/>
            <w:bottom w:val="none" w:sz="0" w:space="0" w:color="auto"/>
            <w:right w:val="none" w:sz="0" w:space="0" w:color="auto"/>
          </w:divBdr>
        </w:div>
        <w:div w:id="1920942250">
          <w:marLeft w:val="480"/>
          <w:marRight w:val="0"/>
          <w:marTop w:val="0"/>
          <w:marBottom w:val="0"/>
          <w:divBdr>
            <w:top w:val="none" w:sz="0" w:space="0" w:color="auto"/>
            <w:left w:val="none" w:sz="0" w:space="0" w:color="auto"/>
            <w:bottom w:val="none" w:sz="0" w:space="0" w:color="auto"/>
            <w:right w:val="none" w:sz="0" w:space="0" w:color="auto"/>
          </w:divBdr>
        </w:div>
        <w:div w:id="1188329744">
          <w:marLeft w:val="480"/>
          <w:marRight w:val="0"/>
          <w:marTop w:val="0"/>
          <w:marBottom w:val="0"/>
          <w:divBdr>
            <w:top w:val="none" w:sz="0" w:space="0" w:color="auto"/>
            <w:left w:val="none" w:sz="0" w:space="0" w:color="auto"/>
            <w:bottom w:val="none" w:sz="0" w:space="0" w:color="auto"/>
            <w:right w:val="none" w:sz="0" w:space="0" w:color="auto"/>
          </w:divBdr>
        </w:div>
        <w:div w:id="865305">
          <w:marLeft w:val="480"/>
          <w:marRight w:val="0"/>
          <w:marTop w:val="0"/>
          <w:marBottom w:val="0"/>
          <w:divBdr>
            <w:top w:val="none" w:sz="0" w:space="0" w:color="auto"/>
            <w:left w:val="none" w:sz="0" w:space="0" w:color="auto"/>
            <w:bottom w:val="none" w:sz="0" w:space="0" w:color="auto"/>
            <w:right w:val="none" w:sz="0" w:space="0" w:color="auto"/>
          </w:divBdr>
        </w:div>
        <w:div w:id="716205272">
          <w:marLeft w:val="480"/>
          <w:marRight w:val="0"/>
          <w:marTop w:val="0"/>
          <w:marBottom w:val="0"/>
          <w:divBdr>
            <w:top w:val="none" w:sz="0" w:space="0" w:color="auto"/>
            <w:left w:val="none" w:sz="0" w:space="0" w:color="auto"/>
            <w:bottom w:val="none" w:sz="0" w:space="0" w:color="auto"/>
            <w:right w:val="none" w:sz="0" w:space="0" w:color="auto"/>
          </w:divBdr>
        </w:div>
        <w:div w:id="1311516946">
          <w:marLeft w:val="480"/>
          <w:marRight w:val="0"/>
          <w:marTop w:val="0"/>
          <w:marBottom w:val="0"/>
          <w:divBdr>
            <w:top w:val="none" w:sz="0" w:space="0" w:color="auto"/>
            <w:left w:val="none" w:sz="0" w:space="0" w:color="auto"/>
            <w:bottom w:val="none" w:sz="0" w:space="0" w:color="auto"/>
            <w:right w:val="none" w:sz="0" w:space="0" w:color="auto"/>
          </w:divBdr>
        </w:div>
        <w:div w:id="553197408">
          <w:marLeft w:val="480"/>
          <w:marRight w:val="0"/>
          <w:marTop w:val="0"/>
          <w:marBottom w:val="0"/>
          <w:divBdr>
            <w:top w:val="none" w:sz="0" w:space="0" w:color="auto"/>
            <w:left w:val="none" w:sz="0" w:space="0" w:color="auto"/>
            <w:bottom w:val="none" w:sz="0" w:space="0" w:color="auto"/>
            <w:right w:val="none" w:sz="0" w:space="0" w:color="auto"/>
          </w:divBdr>
        </w:div>
        <w:div w:id="820848863">
          <w:marLeft w:val="48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4.xm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62" b="0" i="0" u="none" strike="noStrike" kern="1200" spc="0" baseline="0">
                <a:solidFill>
                  <a:schemeClr val="tx1">
                    <a:lumMod val="65000"/>
                    <a:lumOff val="35000"/>
                  </a:schemeClr>
                </a:solidFill>
                <a:latin typeface="+mn-lt"/>
                <a:ea typeface="+mn-ea"/>
                <a:cs typeface="+mn-cs"/>
              </a:defRPr>
            </a:pPr>
            <a:r>
              <a:rPr lang="en-AU" sz="1600" dirty="0"/>
              <a:t>Most common</a:t>
            </a:r>
            <a:r>
              <a:rPr lang="en-AU" sz="1600" baseline="0" dirty="0"/>
              <a:t> routes from a student or temporary graduate visa direct to PR 2023-24</a:t>
            </a:r>
            <a:endParaRPr lang="en-AU" sz="1600" dirty="0"/>
          </a:p>
        </c:rich>
      </c:tx>
      <c:layout>
        <c:manualLayout>
          <c:xMode val="edge"/>
          <c:yMode val="edge"/>
          <c:x val="0.13172467486508008"/>
          <c:y val="1.8404907975460124E-2"/>
        </c:manualLayout>
      </c:layout>
      <c:overlay val="0"/>
      <c:spPr>
        <a:noFill/>
        <a:ln>
          <a:noFill/>
        </a:ln>
        <a:effectLst/>
      </c:spPr>
      <c:txPr>
        <a:bodyPr rot="0" spcFirstLastPara="1" vertOverflow="ellipsis" vert="horz" wrap="square" anchor="ctr" anchorCtr="1"/>
        <a:lstStyle/>
        <a:p>
          <a:pPr>
            <a:defRPr sz="1862"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tx>
            <c:strRef>
              <c:f>Sheet1!$B$1</c:f>
              <c:strCache>
                <c:ptCount val="1"/>
                <c:pt idx="0">
                  <c:v>Direct from temporary graduate</c:v>
                </c:pt>
              </c:strCache>
            </c:strRef>
          </c:tx>
          <c:spPr>
            <a:solidFill>
              <a:schemeClr val="accent1"/>
            </a:solidFill>
            <a:ln>
              <a:noFill/>
            </a:ln>
            <a:effectLst/>
          </c:spPr>
          <c:invertIfNegative val="0"/>
          <c:cat>
            <c:strRef>
              <c:f>Sheet1!$A$2:$A$9</c:f>
              <c:strCache>
                <c:ptCount val="8"/>
                <c:pt idx="0">
                  <c:v>190 skilled state/ territory nominated (points tested)</c:v>
                </c:pt>
                <c:pt idx="1">
                  <c:v>189 skilled independent (points tested)</c:v>
                </c:pt>
                <c:pt idx="2">
                  <c:v>491 skilled work regional state /erritory nominated (points tested) (pathway)</c:v>
                </c:pt>
                <c:pt idx="3">
                  <c:v>820 partner (pathway) </c:v>
                </c:pt>
                <c:pt idx="4">
                  <c:v>186 employer nomination </c:v>
                </c:pt>
                <c:pt idx="5">
                  <c:v>866 protection </c:v>
                </c:pt>
                <c:pt idx="6">
                  <c:v>858  global talent</c:v>
                </c:pt>
                <c:pt idx="7">
                  <c:v>494 skilled employer sponsored regional (pathway)</c:v>
                </c:pt>
              </c:strCache>
            </c:strRef>
          </c:cat>
          <c:val>
            <c:numRef>
              <c:f>Sheet1!$B$2:$B$9</c:f>
              <c:numCache>
                <c:formatCode>General</c:formatCode>
                <c:ptCount val="8"/>
                <c:pt idx="0">
                  <c:v>10749</c:v>
                </c:pt>
                <c:pt idx="1">
                  <c:v>9947</c:v>
                </c:pt>
                <c:pt idx="2">
                  <c:v>6846</c:v>
                </c:pt>
                <c:pt idx="3">
                  <c:v>1637</c:v>
                </c:pt>
                <c:pt idx="4">
                  <c:v>1273</c:v>
                </c:pt>
                <c:pt idx="5">
                  <c:v>104</c:v>
                </c:pt>
                <c:pt idx="6">
                  <c:v>422</c:v>
                </c:pt>
                <c:pt idx="7">
                  <c:v>364</c:v>
                </c:pt>
              </c:numCache>
            </c:numRef>
          </c:val>
          <c:extLst>
            <c:ext xmlns:c16="http://schemas.microsoft.com/office/drawing/2014/chart" uri="{C3380CC4-5D6E-409C-BE32-E72D297353CC}">
              <c16:uniqueId val="{00000000-57F8-4483-A914-42260C65B28D}"/>
            </c:ext>
          </c:extLst>
        </c:ser>
        <c:ser>
          <c:idx val="1"/>
          <c:order val="1"/>
          <c:tx>
            <c:strRef>
              <c:f>Sheet1!$C$1</c:f>
              <c:strCache>
                <c:ptCount val="1"/>
                <c:pt idx="0">
                  <c:v>Direct from student</c:v>
                </c:pt>
              </c:strCache>
            </c:strRef>
          </c:tx>
          <c:spPr>
            <a:solidFill>
              <a:schemeClr val="accent2"/>
            </a:solidFill>
            <a:ln>
              <a:noFill/>
            </a:ln>
            <a:effectLst/>
          </c:spPr>
          <c:invertIfNegative val="0"/>
          <c:cat>
            <c:strRef>
              <c:f>Sheet1!$A$2:$A$9</c:f>
              <c:strCache>
                <c:ptCount val="8"/>
                <c:pt idx="0">
                  <c:v>190 skilled state/ territory nominated (points tested)</c:v>
                </c:pt>
                <c:pt idx="1">
                  <c:v>189 skilled independent (points tested)</c:v>
                </c:pt>
                <c:pt idx="2">
                  <c:v>491 skilled work regional state /erritory nominated (points tested) (pathway)</c:v>
                </c:pt>
                <c:pt idx="3">
                  <c:v>820 partner (pathway) </c:v>
                </c:pt>
                <c:pt idx="4">
                  <c:v>186 employer nomination </c:v>
                </c:pt>
                <c:pt idx="5">
                  <c:v>866 protection </c:v>
                </c:pt>
                <c:pt idx="6">
                  <c:v>858  global talent</c:v>
                </c:pt>
                <c:pt idx="7">
                  <c:v>494 skilled employer sponsored regional (pathway)</c:v>
                </c:pt>
              </c:strCache>
            </c:strRef>
          </c:cat>
          <c:val>
            <c:numRef>
              <c:f>Sheet1!$C$2:$C$9</c:f>
              <c:numCache>
                <c:formatCode>General</c:formatCode>
                <c:ptCount val="8"/>
                <c:pt idx="0">
                  <c:v>3355</c:v>
                </c:pt>
                <c:pt idx="1">
                  <c:v>2999</c:v>
                </c:pt>
                <c:pt idx="2">
                  <c:v>4155</c:v>
                </c:pt>
                <c:pt idx="3">
                  <c:v>6060</c:v>
                </c:pt>
                <c:pt idx="4">
                  <c:v>1127</c:v>
                </c:pt>
                <c:pt idx="5">
                  <c:v>1123</c:v>
                </c:pt>
                <c:pt idx="6">
                  <c:v>0</c:v>
                </c:pt>
                <c:pt idx="7">
                  <c:v>0</c:v>
                </c:pt>
              </c:numCache>
            </c:numRef>
          </c:val>
          <c:extLst>
            <c:ext xmlns:c16="http://schemas.microsoft.com/office/drawing/2014/chart" uri="{C3380CC4-5D6E-409C-BE32-E72D297353CC}">
              <c16:uniqueId val="{00000001-57F8-4483-A914-42260C65B28D}"/>
            </c:ext>
          </c:extLst>
        </c:ser>
        <c:dLbls>
          <c:showLegendKey val="0"/>
          <c:showVal val="0"/>
          <c:showCatName val="0"/>
          <c:showSerName val="0"/>
          <c:showPercent val="0"/>
          <c:showBubbleSize val="0"/>
        </c:dLbls>
        <c:gapWidth val="150"/>
        <c:overlap val="100"/>
        <c:axId val="1221767856"/>
        <c:axId val="1221769520"/>
      </c:barChart>
      <c:catAx>
        <c:axId val="1221767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221769520"/>
        <c:crosses val="autoZero"/>
        <c:auto val="1"/>
        <c:lblAlgn val="ctr"/>
        <c:lblOffset val="100"/>
        <c:noMultiLvlLbl val="0"/>
      </c:catAx>
      <c:valAx>
        <c:axId val="12217695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122176785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Possibility</a:t>
            </a:r>
            <a:r>
              <a:rPr lang="en-US" baseline="0"/>
              <a:t> of migration a factor in choosing Australia, international undergraduates 2024</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Sheet1!$A$2:$A$7</c:f>
              <c:strCache>
                <c:ptCount val="6"/>
                <c:pt idx="0">
                  <c:v>China </c:v>
                </c:pt>
                <c:pt idx="1">
                  <c:v>Vietnam</c:v>
                </c:pt>
                <c:pt idx="2">
                  <c:v>Malaysia</c:v>
                </c:pt>
                <c:pt idx="3">
                  <c:v>Total</c:v>
                </c:pt>
                <c:pt idx="4">
                  <c:v>India</c:v>
                </c:pt>
                <c:pt idx="5">
                  <c:v>Nepal</c:v>
                </c:pt>
              </c:strCache>
            </c:strRef>
          </c:cat>
          <c:val>
            <c:numRef>
              <c:f>Sheet1!$B$2:$B$7</c:f>
              <c:numCache>
                <c:formatCode>General</c:formatCode>
                <c:ptCount val="6"/>
                <c:pt idx="0">
                  <c:v>0.54900000000000004</c:v>
                </c:pt>
                <c:pt idx="1">
                  <c:v>0.68100000000000005</c:v>
                </c:pt>
                <c:pt idx="2">
                  <c:v>0.69199999999999995</c:v>
                </c:pt>
                <c:pt idx="3">
                  <c:v>0.71399999999999997</c:v>
                </c:pt>
                <c:pt idx="4">
                  <c:v>0.745</c:v>
                </c:pt>
                <c:pt idx="5">
                  <c:v>0.84299999999999997</c:v>
                </c:pt>
              </c:numCache>
            </c:numRef>
          </c:val>
          <c:extLst>
            <c:ext xmlns:c16="http://schemas.microsoft.com/office/drawing/2014/chart" uri="{C3380CC4-5D6E-409C-BE32-E72D297353CC}">
              <c16:uniqueId val="{00000000-56AA-4B58-A623-F5F6F6CE672A}"/>
            </c:ext>
          </c:extLst>
        </c:ser>
        <c:dLbls>
          <c:showLegendKey val="0"/>
          <c:showVal val="0"/>
          <c:showCatName val="0"/>
          <c:showSerName val="0"/>
          <c:showPercent val="0"/>
          <c:showBubbleSize val="0"/>
        </c:dLbls>
        <c:gapWidth val="219"/>
        <c:overlap val="-27"/>
        <c:axId val="715340831"/>
        <c:axId val="715338335"/>
      </c:barChart>
      <c:catAx>
        <c:axId val="7153408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715338335"/>
        <c:crosses val="autoZero"/>
        <c:auto val="1"/>
        <c:lblAlgn val="ctr"/>
        <c:lblOffset val="100"/>
        <c:noMultiLvlLbl val="0"/>
      </c:catAx>
      <c:valAx>
        <c:axId val="715338335"/>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71534083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aseline="0"/>
              <a:t>Domestic enrolments in private universities, university colleges and non-university higher education providers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numRef>
              <c:f>Sheet1!$A$2:$A$6</c:f>
              <c:numCache>
                <c:formatCode>General</c:formatCode>
                <c:ptCount val="5"/>
                <c:pt idx="0">
                  <c:v>1999</c:v>
                </c:pt>
                <c:pt idx="1">
                  <c:v>2010</c:v>
                </c:pt>
                <c:pt idx="2">
                  <c:v>2015</c:v>
                </c:pt>
                <c:pt idx="3">
                  <c:v>2020</c:v>
                </c:pt>
                <c:pt idx="4">
                  <c:v>2024</c:v>
                </c:pt>
              </c:numCache>
            </c:numRef>
          </c:cat>
          <c:val>
            <c:numRef>
              <c:f>Sheet1!$B$2:$B$6</c:f>
              <c:numCache>
                <c:formatCode>General</c:formatCode>
                <c:ptCount val="5"/>
                <c:pt idx="0">
                  <c:v>30019</c:v>
                </c:pt>
                <c:pt idx="1">
                  <c:v>42712</c:v>
                </c:pt>
                <c:pt idx="2">
                  <c:v>62736</c:v>
                </c:pt>
                <c:pt idx="3">
                  <c:v>78861</c:v>
                </c:pt>
                <c:pt idx="4">
                  <c:v>88476</c:v>
                </c:pt>
              </c:numCache>
            </c:numRef>
          </c:val>
          <c:extLst>
            <c:ext xmlns:c16="http://schemas.microsoft.com/office/drawing/2014/chart" uri="{C3380CC4-5D6E-409C-BE32-E72D297353CC}">
              <c16:uniqueId val="{00000000-DA9C-4CF8-B67C-CA24AAC7B1DC}"/>
            </c:ext>
          </c:extLst>
        </c:ser>
        <c:dLbls>
          <c:showLegendKey val="0"/>
          <c:showVal val="0"/>
          <c:showCatName val="0"/>
          <c:showSerName val="0"/>
          <c:showPercent val="0"/>
          <c:showBubbleSize val="0"/>
        </c:dLbls>
        <c:gapWidth val="219"/>
        <c:overlap val="-27"/>
        <c:axId val="867013871"/>
        <c:axId val="867008879"/>
      </c:barChart>
      <c:catAx>
        <c:axId val="8670138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7008879"/>
        <c:crosses val="autoZero"/>
        <c:auto val="1"/>
        <c:lblAlgn val="ctr"/>
        <c:lblOffset val="100"/>
        <c:noMultiLvlLbl val="0"/>
      </c:catAx>
      <c:valAx>
        <c:axId val="867008879"/>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701387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All medical practitioners </c:v>
                </c:pt>
              </c:strCache>
            </c:strRef>
          </c:tx>
          <c:spPr>
            <a:ln w="28575" cap="rnd">
              <a:solidFill>
                <a:schemeClr val="accent1"/>
              </a:solidFill>
              <a:prstDash val="dash"/>
              <a:round/>
            </a:ln>
            <a:effectLst/>
          </c:spPr>
          <c:marker>
            <c:symbol val="none"/>
          </c:marker>
          <c:cat>
            <c:strRef>
              <c:f>Sheet1!$A$2:$A$13</c:f>
              <c:strCach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strCache>
            </c:strRef>
          </c:cat>
          <c:val>
            <c:numRef>
              <c:f>Sheet1!$B$2:$B$13</c:f>
              <c:numCache>
                <c:formatCode>General</c:formatCode>
                <c:ptCount val="12"/>
                <c:pt idx="0">
                  <c:v>2.8395301427045919E-3</c:v>
                </c:pt>
                <c:pt idx="1">
                  <c:v>3.1582271818086116E-3</c:v>
                </c:pt>
                <c:pt idx="2">
                  <c:v>3.2386731667405312E-3</c:v>
                </c:pt>
                <c:pt idx="3">
                  <c:v>3.6018874328067351E-3</c:v>
                </c:pt>
                <c:pt idx="4">
                  <c:v>3.813265541945921E-3</c:v>
                </c:pt>
                <c:pt idx="5">
                  <c:v>4.4209563494079984E-3</c:v>
                </c:pt>
                <c:pt idx="6">
                  <c:v>4.7917832699993128E-3</c:v>
                </c:pt>
                <c:pt idx="7">
                  <c:v>4.6916699115800674E-3</c:v>
                </c:pt>
                <c:pt idx="8">
                  <c:v>5.188892268274025E-3</c:v>
                </c:pt>
                <c:pt idx="9">
                  <c:v>5.2185723987561213E-3</c:v>
                </c:pt>
                <c:pt idx="10">
                  <c:v>5.8485550124346107E-3</c:v>
                </c:pt>
                <c:pt idx="11">
                  <c:v>6.2481574896000522E-3</c:v>
                </c:pt>
              </c:numCache>
            </c:numRef>
          </c:val>
          <c:smooth val="0"/>
          <c:extLst>
            <c:ext xmlns:c16="http://schemas.microsoft.com/office/drawing/2014/chart" uri="{C3380CC4-5D6E-409C-BE32-E72D297353CC}">
              <c16:uniqueId val="{00000000-7C9C-4441-B671-75F7DE22128B}"/>
            </c:ext>
          </c:extLst>
        </c:ser>
        <c:ser>
          <c:idx val="1"/>
          <c:order val="1"/>
          <c:tx>
            <c:strRef>
              <c:f>Sheet1!$C$1</c:f>
              <c:strCache>
                <c:ptCount val="1"/>
                <c:pt idx="0">
                  <c:v>Medical practitioners with Australian qualifications</c:v>
                </c:pt>
              </c:strCache>
            </c:strRef>
          </c:tx>
          <c:spPr>
            <a:ln w="28575" cap="rnd">
              <a:solidFill>
                <a:schemeClr val="accent2"/>
              </a:solidFill>
              <a:round/>
            </a:ln>
            <a:effectLst/>
          </c:spPr>
          <c:marker>
            <c:symbol val="none"/>
          </c:marker>
          <c:cat>
            <c:strRef>
              <c:f>Sheet1!$A$2:$A$13</c:f>
              <c:strCach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strCache>
            </c:strRef>
          </c:cat>
          <c:val>
            <c:numRef>
              <c:f>Sheet1!$C$2:$C$13</c:f>
              <c:numCache>
                <c:formatCode>General</c:formatCode>
                <c:ptCount val="12"/>
                <c:pt idx="0">
                  <c:v>4.5314587811537792E-3</c:v>
                </c:pt>
                <c:pt idx="1">
                  <c:v>4.9497690107794968E-3</c:v>
                </c:pt>
                <c:pt idx="2">
                  <c:v>5.0101081128592776E-3</c:v>
                </c:pt>
                <c:pt idx="3">
                  <c:v>5.5539612066782583E-3</c:v>
                </c:pt>
                <c:pt idx="4">
                  <c:v>5.8508752135650044E-3</c:v>
                </c:pt>
                <c:pt idx="5">
                  <c:v>6.8012320392751603E-3</c:v>
                </c:pt>
                <c:pt idx="6">
                  <c:v>7.3761695309784003E-3</c:v>
                </c:pt>
                <c:pt idx="7">
                  <c:v>7.1752265861027191E-3</c:v>
                </c:pt>
                <c:pt idx="8">
                  <c:v>7.8857062819525179E-3</c:v>
                </c:pt>
                <c:pt idx="9">
                  <c:v>8.0295884835902154E-3</c:v>
                </c:pt>
                <c:pt idx="10">
                  <c:v>9.1014639744838727E-3</c:v>
                </c:pt>
                <c:pt idx="11">
                  <c:v>9.865273719324559E-3</c:v>
                </c:pt>
              </c:numCache>
            </c:numRef>
          </c:val>
          <c:smooth val="0"/>
          <c:extLst>
            <c:ext xmlns:c16="http://schemas.microsoft.com/office/drawing/2014/chart" uri="{C3380CC4-5D6E-409C-BE32-E72D297353CC}">
              <c16:uniqueId val="{00000001-7C9C-4441-B671-75F7DE22128B}"/>
            </c:ext>
          </c:extLst>
        </c:ser>
        <c:ser>
          <c:idx val="2"/>
          <c:order val="2"/>
          <c:tx>
            <c:strRef>
              <c:f>Sheet1!$D$1</c:f>
              <c:strCache>
                <c:ptCount val="1"/>
                <c:pt idx="0">
                  <c:v>Medical practitioners with Australian qualifications age 20-34 years </c:v>
                </c:pt>
              </c:strCache>
            </c:strRef>
          </c:tx>
          <c:spPr>
            <a:ln w="28575" cap="rnd">
              <a:solidFill>
                <a:schemeClr val="accent3"/>
              </a:solidFill>
              <a:round/>
            </a:ln>
            <a:effectLst/>
          </c:spPr>
          <c:marker>
            <c:symbol val="none"/>
          </c:marker>
          <c:cat>
            <c:strRef>
              <c:f>Sheet1!$A$2:$A$13</c:f>
              <c:strCache>
                <c:ptCount val="12"/>
                <c:pt idx="0">
                  <c:v>2013</c:v>
                </c:pt>
                <c:pt idx="1">
                  <c:v>2014</c:v>
                </c:pt>
                <c:pt idx="2">
                  <c:v>2015</c:v>
                </c:pt>
                <c:pt idx="3">
                  <c:v>2016</c:v>
                </c:pt>
                <c:pt idx="4">
                  <c:v>2017</c:v>
                </c:pt>
                <c:pt idx="5">
                  <c:v>2018</c:v>
                </c:pt>
                <c:pt idx="6">
                  <c:v>2019</c:v>
                </c:pt>
                <c:pt idx="7">
                  <c:v>2020</c:v>
                </c:pt>
                <c:pt idx="8">
                  <c:v>2021</c:v>
                </c:pt>
                <c:pt idx="9">
                  <c:v>2022</c:v>
                </c:pt>
                <c:pt idx="10">
                  <c:v>2023</c:v>
                </c:pt>
                <c:pt idx="11">
                  <c:v>2024</c:v>
                </c:pt>
              </c:strCache>
            </c:strRef>
          </c:cat>
          <c:val>
            <c:numRef>
              <c:f>Sheet1!$D$2:$D$13</c:f>
              <c:numCache>
                <c:formatCode>General</c:formatCode>
                <c:ptCount val="12"/>
                <c:pt idx="0">
                  <c:v>5.1293829428877662E-3</c:v>
                </c:pt>
                <c:pt idx="1">
                  <c:v>5.9789705174902071E-3</c:v>
                </c:pt>
                <c:pt idx="2">
                  <c:v>6.2833206397562829E-3</c:v>
                </c:pt>
                <c:pt idx="3">
                  <c:v>6.7567567567567571E-3</c:v>
                </c:pt>
                <c:pt idx="4">
                  <c:v>6.717640633533588E-3</c:v>
                </c:pt>
                <c:pt idx="5">
                  <c:v>7.7491346799607374E-3</c:v>
                </c:pt>
                <c:pt idx="6">
                  <c:v>9.1688259916284636E-3</c:v>
                </c:pt>
                <c:pt idx="7">
                  <c:v>8.2999292619665172E-3</c:v>
                </c:pt>
                <c:pt idx="8">
                  <c:v>9.4331024425811164E-3</c:v>
                </c:pt>
                <c:pt idx="9">
                  <c:v>9.8477661833130045E-3</c:v>
                </c:pt>
                <c:pt idx="10">
                  <c:v>1.0386866775229963E-2</c:v>
                </c:pt>
                <c:pt idx="11">
                  <c:v>1.1664442818404855E-2</c:v>
                </c:pt>
              </c:numCache>
            </c:numRef>
          </c:val>
          <c:smooth val="0"/>
          <c:extLst>
            <c:ext xmlns:c16="http://schemas.microsoft.com/office/drawing/2014/chart" uri="{C3380CC4-5D6E-409C-BE32-E72D297353CC}">
              <c16:uniqueId val="{00000002-7C9C-4441-B671-75F7DE22128B}"/>
            </c:ext>
          </c:extLst>
        </c:ser>
        <c:dLbls>
          <c:showLegendKey val="0"/>
          <c:showVal val="0"/>
          <c:showCatName val="0"/>
          <c:showSerName val="0"/>
          <c:showPercent val="0"/>
          <c:showBubbleSize val="0"/>
        </c:dLbls>
        <c:smooth val="0"/>
        <c:axId val="651271487"/>
        <c:axId val="573557999"/>
      </c:lineChart>
      <c:catAx>
        <c:axId val="65127148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557999"/>
        <c:crosses val="autoZero"/>
        <c:auto val="1"/>
        <c:lblAlgn val="ctr"/>
        <c:lblOffset val="100"/>
        <c:noMultiLvlLbl val="0"/>
      </c:catAx>
      <c:valAx>
        <c:axId val="573557999"/>
        <c:scaling>
          <c:orientation val="minMax"/>
          <c:max val="1.2000000000000002E-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127148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Commencements</c:v>
                </c:pt>
              </c:strCache>
            </c:strRef>
          </c:tx>
          <c:spPr>
            <a:ln w="28575" cap="rnd">
              <a:solidFill>
                <a:schemeClr val="accent1"/>
              </a:solidFill>
              <a:round/>
            </a:ln>
            <a:effectLst/>
          </c:spPr>
          <c:marker>
            <c:symbol val="none"/>
          </c:marker>
          <c:cat>
            <c:numRef>
              <c:f>Sheet1!$A$2:$A$17</c:f>
              <c:numCache>
                <c:formatCode>General</c:formatCode>
                <c:ptCount val="16"/>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numCache>
            </c:numRef>
          </c:cat>
          <c:val>
            <c:numRef>
              <c:f>Sheet1!$B$2:$B$17</c:f>
              <c:numCache>
                <c:formatCode>General</c:formatCode>
                <c:ptCount val="16"/>
                <c:pt idx="0">
                  <c:v>1.7000000000000001E-2</c:v>
                </c:pt>
                <c:pt idx="1">
                  <c:v>2.4E-2</c:v>
                </c:pt>
                <c:pt idx="2">
                  <c:v>2.3E-2</c:v>
                </c:pt>
                <c:pt idx="3">
                  <c:v>2.5000000000000001E-2</c:v>
                </c:pt>
                <c:pt idx="4">
                  <c:v>2.5000000000000001E-2</c:v>
                </c:pt>
                <c:pt idx="5">
                  <c:v>0.02</c:v>
                </c:pt>
                <c:pt idx="6">
                  <c:v>2.5999999999999999E-2</c:v>
                </c:pt>
                <c:pt idx="7">
                  <c:v>2.4E-2</c:v>
                </c:pt>
                <c:pt idx="8">
                  <c:v>2.7E-2</c:v>
                </c:pt>
                <c:pt idx="9">
                  <c:v>3.4000000000000002E-2</c:v>
                </c:pt>
                <c:pt idx="10">
                  <c:v>3.5000000000000003E-2</c:v>
                </c:pt>
                <c:pt idx="11">
                  <c:v>3.1E-2</c:v>
                </c:pt>
                <c:pt idx="12">
                  <c:v>3.4000000000000002E-2</c:v>
                </c:pt>
                <c:pt idx="13">
                  <c:v>4.1000000000000002E-2</c:v>
                </c:pt>
                <c:pt idx="14">
                  <c:v>3.5000000000000003E-2</c:v>
                </c:pt>
                <c:pt idx="15">
                  <c:v>3.5999999999999997E-2</c:v>
                </c:pt>
              </c:numCache>
            </c:numRef>
          </c:val>
          <c:smooth val="0"/>
          <c:extLst>
            <c:ext xmlns:c16="http://schemas.microsoft.com/office/drawing/2014/chart" uri="{C3380CC4-5D6E-409C-BE32-E72D297353CC}">
              <c16:uniqueId val="{00000000-0600-4F68-BDB0-E7F0D1DD3B70}"/>
            </c:ext>
          </c:extLst>
        </c:ser>
        <c:ser>
          <c:idx val="1"/>
          <c:order val="1"/>
          <c:tx>
            <c:strRef>
              <c:f>Sheet1!$C$1</c:f>
              <c:strCache>
                <c:ptCount val="1"/>
                <c:pt idx="0">
                  <c:v>Completions </c:v>
                </c:pt>
              </c:strCache>
            </c:strRef>
          </c:tx>
          <c:spPr>
            <a:ln w="28575" cap="rnd">
              <a:solidFill>
                <a:schemeClr val="accent2"/>
              </a:solidFill>
              <a:prstDash val="dash"/>
              <a:round/>
            </a:ln>
            <a:effectLst/>
          </c:spPr>
          <c:marker>
            <c:symbol val="none"/>
          </c:marker>
          <c:cat>
            <c:numRef>
              <c:f>Sheet1!$A$2:$A$17</c:f>
              <c:numCache>
                <c:formatCode>General</c:formatCode>
                <c:ptCount val="16"/>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numCache>
            </c:numRef>
          </c:cat>
          <c:val>
            <c:numRef>
              <c:f>Sheet1!$C$2:$C$17</c:f>
              <c:numCache>
                <c:formatCode>General</c:formatCode>
                <c:ptCount val="16"/>
                <c:pt idx="0">
                  <c:v>5.0000000000000001E-3</c:v>
                </c:pt>
                <c:pt idx="1">
                  <c:v>6.0000000000000001E-3</c:v>
                </c:pt>
                <c:pt idx="2">
                  <c:v>5.0000000000000001E-3</c:v>
                </c:pt>
                <c:pt idx="3">
                  <c:v>0.01</c:v>
                </c:pt>
                <c:pt idx="4">
                  <c:v>1.2E-2</c:v>
                </c:pt>
                <c:pt idx="5">
                  <c:v>1.4E-2</c:v>
                </c:pt>
                <c:pt idx="6">
                  <c:v>1.0999999999999999E-2</c:v>
                </c:pt>
                <c:pt idx="7">
                  <c:v>1.6E-2</c:v>
                </c:pt>
                <c:pt idx="8">
                  <c:v>1.2999999999999999E-2</c:v>
                </c:pt>
                <c:pt idx="9">
                  <c:v>1.4E-2</c:v>
                </c:pt>
                <c:pt idx="10">
                  <c:v>2.1000000000000001E-2</c:v>
                </c:pt>
                <c:pt idx="11">
                  <c:v>1.7000000000000001E-2</c:v>
                </c:pt>
                <c:pt idx="12">
                  <c:v>1.7999999999999999E-2</c:v>
                </c:pt>
                <c:pt idx="13">
                  <c:v>2.3E-2</c:v>
                </c:pt>
                <c:pt idx="14">
                  <c:v>2.5999999999999999E-2</c:v>
                </c:pt>
              </c:numCache>
            </c:numRef>
          </c:val>
          <c:smooth val="0"/>
          <c:extLst>
            <c:ext xmlns:c16="http://schemas.microsoft.com/office/drawing/2014/chart" uri="{C3380CC4-5D6E-409C-BE32-E72D297353CC}">
              <c16:uniqueId val="{00000001-0600-4F68-BDB0-E7F0D1DD3B70}"/>
            </c:ext>
          </c:extLst>
        </c:ser>
        <c:dLbls>
          <c:showLegendKey val="0"/>
          <c:showVal val="0"/>
          <c:showCatName val="0"/>
          <c:showSerName val="0"/>
          <c:showPercent val="0"/>
          <c:showBubbleSize val="0"/>
        </c:dLbls>
        <c:smooth val="0"/>
        <c:axId val="585556975"/>
        <c:axId val="585557391"/>
      </c:lineChart>
      <c:catAx>
        <c:axId val="58555697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5557391"/>
        <c:crosses val="autoZero"/>
        <c:auto val="1"/>
        <c:lblAlgn val="ctr"/>
        <c:lblOffset val="100"/>
        <c:noMultiLvlLbl val="0"/>
      </c:catAx>
      <c:valAx>
        <c:axId val="585557391"/>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555697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0.45142</cdr:x>
      <cdr:y>0.26326</cdr:y>
    </cdr:from>
    <cdr:to>
      <cdr:x>0.61322</cdr:x>
      <cdr:y>0.48412</cdr:y>
    </cdr:to>
    <cdr:sp macro="" textlink="">
      <cdr:nvSpPr>
        <cdr:cNvPr id="2" name="TextBox 1">
          <a:extLst xmlns:a="http://schemas.openxmlformats.org/drawingml/2006/main">
            <a:ext uri="{FF2B5EF4-FFF2-40B4-BE49-F238E27FC236}">
              <a16:creationId xmlns:a16="http://schemas.microsoft.com/office/drawing/2014/main" id="{0994746F-711B-4B70-B032-413955CF4C31}"/>
            </a:ext>
          </a:extLst>
        </cdr:cNvPr>
        <cdr:cNvSpPr txBox="1"/>
      </cdr:nvSpPr>
      <cdr:spPr>
        <a:xfrm xmlns:a="http://schemas.openxmlformats.org/drawingml/2006/main">
          <a:off x="2551210" y="1089953"/>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AU" sz="1400" dirty="0">
              <a:solidFill>
                <a:schemeClr val="accent1"/>
              </a:solidFill>
            </a:rPr>
            <a:t>Direct from temporary graduate visa </a:t>
          </a:r>
        </a:p>
        <a:p xmlns:a="http://schemas.openxmlformats.org/drawingml/2006/main">
          <a:r>
            <a:rPr lang="en-AU" sz="1400" dirty="0">
              <a:solidFill>
                <a:schemeClr val="accent2"/>
              </a:solidFill>
            </a:rPr>
            <a:t>Direct from student visa </a:t>
          </a:r>
        </a:p>
      </cdr:txBody>
    </cdr: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EDFEAA0-1368-437D-975E-52B6D1F39EB6}"/>
      </w:docPartPr>
      <w:docPartBody>
        <w:p w:rsidR="007515CF" w:rsidRDefault="0043682C">
          <w:r w:rsidRPr="008B1FAA">
            <w:rPr>
              <w:rStyle w:val="PlaceholderText"/>
            </w:rPr>
            <w:t>Click or tap here to enter text.</w:t>
          </w:r>
        </w:p>
      </w:docPartBody>
    </w:docPart>
    <w:docPart>
      <w:docPartPr>
        <w:name w:val="120A1197B17E43B4A91D8B407E55BE51"/>
        <w:category>
          <w:name w:val="General"/>
          <w:gallery w:val="placeholder"/>
        </w:category>
        <w:types>
          <w:type w:val="bbPlcHdr"/>
        </w:types>
        <w:behaviors>
          <w:behavior w:val="content"/>
        </w:behaviors>
        <w:guid w:val="{482DB492-CFB0-45CF-932F-5AF8A79DFD1C}"/>
      </w:docPartPr>
      <w:docPartBody>
        <w:p w:rsidR="007532FF" w:rsidRDefault="00555051" w:rsidP="00555051">
          <w:pPr/>
          <w:r w:rsidRPr="008B1FA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82C"/>
    <w:rsid w:val="00023A75"/>
    <w:rsid w:val="000A3EA8"/>
    <w:rsid w:val="001E2554"/>
    <w:rsid w:val="001E33AB"/>
    <w:rsid w:val="002C2AC9"/>
    <w:rsid w:val="00356DB9"/>
    <w:rsid w:val="00367F48"/>
    <w:rsid w:val="003D5F2E"/>
    <w:rsid w:val="00421D2A"/>
    <w:rsid w:val="0043682C"/>
    <w:rsid w:val="00555051"/>
    <w:rsid w:val="0057698F"/>
    <w:rsid w:val="005C0BA3"/>
    <w:rsid w:val="00623316"/>
    <w:rsid w:val="006660BD"/>
    <w:rsid w:val="006979F2"/>
    <w:rsid w:val="00750DD6"/>
    <w:rsid w:val="007515CF"/>
    <w:rsid w:val="007532FF"/>
    <w:rsid w:val="0076117F"/>
    <w:rsid w:val="00775C50"/>
    <w:rsid w:val="007E606A"/>
    <w:rsid w:val="007E6BD4"/>
    <w:rsid w:val="00812378"/>
    <w:rsid w:val="00820DC0"/>
    <w:rsid w:val="008218CC"/>
    <w:rsid w:val="009376B6"/>
    <w:rsid w:val="0094719F"/>
    <w:rsid w:val="0097179D"/>
    <w:rsid w:val="009E40FE"/>
    <w:rsid w:val="00A25507"/>
    <w:rsid w:val="00B166BF"/>
    <w:rsid w:val="00B2771E"/>
    <w:rsid w:val="00B86446"/>
    <w:rsid w:val="00BF0919"/>
    <w:rsid w:val="00C252C1"/>
    <w:rsid w:val="00D00FE1"/>
    <w:rsid w:val="00D83F7F"/>
    <w:rsid w:val="00E9220C"/>
    <w:rsid w:val="00F63231"/>
    <w:rsid w:val="00FB465F"/>
    <w:rsid w:val="00FE62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5051"/>
    <w:rPr>
      <w:color w:val="808080"/>
    </w:rPr>
  </w:style>
  <w:style w:type="paragraph" w:customStyle="1" w:styleId="120A1197B17E43B4A91D8B407E55BE51">
    <w:name w:val="120A1197B17E43B4A91D8B407E55BE51"/>
    <w:rsid w:val="00555051"/>
  </w:style>
  <w:style w:type="paragraph" w:customStyle="1" w:styleId="86B25B1FE6864C5FAFC4E9A4A691C549">
    <w:name w:val="86B25B1FE6864C5FAFC4E9A4A691C549"/>
    <w:rsid w:val="007532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67AB7B-CF0B-4D6F-B0A3-F1740351BF8A}">
  <we:reference id="wa104382081" version="1.55.1.0" store="en-US" storeType="OMEX"/>
  <we:alternateReferences>
    <we:reference id="WA104382081" version="1.55.1.0" store="" storeType="OMEX"/>
  </we:alternateReferences>
  <we:properties>
    <we:property name="MENDELEY_BIBLIOGRAPHY_IS_DIRTY" value="true"/>
    <we:property name="MENDELEY_BIBLIOGRAPHY_LAST_MODIFIED" value="1762821838371"/>
    <we:property name="MENDELEY_CITATIONS" value="[{&quot;citationID&quot;:&quot;MENDELEY_CITATION_8bcce640-2714-47ae-ad24-e124ff9e969c&quot;,&quot;properties&quot;:{&quot;noteIndex&quot;:0},&quot;isEdited&quot;:false,&quot;manualOverride&quot;:{&quot;isManuallyOverridden&quot;:false,&quot;citeprocText&quot;:&quot;(JSA, 2025, p. 11)&quot;,&quot;manualOverrideText&quot;:&quot;&quot;},&quot;citationTag&quot;:&quot;MENDELEY_CITATION_v3_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&quot;,&quot;citationItems&quot;:[{&quot;label&quot;:&quot;page&quot;,&quot;id&quot;:&quot;2dadcc4f-b4bf-3130-8785-fa823d04b61b&quot;,&quot;itemData&quot;:{&quot;type&quot;:&quot;book&quot;,&quot;id&quot;:&quot;2dadcc4f-b4bf-3130-8785-fa823d04b61b&quot;,&quot;title&quot;:&quot;International students pathways and outcomes study&quot;,&quot;author&quot;:[{&quot;family&quot;:&quot;JSA&quot;,&quot;given&quot;:&quot;&quot;,&quot;parse-names&quot;:false,&quot;dropping-particle&quot;:&quot;&quot;,&quot;non-dropping-particle&quot;:&quot;&quot;}],&quot;issued&quot;:{&quot;date-parts&quot;:[[2025]]},&quot;publisher&quot;:&quot;Jobs and Skills Australia&quot;,&quot;container-title-short&quot;:&quot;&quot;},&quot;isTemporary&quot;:false,&quot;suppress-author&quot;:false,&quot;composite&quot;:false,&quot;author-only&quot;:false,&quot;locator&quot;:&quot;11&quot;}]},{&quot;citationID&quot;:&quot;MENDELEY_CITATION_04938991-2aae-43bf-95d6-939908f244a7&quot;,&quot;properties&quot;:{&quot;noteIndex&quot;:0},&quot;isEdited&quot;:false,&quot;manualOverride&quot;:{&quot;isManuallyOverridden&quot;:false,&quot;citeprocText&quot;:&quot;(MDANZ, 2025)&quot;,&quot;manualOverrideText&quot;:&quot;&quot;},&quot;citationTag&quot;:&quot;MENDELEY_CITATION_v3_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&quot;,&quot;citationItems&quot;:[{&quot;id&quot;:&quot;7d0a1808-1fa3-3773-9dd5-fa4e95db4207&quot;,&quot;itemData&quot;:{&quot;type&quot;:&quot;webpage&quot;,&quot;id&quot;:&quot;7d0a1808-1fa3-3773-9dd5-fa4e95db4207&quot;,&quot;title&quot;:&quot;Growing the Indigenous medical workforce &quot;,&quot;author&quot;:[{&quot;family&quot;:&quot;MDANZ&quot;,&quot;given&quot;:&quot;&quot;,&quot;parse-names&quot;:false,&quot;dropping-particle&quot;:&quot;&quot;,&quot;non-dropping-particle&quot;:&quot;&quot;}],&quot;container-title&quot;:&quot;Medical Deans Australia and New Zealand&quot;,&quot;issued&quot;:{&quot;date-parts&quot;:[[2025,11,10]]},&quot;container-title-short&quot;:&quot;&quot;},&quot;isTemporary&quot;:false,&quot;suppress-author&quot;:false,&quot;composite&quot;:false,&quot;author-only&quot;:false}]},{&quot;citationID&quot;:&quot;MENDELEY_CITATION_547dbbe8-e177-430b-ab32-702bf3a7c537&quot;,&quot;properties&quot;:{&quot;noteIndex&quot;:0},&quot;isEdited&quot;:false,&quot;manualOverride&quot;:{&quot;isManuallyOverridden&quot;:false,&quot;citeprocText&quot;:&quot;(MDANZ, 2025)&quot;,&quot;manualOverrideText&quot;:&quot;&quot;},&quot;citationTag&quot;:&quot;MENDELEY_CITATION_v3_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&quot;,&quot;citationItems&quot;:[{&quot;id&quot;:&quot;7d0a1808-1fa3-3773-9dd5-fa4e95db4207&quot;,&quot;itemData&quot;:{&quot;type&quot;:&quot;webpage&quot;,&quot;id&quot;:&quot;7d0a1808-1fa3-3773-9dd5-fa4e95db4207&quot;,&quot;title&quot;:&quot;Growing the Indigenous medical workforce &quot;,&quot;author&quot;:[{&quot;family&quot;:&quot;MDANZ&quot;,&quot;given&quot;:&quot;&quot;,&quot;parse-names&quot;:false,&quot;dropping-particle&quot;:&quot;&quot;,&quot;non-dropping-particle&quot;:&quot;&quot;}],&quot;container-title&quot;:&quot;Medical Deans Australia and New Zealand&quot;,&quot;issued&quot;:{&quot;date-parts&quot;:[[2025,11,10]]},&quot;container-title-short&quot;:&quot;&quot;},&quot;isTemporary&quot;:false,&quot;suppress-author&quot;:false,&quot;composite&quot;:false,&quot;author-only&quot;:false}]},{&quot;citationID&quot;:&quot;MENDELEY_CITATION_a1d32780-9480-4172-b754-e65beee46d37&quot;,&quot;properties&quot;:{&quot;noteIndex&quot;:0},&quot;isEdited&quot;:false,&quot;manualOverride&quot;:{&quot;isManuallyOverridden&quot;:false,&quot;citeprocText&quot;:&quot;(DHA, 2025)&quot;,&quot;manualOverrideText&quot;:&quot;&quot;},&quot;citationTag&quot;:&quot;MENDELEY_CITATION_v3_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&quot;,&quot;citationItems&quot;:[{&quot;id&quot;:&quot;8ab81af5-9934-3760-aa34-f45dc1295046&quot;,&quot;itemData&quot;:{&quot;type&quot;:&quot;book&quot;,&quot;id&quot;:&quot;8ab81af5-9934-3760-aa34-f45dc1295046&quot;,&quot;title&quot;:&quot;Temporary resident (skilled) visas granted&quot;,&quot;author&quot;:[{&quot;family&quot;:&quot;DHA&quot;,&quot;given&quot;:&quot;&quot;,&quot;parse-names&quot;:false,&quot;dropping-particle&quot;:&quot;&quot;,&quot;non-dropping-particle&quot;:&quot;&quot;}],&quot;issued&quot;:{&quot;date-parts&quot;:[[2025]]},&quot;publisher&quot;:&quot;Department of Home Affairs&quot;,&quot;container-title-short&quot;:&quot;&quot;},&quot;isTemporary&quot;:false,&quot;suppress-author&quot;:false,&quot;composite&quot;:false,&quot;author-onl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4FBF1-A606-4D09-A5B9-E28A11C8D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32</Pages>
  <Words>9376</Words>
  <Characters>53445</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Accord priorities submission - Andrew Norton</vt:lpstr>
    </vt:vector>
  </TitlesOfParts>
  <Company/>
  <LinksUpToDate>false</LinksUpToDate>
  <CharactersWithSpaces>62696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Accord priorities submission - Andrew Norton</dc:title>
  <dc:creator>Andrew Norton</dc:creator>
  <cp:lastModifiedBy>Andrew Norton</cp:lastModifiedBy>
  <cp:revision>2</cp:revision>
  <cp:lastPrinted>2025-11-12T00:04:00Z</cp:lastPrinted>
  <dcterms:created xsi:type="dcterms:W3CDTF">2025-11-12T00:31:00Z</dcterms:created>
  <dcterms:modified xsi:type="dcterms:W3CDTF">2025-11-12T00:31:00Z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2020-08-17T00:00:00Z</vt:filetime>
  </property>
  <property fmtid="{D5CDD505-2E9C-101B-9397-08002B2CF9AE}" pid="3" name="Creator">
    <vt:lpwstr>Acrobat PDFMaker 20 for Word</vt:lpwstr>
  </property>
  <property fmtid="{D5CDD505-2E9C-101B-9397-08002B2CF9AE}" pid="4" name="LastSaved">
    <vt:filetime>2020-09-05T00:00:00Z</vt:filetime>
  </property>
</Properties>
</file>