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04BD83" w14:textId="40E736BE" w:rsidR="00724833" w:rsidRPr="00DB5E03" w:rsidRDefault="00724833" w:rsidP="00944D95">
      <w:pPr>
        <w:pStyle w:val="BodyText"/>
        <w:ind w:left="8550"/>
        <w:rPr>
          <w:rFonts w:ascii="Aptos" w:hAnsi="Aptos" w:cstheme="minorHAnsi"/>
          <w:szCs w:val="24"/>
        </w:rPr>
      </w:pPr>
    </w:p>
    <w:p w14:paraId="0DE72734" w14:textId="77777777" w:rsidR="00724833" w:rsidRPr="00DB5E03" w:rsidRDefault="00724833" w:rsidP="00944D95">
      <w:pPr>
        <w:pStyle w:val="BodyText"/>
        <w:rPr>
          <w:rFonts w:ascii="Aptos" w:hAnsi="Aptos" w:cstheme="minorHAnsi"/>
          <w:szCs w:val="24"/>
        </w:rPr>
      </w:pPr>
    </w:p>
    <w:p w14:paraId="77D7BCD8" w14:textId="77777777" w:rsidR="00724833" w:rsidRPr="00941CD9" w:rsidRDefault="00724833" w:rsidP="00944D95">
      <w:pPr>
        <w:pStyle w:val="BodyText"/>
        <w:rPr>
          <w:rFonts w:ascii="Aptos" w:hAnsi="Aptos" w:cstheme="minorHAnsi"/>
          <w:sz w:val="36"/>
          <w:szCs w:val="36"/>
        </w:rPr>
      </w:pPr>
    </w:p>
    <w:p w14:paraId="45E9F75E" w14:textId="12E11A87" w:rsidR="00724833" w:rsidRPr="003477B6" w:rsidRDefault="00C76904" w:rsidP="00944D95">
      <w:pPr>
        <w:pStyle w:val="Title"/>
        <w:ind w:left="0"/>
        <w:rPr>
          <w:rFonts w:ascii="Aptos" w:hAnsi="Aptos" w:cstheme="minorHAnsi"/>
          <w:b w:val="0"/>
          <w:i/>
          <w:iCs/>
          <w:sz w:val="36"/>
          <w:szCs w:val="36"/>
        </w:rPr>
      </w:pPr>
      <w:bookmarkStart w:id="0" w:name="Job-ready_Graduates_Package_draft_legisl"/>
      <w:bookmarkEnd w:id="0"/>
      <w:r w:rsidRPr="00941CD9">
        <w:rPr>
          <w:rFonts w:ascii="Aptos" w:hAnsi="Aptos" w:cstheme="minorHAnsi"/>
          <w:color w:val="242424"/>
          <w:sz w:val="36"/>
          <w:szCs w:val="36"/>
        </w:rPr>
        <w:t xml:space="preserve">Submission on </w:t>
      </w:r>
      <w:r w:rsidR="001D5DE3" w:rsidRPr="00941CD9">
        <w:rPr>
          <w:rFonts w:ascii="Aptos" w:hAnsi="Aptos" w:cstheme="minorHAnsi"/>
          <w:color w:val="242424"/>
          <w:sz w:val="36"/>
          <w:szCs w:val="36"/>
        </w:rPr>
        <w:t xml:space="preserve">the </w:t>
      </w:r>
      <w:r w:rsidR="003477B6">
        <w:rPr>
          <w:rFonts w:ascii="Aptos" w:hAnsi="Aptos" w:cstheme="minorHAnsi"/>
          <w:i/>
          <w:iCs/>
          <w:color w:val="242424"/>
          <w:sz w:val="36"/>
          <w:szCs w:val="36"/>
        </w:rPr>
        <w:t>Universities Accord (Australian Tertiary Education Commission)</w:t>
      </w:r>
      <w:r w:rsidR="000D2519" w:rsidRPr="00941CD9">
        <w:rPr>
          <w:rFonts w:ascii="Aptos" w:hAnsi="Aptos" w:cstheme="minorHAnsi"/>
          <w:i/>
          <w:iCs/>
          <w:color w:val="242424"/>
          <w:sz w:val="36"/>
          <w:szCs w:val="36"/>
        </w:rPr>
        <w:t xml:space="preserve"> Bill 2025</w:t>
      </w:r>
      <w:r w:rsidR="002667F8" w:rsidRPr="00941CD9">
        <w:rPr>
          <w:rFonts w:ascii="Aptos" w:hAnsi="Aptos" w:cstheme="minorHAnsi"/>
          <w:color w:val="242424"/>
          <w:sz w:val="36"/>
          <w:szCs w:val="36"/>
        </w:rPr>
        <w:t xml:space="preserve"> </w:t>
      </w:r>
      <w:r w:rsidR="003477B6">
        <w:rPr>
          <w:rFonts w:ascii="Aptos" w:hAnsi="Aptos" w:cstheme="minorHAnsi"/>
          <w:color w:val="242424"/>
          <w:sz w:val="36"/>
          <w:szCs w:val="36"/>
        </w:rPr>
        <w:t xml:space="preserve">and the </w:t>
      </w:r>
      <w:r w:rsidR="003477B6">
        <w:rPr>
          <w:rFonts w:ascii="Aptos" w:hAnsi="Aptos" w:cstheme="minorHAnsi"/>
          <w:i/>
          <w:iCs/>
          <w:color w:val="242424"/>
          <w:sz w:val="36"/>
          <w:szCs w:val="36"/>
        </w:rPr>
        <w:t>Universities Accord (Australian Tertiary Education Commission (Consequential and Transitional Provisions</w:t>
      </w:r>
      <w:r w:rsidR="00B80B51">
        <w:rPr>
          <w:rFonts w:ascii="Aptos" w:hAnsi="Aptos" w:cstheme="minorHAnsi"/>
          <w:i/>
          <w:iCs/>
          <w:color w:val="242424"/>
          <w:sz w:val="36"/>
          <w:szCs w:val="36"/>
        </w:rPr>
        <w:t>)</w:t>
      </w:r>
      <w:r w:rsidR="003477B6">
        <w:rPr>
          <w:rFonts w:ascii="Aptos" w:hAnsi="Aptos" w:cstheme="minorHAnsi"/>
          <w:i/>
          <w:iCs/>
          <w:color w:val="242424"/>
          <w:sz w:val="36"/>
          <w:szCs w:val="36"/>
        </w:rPr>
        <w:t xml:space="preserve"> Bill 2025</w:t>
      </w:r>
    </w:p>
    <w:p w14:paraId="3BC398C8" w14:textId="77777777" w:rsidR="00724833" w:rsidRPr="00DB5E03" w:rsidRDefault="00724833" w:rsidP="00944D95">
      <w:pPr>
        <w:pStyle w:val="BodyText"/>
        <w:rPr>
          <w:rFonts w:ascii="Aptos" w:hAnsi="Aptos" w:cstheme="minorHAnsi"/>
          <w:b/>
          <w:szCs w:val="24"/>
        </w:rPr>
      </w:pPr>
    </w:p>
    <w:p w14:paraId="6D36C8C0" w14:textId="77777777" w:rsidR="00F44123" w:rsidRPr="00DB5E03" w:rsidRDefault="00F44123" w:rsidP="00944D95">
      <w:pPr>
        <w:pStyle w:val="BodyText"/>
        <w:rPr>
          <w:rFonts w:ascii="Aptos" w:hAnsi="Aptos" w:cstheme="minorHAnsi"/>
          <w:b/>
          <w:szCs w:val="24"/>
        </w:rPr>
      </w:pPr>
    </w:p>
    <w:p w14:paraId="131F3FCE" w14:textId="77777777" w:rsidR="00F44123" w:rsidRPr="00DB5E03" w:rsidRDefault="00F44123" w:rsidP="00944D95">
      <w:pPr>
        <w:pStyle w:val="BodyText"/>
        <w:rPr>
          <w:rFonts w:ascii="Aptos" w:hAnsi="Aptos" w:cstheme="minorHAnsi"/>
          <w:b/>
          <w:szCs w:val="24"/>
        </w:rPr>
      </w:pPr>
    </w:p>
    <w:p w14:paraId="2C353269" w14:textId="55AA0BE8" w:rsidR="00927923" w:rsidRPr="00DB5E03" w:rsidRDefault="00927923" w:rsidP="00944D95">
      <w:pPr>
        <w:pStyle w:val="BodyText"/>
        <w:spacing w:before="4"/>
        <w:rPr>
          <w:rFonts w:ascii="Aptos" w:hAnsi="Aptos" w:cstheme="minorHAnsi"/>
          <w:b/>
          <w:szCs w:val="24"/>
        </w:rPr>
      </w:pPr>
    </w:p>
    <w:p w14:paraId="0E9F1317" w14:textId="7797B206" w:rsidR="00724833" w:rsidRPr="00DB5E03" w:rsidRDefault="00941CD9" w:rsidP="00944D95">
      <w:pPr>
        <w:pStyle w:val="BodyText"/>
        <w:spacing w:before="4"/>
        <w:rPr>
          <w:rFonts w:ascii="Aptos" w:hAnsi="Aptos" w:cstheme="minorHAnsi"/>
          <w:b/>
          <w:szCs w:val="24"/>
        </w:rPr>
      </w:pPr>
      <w:r w:rsidRPr="00DB5E03">
        <w:rPr>
          <w:rFonts w:ascii="Aptos" w:hAnsi="Aptos" w:cstheme="minorHAnsi"/>
          <w:noProof/>
          <w:szCs w:val="24"/>
        </w:rPr>
        <mc:AlternateContent>
          <mc:Choice Requires="wps">
            <w:drawing>
              <wp:anchor distT="0" distB="0" distL="0" distR="0" simplePos="0" relativeHeight="487588352" behindDoc="1" locked="0" layoutInCell="1" allowOverlap="1" wp14:anchorId="5C2AC7AC" wp14:editId="082553E3">
                <wp:simplePos x="0" y="0"/>
                <wp:positionH relativeFrom="page">
                  <wp:posOffset>1162050</wp:posOffset>
                </wp:positionH>
                <wp:positionV relativeFrom="paragraph">
                  <wp:posOffset>413385</wp:posOffset>
                </wp:positionV>
                <wp:extent cx="4733925" cy="3152775"/>
                <wp:effectExtent l="0" t="0" r="28575" b="28575"/>
                <wp:wrapTopAndBottom/>
                <wp:docPr id="4"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3925" cy="31527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C2AC7AC" id="_x0000_t202" coordsize="21600,21600" o:spt="202" path="m,l,21600r21600,l21600,xe">
                <v:stroke joinstyle="miter"/>
                <v:path gradientshapeok="t" o:connecttype="rect"/>
              </v:shapetype>
              <v:shape id="Text Box 45" o:spid="_x0000_s1026" type="#_x0000_t202" style="position:absolute;margin-left:91.5pt;margin-top:32.55pt;width:372.75pt;height:248.25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" filled="f">
                <v:textbox inset="0,0,0,0">
                  <w:txbxContent>
                    <w:p w14:paraId="4464A32C" w14:textId="48B94A6E" w:rsidR="009B5476" w:rsidRPr="00FD33B4" w:rsidRDefault="009B5476" w:rsidP="00941CD9">
                      <w:pPr>
                        <w:spacing w:before="72"/>
                        <w:ind w:left="142"/>
                        <w:contextualSpacing/>
                        <w:rPr>
                          <w:rFonts w:ascii="Calibri"/>
                          <w:sz w:val="28"/>
                          <w:szCs w:val="28"/>
                        </w:rPr>
                      </w:pPr>
                      <w:r w:rsidRPr="00FD33B4">
                        <w:rPr>
                          <w:rFonts w:ascii="Calibri"/>
                          <w:color w:val="4471C4"/>
                          <w:sz w:val="28"/>
                          <w:szCs w:val="28"/>
                        </w:rPr>
                        <w:t>Andrew Norton</w:t>
                      </w:r>
                    </w:p>
                    <w:p w14:paraId="63D4BA48" w14:textId="53E3F059" w:rsidR="009B5476" w:rsidRDefault="009B5476" w:rsidP="00941CD9">
                      <w:pPr>
                        <w:ind w:left="142" w:right="633"/>
                        <w:contextualSpacing/>
                        <w:rPr>
                          <w:rFonts w:ascii="Calibri"/>
                          <w:color w:val="4471C4"/>
                          <w:sz w:val="28"/>
                          <w:szCs w:val="28"/>
                        </w:rPr>
                      </w:pPr>
                      <w:r w:rsidRPr="00FD33B4">
                        <w:rPr>
                          <w:rFonts w:ascii="Calibri"/>
                          <w:color w:val="4471C4"/>
                          <w:sz w:val="28"/>
                          <w:szCs w:val="28"/>
                        </w:rPr>
                        <w:t xml:space="preserve">Professor </w:t>
                      </w:r>
                      <w:r w:rsidR="002667F8">
                        <w:rPr>
                          <w:rFonts w:ascii="Calibri"/>
                          <w:color w:val="4471C4"/>
                          <w:sz w:val="28"/>
                          <w:szCs w:val="28"/>
                        </w:rPr>
                        <w:t>of</w:t>
                      </w:r>
                      <w:r w:rsidRPr="00FD33B4">
                        <w:rPr>
                          <w:rFonts w:ascii="Calibri"/>
                          <w:color w:val="4471C4"/>
                          <w:sz w:val="28"/>
                          <w:szCs w:val="28"/>
                        </w:rPr>
                        <w:t xml:space="preserve"> Higher Education Policy </w:t>
                      </w:r>
                    </w:p>
                    <w:p w14:paraId="6A885EBF" w14:textId="0FA37189" w:rsidR="002667F8" w:rsidRDefault="002667F8" w:rsidP="00941CD9">
                      <w:pPr>
                        <w:ind w:left="142" w:right="633"/>
                        <w:contextualSpacing/>
                        <w:rPr>
                          <w:rFonts w:ascii="Calibri"/>
                          <w:color w:val="4471C4"/>
                          <w:sz w:val="28"/>
                          <w:szCs w:val="28"/>
                        </w:rPr>
                      </w:pPr>
                      <w:r>
                        <w:rPr>
                          <w:rFonts w:ascii="Calibri"/>
                          <w:color w:val="4471C4"/>
                          <w:sz w:val="28"/>
                          <w:szCs w:val="28"/>
                        </w:rPr>
                        <w:t xml:space="preserve">Monash Business School </w:t>
                      </w:r>
                    </w:p>
                    <w:p w14:paraId="0C474481" w14:textId="621F6FF8" w:rsidR="002667F8" w:rsidRDefault="002667F8" w:rsidP="00941CD9">
                      <w:pPr>
                        <w:ind w:left="142" w:right="633"/>
                        <w:contextualSpacing/>
                        <w:rPr>
                          <w:rFonts w:ascii="Calibri"/>
                          <w:color w:val="4471C4"/>
                          <w:sz w:val="28"/>
                          <w:szCs w:val="28"/>
                        </w:rPr>
                      </w:pPr>
                      <w:r>
                        <w:rPr>
                          <w:rFonts w:ascii="Calibri"/>
                          <w:color w:val="4471C4"/>
                          <w:sz w:val="28"/>
                          <w:szCs w:val="28"/>
                        </w:rPr>
                        <w:t>Monash University</w:t>
                      </w:r>
                    </w:p>
                    <w:p w14:paraId="6B177A5F" w14:textId="77777777" w:rsidR="00941CD9" w:rsidRPr="00FD33B4" w:rsidRDefault="00941CD9" w:rsidP="00941CD9">
                      <w:pPr>
                        <w:ind w:left="142" w:right="633"/>
                        <w:contextualSpacing/>
                        <w:rPr>
                          <w:rFonts w:ascii="Calibri"/>
                          <w:sz w:val="28"/>
                          <w:szCs w:val="28"/>
                        </w:rPr>
                      </w:pPr>
                    </w:p>
                    <w:p w14:paraId="77975F1D" w14:textId="5533EDC7" w:rsidR="009B5476" w:rsidRDefault="009B5476" w:rsidP="00941CD9">
                      <w:pPr>
                        <w:ind w:left="142" w:right="25"/>
                        <w:contextualSpacing/>
                        <w:rPr>
                          <w:rFonts w:ascii="Calibri"/>
                          <w:sz w:val="32"/>
                        </w:rPr>
                      </w:pPr>
                      <w:r w:rsidRPr="00FD33B4">
                        <w:rPr>
                          <w:rFonts w:ascii="Calibri"/>
                          <w:color w:val="4471C4"/>
                          <w:sz w:val="28"/>
                          <w:szCs w:val="28"/>
                        </w:rPr>
                        <w:t xml:space="preserve">This is a personal submission that should not be taken to represent the views of </w:t>
                      </w:r>
                      <w:r w:rsidR="002B7B9C">
                        <w:rPr>
                          <w:rFonts w:ascii="Calibri"/>
                          <w:color w:val="4471C4"/>
                          <w:sz w:val="28"/>
                          <w:szCs w:val="28"/>
                        </w:rPr>
                        <w:t>my employer</w:t>
                      </w:r>
                      <w:r w:rsidR="002667F8">
                        <w:rPr>
                          <w:rFonts w:ascii="Calibri"/>
                          <w:color w:val="4471C4"/>
                          <w:sz w:val="28"/>
                          <w:szCs w:val="28"/>
                        </w:rPr>
                        <w:t xml:space="preserve">. </w:t>
                      </w:r>
                    </w:p>
                  </w:txbxContent>
                </v:textbox>
                <w10:wrap type="topAndBottom" anchorx="page"/>
              </v:shape>
            </w:pict>
          </mc:Fallback>
        </mc:AlternateContent>
      </w:r>
    </w:p>
    <w:bookmarkStart w:id="1" w:name="1._Overview" w:displacedByCustomXml="next"/>
    <w:bookmarkEnd w:id="1" w:displacedByCustomXml="next"/>
    <w:sdt>
      <w:sdtPr>
        <w:rPr>
          <w:rFonts w:ascii="Aptos" w:eastAsia="Verdana" w:hAnsi="Aptos" w:cs="Verdana"/>
          <w:b w:val="0"/>
          <w:bCs w:val="0"/>
          <w:color w:val="auto"/>
          <w:sz w:val="24"/>
          <w:szCs w:val="24"/>
          <w:lang w:val="en-AU"/>
        </w:rPr>
        <w:id w:val="-393276661"/>
        <w:docPartObj>
          <w:docPartGallery w:val="Table of Contents"/>
          <w:docPartUnique/>
        </w:docPartObj>
      </w:sdtPr>
      <w:sdtEndPr>
        <w:rPr>
          <w:noProof/>
        </w:rPr>
      </w:sdtEndPr>
      <w:sdtContent>
        <w:p w14:paraId="569D9158" w14:textId="1B7EDB90" w:rsidR="00927923" w:rsidRPr="00DB5E03" w:rsidRDefault="00927923" w:rsidP="00944D95">
          <w:pPr>
            <w:pStyle w:val="TOCHeading"/>
            <w:spacing w:line="240" w:lineRule="auto"/>
            <w:rPr>
              <w:rFonts w:ascii="Aptos" w:eastAsia="Verdana" w:hAnsi="Aptos" w:cs="Verdana"/>
              <w:b w:val="0"/>
              <w:bCs w:val="0"/>
              <w:color w:val="auto"/>
              <w:sz w:val="24"/>
              <w:szCs w:val="24"/>
              <w:lang w:val="en-AU"/>
            </w:rPr>
          </w:pPr>
        </w:p>
        <w:p w14:paraId="6CB9E493" w14:textId="77777777" w:rsidR="00927923" w:rsidRPr="00DB5E03" w:rsidRDefault="00927923" w:rsidP="00944D95">
          <w:pPr>
            <w:rPr>
              <w:rFonts w:ascii="Aptos" w:hAnsi="Aptos"/>
              <w:szCs w:val="24"/>
            </w:rPr>
          </w:pPr>
          <w:r w:rsidRPr="00DB5E03">
            <w:rPr>
              <w:rFonts w:ascii="Aptos" w:hAnsi="Aptos"/>
              <w:b/>
              <w:bCs/>
              <w:szCs w:val="24"/>
            </w:rPr>
            <w:br w:type="page"/>
          </w:r>
        </w:p>
        <w:p w14:paraId="2A7D63E1" w14:textId="15A16433" w:rsidR="00D94A34" w:rsidRPr="00DB5E03" w:rsidRDefault="00D94A34" w:rsidP="00944D95">
          <w:pPr>
            <w:pStyle w:val="TOCHeading"/>
            <w:spacing w:line="240" w:lineRule="auto"/>
            <w:rPr>
              <w:rFonts w:ascii="Aptos" w:hAnsi="Aptos" w:cstheme="minorHAnsi"/>
              <w:sz w:val="24"/>
              <w:szCs w:val="24"/>
            </w:rPr>
          </w:pPr>
          <w:r w:rsidRPr="00DB5E03">
            <w:rPr>
              <w:rFonts w:ascii="Aptos" w:hAnsi="Aptos" w:cstheme="minorHAnsi"/>
              <w:sz w:val="24"/>
              <w:szCs w:val="24"/>
            </w:rPr>
            <w:lastRenderedPageBreak/>
            <w:t>Table of Contents</w:t>
          </w:r>
        </w:p>
        <w:p w14:paraId="226B0D62" w14:textId="212D52B5" w:rsidR="0055214B" w:rsidRDefault="00D94A34">
          <w:pPr>
            <w:pStyle w:val="TOC1"/>
            <w:tabs>
              <w:tab w:val="right" w:leader="dot" w:pos="9016"/>
            </w:tabs>
            <w:rPr>
              <w:rFonts w:eastAsiaTheme="minorEastAsia" w:cstheme="minorBidi"/>
              <w:b w:val="0"/>
              <w:bCs w:val="0"/>
              <w:i w:val="0"/>
              <w:iCs w:val="0"/>
              <w:noProof/>
              <w:sz w:val="22"/>
              <w:szCs w:val="22"/>
              <w:lang w:eastAsia="en-AU"/>
            </w:rPr>
          </w:pPr>
          <w:r w:rsidRPr="00DB5E03">
            <w:rPr>
              <w:rFonts w:ascii="Aptos" w:hAnsi="Aptos"/>
              <w:b w:val="0"/>
              <w:bCs w:val="0"/>
            </w:rPr>
            <w:fldChar w:fldCharType="begin"/>
          </w:r>
          <w:r w:rsidRPr="00DB5E03">
            <w:rPr>
              <w:rFonts w:ascii="Aptos" w:hAnsi="Aptos"/>
            </w:rPr>
            <w:instrText xml:space="preserve"> TOC \o "1-3" \h \z \u </w:instrText>
          </w:r>
          <w:r w:rsidRPr="00DB5E03">
            <w:rPr>
              <w:rFonts w:ascii="Aptos" w:hAnsi="Aptos"/>
              <w:b w:val="0"/>
              <w:bCs w:val="0"/>
            </w:rPr>
            <w:fldChar w:fldCharType="separate"/>
          </w:r>
          <w:hyperlink w:anchor="_Toc219380875" w:history="1">
            <w:r w:rsidR="0055214B" w:rsidRPr="007D1FAF">
              <w:rPr>
                <w:rStyle w:val="Hyperlink"/>
                <w:rFonts w:ascii="Aptos" w:hAnsi="Aptos"/>
                <w:noProof/>
              </w:rPr>
              <w:t>Overview</w:t>
            </w:r>
            <w:r w:rsidR="0055214B">
              <w:rPr>
                <w:noProof/>
                <w:webHidden/>
              </w:rPr>
              <w:tab/>
            </w:r>
            <w:r w:rsidR="0055214B">
              <w:rPr>
                <w:noProof/>
                <w:webHidden/>
              </w:rPr>
              <w:fldChar w:fldCharType="begin"/>
            </w:r>
            <w:r w:rsidR="0055214B">
              <w:rPr>
                <w:noProof/>
                <w:webHidden/>
              </w:rPr>
              <w:instrText xml:space="preserve"> PAGEREF _Toc219380875 \h </w:instrText>
            </w:r>
            <w:r w:rsidR="0055214B">
              <w:rPr>
                <w:noProof/>
                <w:webHidden/>
              </w:rPr>
            </w:r>
            <w:r w:rsidR="0055214B">
              <w:rPr>
                <w:noProof/>
                <w:webHidden/>
              </w:rPr>
              <w:fldChar w:fldCharType="separate"/>
            </w:r>
            <w:r w:rsidR="0055214B">
              <w:rPr>
                <w:noProof/>
                <w:webHidden/>
              </w:rPr>
              <w:t>4</w:t>
            </w:r>
            <w:r w:rsidR="0055214B">
              <w:rPr>
                <w:noProof/>
                <w:webHidden/>
              </w:rPr>
              <w:fldChar w:fldCharType="end"/>
            </w:r>
          </w:hyperlink>
        </w:p>
        <w:p w14:paraId="7FED3F37" w14:textId="1CA9ECCC" w:rsidR="0055214B" w:rsidRDefault="0055214B">
          <w:pPr>
            <w:pStyle w:val="TOC1"/>
            <w:tabs>
              <w:tab w:val="right" w:leader="dot" w:pos="9016"/>
            </w:tabs>
            <w:rPr>
              <w:rFonts w:eastAsiaTheme="minorEastAsia" w:cstheme="minorBidi"/>
              <w:b w:val="0"/>
              <w:bCs w:val="0"/>
              <w:i w:val="0"/>
              <w:iCs w:val="0"/>
              <w:noProof/>
              <w:sz w:val="22"/>
              <w:szCs w:val="22"/>
              <w:lang w:eastAsia="en-AU"/>
            </w:rPr>
          </w:pPr>
          <w:hyperlink w:anchor="_Toc219380876" w:history="1">
            <w:r w:rsidRPr="007D1FAF">
              <w:rPr>
                <w:rStyle w:val="Hyperlink"/>
                <w:rFonts w:ascii="Aptos" w:hAnsi="Aptos"/>
                <w:noProof/>
              </w:rPr>
              <w:t>Summary of recommendations</w:t>
            </w:r>
            <w:r>
              <w:rPr>
                <w:noProof/>
                <w:webHidden/>
              </w:rPr>
              <w:tab/>
            </w:r>
            <w:r>
              <w:rPr>
                <w:noProof/>
                <w:webHidden/>
              </w:rPr>
              <w:fldChar w:fldCharType="begin"/>
            </w:r>
            <w:r>
              <w:rPr>
                <w:noProof/>
                <w:webHidden/>
              </w:rPr>
              <w:instrText xml:space="preserve"> PAGEREF _Toc219380876 \h </w:instrText>
            </w:r>
            <w:r>
              <w:rPr>
                <w:noProof/>
                <w:webHidden/>
              </w:rPr>
            </w:r>
            <w:r>
              <w:rPr>
                <w:noProof/>
                <w:webHidden/>
              </w:rPr>
              <w:fldChar w:fldCharType="separate"/>
            </w:r>
            <w:r>
              <w:rPr>
                <w:noProof/>
                <w:webHidden/>
              </w:rPr>
              <w:t>6</w:t>
            </w:r>
            <w:r>
              <w:rPr>
                <w:noProof/>
                <w:webHidden/>
              </w:rPr>
              <w:fldChar w:fldCharType="end"/>
            </w:r>
          </w:hyperlink>
        </w:p>
        <w:p w14:paraId="4B9F2049" w14:textId="730F7780" w:rsidR="0055214B" w:rsidRDefault="0055214B">
          <w:pPr>
            <w:pStyle w:val="TOC3"/>
            <w:tabs>
              <w:tab w:val="right" w:leader="dot" w:pos="9016"/>
            </w:tabs>
            <w:rPr>
              <w:rFonts w:eastAsiaTheme="minorEastAsia" w:cstheme="minorBidi"/>
              <w:noProof/>
              <w:sz w:val="22"/>
              <w:szCs w:val="22"/>
              <w:lang w:eastAsia="en-AU"/>
            </w:rPr>
          </w:pPr>
          <w:hyperlink w:anchor="_Toc219380877" w:history="1">
            <w:r w:rsidRPr="007D1FAF">
              <w:rPr>
                <w:rStyle w:val="Hyperlink"/>
                <w:noProof/>
              </w:rPr>
              <w:t>Principal recommendation</w:t>
            </w:r>
            <w:r>
              <w:rPr>
                <w:noProof/>
                <w:webHidden/>
              </w:rPr>
              <w:tab/>
            </w:r>
            <w:r>
              <w:rPr>
                <w:noProof/>
                <w:webHidden/>
              </w:rPr>
              <w:fldChar w:fldCharType="begin"/>
            </w:r>
            <w:r>
              <w:rPr>
                <w:noProof/>
                <w:webHidden/>
              </w:rPr>
              <w:instrText xml:space="preserve"> PAGEREF _Toc219380877 \h </w:instrText>
            </w:r>
            <w:r>
              <w:rPr>
                <w:noProof/>
                <w:webHidden/>
              </w:rPr>
            </w:r>
            <w:r>
              <w:rPr>
                <w:noProof/>
                <w:webHidden/>
              </w:rPr>
              <w:fldChar w:fldCharType="separate"/>
            </w:r>
            <w:r>
              <w:rPr>
                <w:noProof/>
                <w:webHidden/>
              </w:rPr>
              <w:t>6</w:t>
            </w:r>
            <w:r>
              <w:rPr>
                <w:noProof/>
                <w:webHidden/>
              </w:rPr>
              <w:fldChar w:fldCharType="end"/>
            </w:r>
          </w:hyperlink>
        </w:p>
        <w:p w14:paraId="32A65B60" w14:textId="462AC178" w:rsidR="0055214B" w:rsidRDefault="0055214B">
          <w:pPr>
            <w:pStyle w:val="TOC3"/>
            <w:tabs>
              <w:tab w:val="right" w:leader="dot" w:pos="9016"/>
            </w:tabs>
            <w:rPr>
              <w:rFonts w:eastAsiaTheme="minorEastAsia" w:cstheme="minorBidi"/>
              <w:noProof/>
              <w:sz w:val="22"/>
              <w:szCs w:val="22"/>
              <w:lang w:eastAsia="en-AU"/>
            </w:rPr>
          </w:pPr>
          <w:hyperlink w:anchor="_Toc219380878" w:history="1">
            <w:r w:rsidRPr="007D1FAF">
              <w:rPr>
                <w:rStyle w:val="Hyperlink"/>
                <w:noProof/>
              </w:rPr>
              <w:t>Recommendations on ATEC functions and objectives</w:t>
            </w:r>
            <w:r>
              <w:rPr>
                <w:noProof/>
                <w:webHidden/>
              </w:rPr>
              <w:tab/>
            </w:r>
            <w:r>
              <w:rPr>
                <w:noProof/>
                <w:webHidden/>
              </w:rPr>
              <w:fldChar w:fldCharType="begin"/>
            </w:r>
            <w:r>
              <w:rPr>
                <w:noProof/>
                <w:webHidden/>
              </w:rPr>
              <w:instrText xml:space="preserve"> PAGEREF _Toc219380878 \h </w:instrText>
            </w:r>
            <w:r>
              <w:rPr>
                <w:noProof/>
                <w:webHidden/>
              </w:rPr>
            </w:r>
            <w:r>
              <w:rPr>
                <w:noProof/>
                <w:webHidden/>
              </w:rPr>
              <w:fldChar w:fldCharType="separate"/>
            </w:r>
            <w:r>
              <w:rPr>
                <w:noProof/>
                <w:webHidden/>
              </w:rPr>
              <w:t>6</w:t>
            </w:r>
            <w:r>
              <w:rPr>
                <w:noProof/>
                <w:webHidden/>
              </w:rPr>
              <w:fldChar w:fldCharType="end"/>
            </w:r>
          </w:hyperlink>
        </w:p>
        <w:p w14:paraId="330C36F6" w14:textId="2D7C5AD6" w:rsidR="0055214B" w:rsidRDefault="0055214B">
          <w:pPr>
            <w:pStyle w:val="TOC3"/>
            <w:tabs>
              <w:tab w:val="right" w:leader="dot" w:pos="9016"/>
            </w:tabs>
            <w:rPr>
              <w:rFonts w:eastAsiaTheme="minorEastAsia" w:cstheme="minorBidi"/>
              <w:noProof/>
              <w:sz w:val="22"/>
              <w:szCs w:val="22"/>
              <w:lang w:eastAsia="en-AU"/>
            </w:rPr>
          </w:pPr>
          <w:hyperlink w:anchor="_Toc219380879" w:history="1">
            <w:r w:rsidRPr="007D1FAF">
              <w:rPr>
                <w:rStyle w:val="Hyperlink"/>
                <w:noProof/>
              </w:rPr>
              <w:t>Recommendations on setting the Threshold Standards</w:t>
            </w:r>
            <w:r>
              <w:rPr>
                <w:noProof/>
                <w:webHidden/>
              </w:rPr>
              <w:tab/>
            </w:r>
            <w:r>
              <w:rPr>
                <w:noProof/>
                <w:webHidden/>
              </w:rPr>
              <w:fldChar w:fldCharType="begin"/>
            </w:r>
            <w:r>
              <w:rPr>
                <w:noProof/>
                <w:webHidden/>
              </w:rPr>
              <w:instrText xml:space="preserve"> PAGEREF _Toc219380879 \h </w:instrText>
            </w:r>
            <w:r>
              <w:rPr>
                <w:noProof/>
                <w:webHidden/>
              </w:rPr>
            </w:r>
            <w:r>
              <w:rPr>
                <w:noProof/>
                <w:webHidden/>
              </w:rPr>
              <w:fldChar w:fldCharType="separate"/>
            </w:r>
            <w:r>
              <w:rPr>
                <w:noProof/>
                <w:webHidden/>
              </w:rPr>
              <w:t>7</w:t>
            </w:r>
            <w:r>
              <w:rPr>
                <w:noProof/>
                <w:webHidden/>
              </w:rPr>
              <w:fldChar w:fldCharType="end"/>
            </w:r>
          </w:hyperlink>
        </w:p>
        <w:p w14:paraId="76A540F9" w14:textId="501AB26C" w:rsidR="0055214B" w:rsidRDefault="0055214B">
          <w:pPr>
            <w:pStyle w:val="TOC3"/>
            <w:tabs>
              <w:tab w:val="right" w:leader="dot" w:pos="9016"/>
            </w:tabs>
            <w:rPr>
              <w:rFonts w:eastAsiaTheme="minorEastAsia" w:cstheme="minorBidi"/>
              <w:noProof/>
              <w:sz w:val="22"/>
              <w:szCs w:val="22"/>
              <w:lang w:eastAsia="en-AU"/>
            </w:rPr>
          </w:pPr>
          <w:hyperlink w:anchor="_Toc219380880" w:history="1">
            <w:r w:rsidRPr="007D1FAF">
              <w:rPr>
                <w:rStyle w:val="Hyperlink"/>
                <w:noProof/>
              </w:rPr>
              <w:t>Recommendations on mission based compacts</w:t>
            </w:r>
            <w:r>
              <w:rPr>
                <w:noProof/>
                <w:webHidden/>
              </w:rPr>
              <w:tab/>
            </w:r>
            <w:r>
              <w:rPr>
                <w:noProof/>
                <w:webHidden/>
              </w:rPr>
              <w:fldChar w:fldCharType="begin"/>
            </w:r>
            <w:r>
              <w:rPr>
                <w:noProof/>
                <w:webHidden/>
              </w:rPr>
              <w:instrText xml:space="preserve"> PAGEREF _Toc219380880 \h </w:instrText>
            </w:r>
            <w:r>
              <w:rPr>
                <w:noProof/>
                <w:webHidden/>
              </w:rPr>
            </w:r>
            <w:r>
              <w:rPr>
                <w:noProof/>
                <w:webHidden/>
              </w:rPr>
              <w:fldChar w:fldCharType="separate"/>
            </w:r>
            <w:r>
              <w:rPr>
                <w:noProof/>
                <w:webHidden/>
              </w:rPr>
              <w:t>7</w:t>
            </w:r>
            <w:r>
              <w:rPr>
                <w:noProof/>
                <w:webHidden/>
              </w:rPr>
              <w:fldChar w:fldCharType="end"/>
            </w:r>
          </w:hyperlink>
        </w:p>
        <w:p w14:paraId="3CBA86D8" w14:textId="2C4BF1D6" w:rsidR="0055214B" w:rsidRDefault="0055214B">
          <w:pPr>
            <w:pStyle w:val="TOC3"/>
            <w:tabs>
              <w:tab w:val="right" w:leader="dot" w:pos="9016"/>
            </w:tabs>
            <w:rPr>
              <w:rFonts w:eastAsiaTheme="minorEastAsia" w:cstheme="minorBidi"/>
              <w:noProof/>
              <w:sz w:val="22"/>
              <w:szCs w:val="22"/>
              <w:lang w:eastAsia="en-AU"/>
            </w:rPr>
          </w:pPr>
          <w:hyperlink w:anchor="_Toc219380881" w:history="1">
            <w:r w:rsidRPr="007D1FAF">
              <w:rPr>
                <w:rStyle w:val="Hyperlink"/>
                <w:noProof/>
              </w:rPr>
              <w:t>Recommendation on international education</w:t>
            </w:r>
            <w:r>
              <w:rPr>
                <w:noProof/>
                <w:webHidden/>
              </w:rPr>
              <w:tab/>
            </w:r>
            <w:r>
              <w:rPr>
                <w:noProof/>
                <w:webHidden/>
              </w:rPr>
              <w:fldChar w:fldCharType="begin"/>
            </w:r>
            <w:r>
              <w:rPr>
                <w:noProof/>
                <w:webHidden/>
              </w:rPr>
              <w:instrText xml:space="preserve"> PAGEREF _Toc219380881 \h </w:instrText>
            </w:r>
            <w:r>
              <w:rPr>
                <w:noProof/>
                <w:webHidden/>
              </w:rPr>
            </w:r>
            <w:r>
              <w:rPr>
                <w:noProof/>
                <w:webHidden/>
              </w:rPr>
              <w:fldChar w:fldCharType="separate"/>
            </w:r>
            <w:r>
              <w:rPr>
                <w:noProof/>
                <w:webHidden/>
              </w:rPr>
              <w:t>8</w:t>
            </w:r>
            <w:r>
              <w:rPr>
                <w:noProof/>
                <w:webHidden/>
              </w:rPr>
              <w:fldChar w:fldCharType="end"/>
            </w:r>
          </w:hyperlink>
        </w:p>
        <w:p w14:paraId="5AD3E602" w14:textId="484EF291" w:rsidR="0055214B" w:rsidRDefault="0055214B">
          <w:pPr>
            <w:pStyle w:val="TOC3"/>
            <w:tabs>
              <w:tab w:val="right" w:leader="dot" w:pos="9016"/>
            </w:tabs>
            <w:rPr>
              <w:rFonts w:eastAsiaTheme="minorEastAsia" w:cstheme="minorBidi"/>
              <w:noProof/>
              <w:sz w:val="22"/>
              <w:szCs w:val="22"/>
              <w:lang w:eastAsia="en-AU"/>
            </w:rPr>
          </w:pPr>
          <w:hyperlink w:anchor="_Toc219380882" w:history="1">
            <w:r w:rsidRPr="007D1FAF">
              <w:rPr>
                <w:rStyle w:val="Hyperlink"/>
                <w:noProof/>
              </w:rPr>
              <w:t>Recommendations on funding rates and student contributions</w:t>
            </w:r>
            <w:r>
              <w:rPr>
                <w:noProof/>
                <w:webHidden/>
              </w:rPr>
              <w:tab/>
            </w:r>
            <w:r>
              <w:rPr>
                <w:noProof/>
                <w:webHidden/>
              </w:rPr>
              <w:fldChar w:fldCharType="begin"/>
            </w:r>
            <w:r>
              <w:rPr>
                <w:noProof/>
                <w:webHidden/>
              </w:rPr>
              <w:instrText xml:space="preserve"> PAGEREF _Toc219380882 \h </w:instrText>
            </w:r>
            <w:r>
              <w:rPr>
                <w:noProof/>
                <w:webHidden/>
              </w:rPr>
            </w:r>
            <w:r>
              <w:rPr>
                <w:noProof/>
                <w:webHidden/>
              </w:rPr>
              <w:fldChar w:fldCharType="separate"/>
            </w:r>
            <w:r>
              <w:rPr>
                <w:noProof/>
                <w:webHidden/>
              </w:rPr>
              <w:t>8</w:t>
            </w:r>
            <w:r>
              <w:rPr>
                <w:noProof/>
                <w:webHidden/>
              </w:rPr>
              <w:fldChar w:fldCharType="end"/>
            </w:r>
          </w:hyperlink>
        </w:p>
        <w:p w14:paraId="0E2BB6E4" w14:textId="3445EB86" w:rsidR="0055214B" w:rsidRDefault="0055214B">
          <w:pPr>
            <w:pStyle w:val="TOC3"/>
            <w:tabs>
              <w:tab w:val="right" w:leader="dot" w:pos="9016"/>
            </w:tabs>
            <w:rPr>
              <w:rFonts w:eastAsiaTheme="minorEastAsia" w:cstheme="minorBidi"/>
              <w:noProof/>
              <w:sz w:val="22"/>
              <w:szCs w:val="22"/>
              <w:lang w:eastAsia="en-AU"/>
            </w:rPr>
          </w:pPr>
          <w:hyperlink w:anchor="_Toc219380883" w:history="1">
            <w:r w:rsidRPr="007D1FAF">
              <w:rPr>
                <w:rStyle w:val="Hyperlink"/>
                <w:noProof/>
                <w:lang w:eastAsia="en-AU"/>
              </w:rPr>
              <w:t>Recommendations on ATEC commissioners</w:t>
            </w:r>
            <w:r>
              <w:rPr>
                <w:noProof/>
                <w:webHidden/>
              </w:rPr>
              <w:tab/>
            </w:r>
            <w:r>
              <w:rPr>
                <w:noProof/>
                <w:webHidden/>
              </w:rPr>
              <w:fldChar w:fldCharType="begin"/>
            </w:r>
            <w:r>
              <w:rPr>
                <w:noProof/>
                <w:webHidden/>
              </w:rPr>
              <w:instrText xml:space="preserve"> PAGEREF _Toc219380883 \h </w:instrText>
            </w:r>
            <w:r>
              <w:rPr>
                <w:noProof/>
                <w:webHidden/>
              </w:rPr>
            </w:r>
            <w:r>
              <w:rPr>
                <w:noProof/>
                <w:webHidden/>
              </w:rPr>
              <w:fldChar w:fldCharType="separate"/>
            </w:r>
            <w:r>
              <w:rPr>
                <w:noProof/>
                <w:webHidden/>
              </w:rPr>
              <w:t>8</w:t>
            </w:r>
            <w:r>
              <w:rPr>
                <w:noProof/>
                <w:webHidden/>
              </w:rPr>
              <w:fldChar w:fldCharType="end"/>
            </w:r>
          </w:hyperlink>
        </w:p>
        <w:p w14:paraId="3E140C57" w14:textId="57120186" w:rsidR="0055214B" w:rsidRDefault="0055214B">
          <w:pPr>
            <w:pStyle w:val="TOC3"/>
            <w:tabs>
              <w:tab w:val="right" w:leader="dot" w:pos="9016"/>
            </w:tabs>
            <w:rPr>
              <w:rFonts w:eastAsiaTheme="minorEastAsia" w:cstheme="minorBidi"/>
              <w:noProof/>
              <w:sz w:val="22"/>
              <w:szCs w:val="22"/>
              <w:lang w:eastAsia="en-AU"/>
            </w:rPr>
          </w:pPr>
          <w:hyperlink w:anchor="_Toc219380884" w:history="1">
            <w:r w:rsidRPr="007D1FAF">
              <w:rPr>
                <w:rStyle w:val="Hyperlink"/>
                <w:noProof/>
                <w:lang w:eastAsia="en-AU"/>
              </w:rPr>
              <w:t>Recommendation on the state of the system report</w:t>
            </w:r>
            <w:r>
              <w:rPr>
                <w:noProof/>
                <w:webHidden/>
              </w:rPr>
              <w:tab/>
            </w:r>
            <w:r>
              <w:rPr>
                <w:noProof/>
                <w:webHidden/>
              </w:rPr>
              <w:fldChar w:fldCharType="begin"/>
            </w:r>
            <w:r>
              <w:rPr>
                <w:noProof/>
                <w:webHidden/>
              </w:rPr>
              <w:instrText xml:space="preserve"> PAGEREF _Toc219380884 \h </w:instrText>
            </w:r>
            <w:r>
              <w:rPr>
                <w:noProof/>
                <w:webHidden/>
              </w:rPr>
            </w:r>
            <w:r>
              <w:rPr>
                <w:noProof/>
                <w:webHidden/>
              </w:rPr>
              <w:fldChar w:fldCharType="separate"/>
            </w:r>
            <w:r>
              <w:rPr>
                <w:noProof/>
                <w:webHidden/>
              </w:rPr>
              <w:t>8</w:t>
            </w:r>
            <w:r>
              <w:rPr>
                <w:noProof/>
                <w:webHidden/>
              </w:rPr>
              <w:fldChar w:fldCharType="end"/>
            </w:r>
          </w:hyperlink>
        </w:p>
        <w:p w14:paraId="222A3256" w14:textId="40BDF9D1" w:rsidR="0055214B" w:rsidRDefault="0055214B">
          <w:pPr>
            <w:pStyle w:val="TOC3"/>
            <w:tabs>
              <w:tab w:val="right" w:leader="dot" w:pos="9016"/>
            </w:tabs>
            <w:rPr>
              <w:rFonts w:eastAsiaTheme="minorEastAsia" w:cstheme="minorBidi"/>
              <w:noProof/>
              <w:sz w:val="22"/>
              <w:szCs w:val="22"/>
              <w:lang w:eastAsia="en-AU"/>
            </w:rPr>
          </w:pPr>
          <w:hyperlink w:anchor="_Toc219380885" w:history="1">
            <w:r w:rsidRPr="007D1FAF">
              <w:rPr>
                <w:rStyle w:val="Hyperlink"/>
                <w:noProof/>
                <w:lang w:eastAsia="en-AU"/>
              </w:rPr>
              <w:t>Recommendation on delegation of powers</w:t>
            </w:r>
            <w:r>
              <w:rPr>
                <w:noProof/>
                <w:webHidden/>
              </w:rPr>
              <w:tab/>
            </w:r>
            <w:r>
              <w:rPr>
                <w:noProof/>
                <w:webHidden/>
              </w:rPr>
              <w:fldChar w:fldCharType="begin"/>
            </w:r>
            <w:r>
              <w:rPr>
                <w:noProof/>
                <w:webHidden/>
              </w:rPr>
              <w:instrText xml:space="preserve"> PAGEREF _Toc219380885 \h </w:instrText>
            </w:r>
            <w:r>
              <w:rPr>
                <w:noProof/>
                <w:webHidden/>
              </w:rPr>
            </w:r>
            <w:r>
              <w:rPr>
                <w:noProof/>
                <w:webHidden/>
              </w:rPr>
              <w:fldChar w:fldCharType="separate"/>
            </w:r>
            <w:r>
              <w:rPr>
                <w:noProof/>
                <w:webHidden/>
              </w:rPr>
              <w:t>8</w:t>
            </w:r>
            <w:r>
              <w:rPr>
                <w:noProof/>
                <w:webHidden/>
              </w:rPr>
              <w:fldChar w:fldCharType="end"/>
            </w:r>
          </w:hyperlink>
        </w:p>
        <w:p w14:paraId="47D9C0B8" w14:textId="63CF254E"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886" w:history="1">
            <w:r w:rsidRPr="007D1FAF">
              <w:rPr>
                <w:rStyle w:val="Hyperlink"/>
                <w:rFonts w:ascii="Aptos" w:hAnsi="Aptos"/>
                <w:noProof/>
              </w:rPr>
              <w:t>1.</w:t>
            </w:r>
            <w:r>
              <w:rPr>
                <w:rFonts w:eastAsiaTheme="minorEastAsia" w:cstheme="minorBidi"/>
                <w:b w:val="0"/>
                <w:bCs w:val="0"/>
                <w:i w:val="0"/>
                <w:iCs w:val="0"/>
                <w:noProof/>
                <w:sz w:val="22"/>
                <w:szCs w:val="22"/>
                <w:lang w:eastAsia="en-AU"/>
              </w:rPr>
              <w:tab/>
            </w:r>
            <w:r w:rsidRPr="007D1FAF">
              <w:rPr>
                <w:rStyle w:val="Hyperlink"/>
                <w:rFonts w:ascii="Aptos" w:hAnsi="Aptos"/>
                <w:noProof/>
              </w:rPr>
              <w:t>Should an Australian Tertiary Education Commission be created?</w:t>
            </w:r>
            <w:r>
              <w:rPr>
                <w:noProof/>
                <w:webHidden/>
              </w:rPr>
              <w:tab/>
            </w:r>
            <w:r>
              <w:rPr>
                <w:noProof/>
                <w:webHidden/>
              </w:rPr>
              <w:fldChar w:fldCharType="begin"/>
            </w:r>
            <w:r>
              <w:rPr>
                <w:noProof/>
                <w:webHidden/>
              </w:rPr>
              <w:instrText xml:space="preserve"> PAGEREF _Toc219380886 \h </w:instrText>
            </w:r>
            <w:r>
              <w:rPr>
                <w:noProof/>
                <w:webHidden/>
              </w:rPr>
            </w:r>
            <w:r>
              <w:rPr>
                <w:noProof/>
                <w:webHidden/>
              </w:rPr>
              <w:fldChar w:fldCharType="separate"/>
            </w:r>
            <w:r>
              <w:rPr>
                <w:noProof/>
                <w:webHidden/>
              </w:rPr>
              <w:t>9</w:t>
            </w:r>
            <w:r>
              <w:rPr>
                <w:noProof/>
                <w:webHidden/>
              </w:rPr>
              <w:fldChar w:fldCharType="end"/>
            </w:r>
          </w:hyperlink>
        </w:p>
        <w:p w14:paraId="07C32485" w14:textId="03F4FF65" w:rsidR="0055214B" w:rsidRDefault="0055214B">
          <w:pPr>
            <w:pStyle w:val="TOC2"/>
            <w:tabs>
              <w:tab w:val="right" w:leader="dot" w:pos="9016"/>
            </w:tabs>
            <w:rPr>
              <w:rFonts w:eastAsiaTheme="minorEastAsia" w:cstheme="minorBidi"/>
              <w:b w:val="0"/>
              <w:bCs w:val="0"/>
              <w:noProof/>
              <w:lang w:eastAsia="en-AU"/>
            </w:rPr>
          </w:pPr>
          <w:hyperlink w:anchor="_Toc219380887" w:history="1">
            <w:r w:rsidRPr="007D1FAF">
              <w:rPr>
                <w:rStyle w:val="Hyperlink"/>
                <w:noProof/>
              </w:rPr>
              <w:t>The purposes of higher education</w:t>
            </w:r>
            <w:r>
              <w:rPr>
                <w:noProof/>
                <w:webHidden/>
              </w:rPr>
              <w:tab/>
            </w:r>
            <w:r>
              <w:rPr>
                <w:noProof/>
                <w:webHidden/>
              </w:rPr>
              <w:fldChar w:fldCharType="begin"/>
            </w:r>
            <w:r>
              <w:rPr>
                <w:noProof/>
                <w:webHidden/>
              </w:rPr>
              <w:instrText xml:space="preserve"> PAGEREF _Toc219380887 \h </w:instrText>
            </w:r>
            <w:r>
              <w:rPr>
                <w:noProof/>
                <w:webHidden/>
              </w:rPr>
            </w:r>
            <w:r>
              <w:rPr>
                <w:noProof/>
                <w:webHidden/>
              </w:rPr>
              <w:fldChar w:fldCharType="separate"/>
            </w:r>
            <w:r>
              <w:rPr>
                <w:noProof/>
                <w:webHidden/>
              </w:rPr>
              <w:t>9</w:t>
            </w:r>
            <w:r>
              <w:rPr>
                <w:noProof/>
                <w:webHidden/>
              </w:rPr>
              <w:fldChar w:fldCharType="end"/>
            </w:r>
          </w:hyperlink>
        </w:p>
        <w:p w14:paraId="645CB557" w14:textId="535C6F3D" w:rsidR="0055214B" w:rsidRDefault="0055214B">
          <w:pPr>
            <w:pStyle w:val="TOC2"/>
            <w:tabs>
              <w:tab w:val="right" w:leader="dot" w:pos="9016"/>
            </w:tabs>
            <w:rPr>
              <w:rFonts w:eastAsiaTheme="minorEastAsia" w:cstheme="minorBidi"/>
              <w:b w:val="0"/>
              <w:bCs w:val="0"/>
              <w:noProof/>
              <w:lang w:eastAsia="en-AU"/>
            </w:rPr>
          </w:pPr>
          <w:hyperlink w:anchor="_Toc219380888" w:history="1">
            <w:r w:rsidRPr="007D1FAF">
              <w:rPr>
                <w:rStyle w:val="Hyperlink"/>
                <w:noProof/>
              </w:rPr>
              <w:t>The instruments of higher education policy</w:t>
            </w:r>
            <w:r>
              <w:rPr>
                <w:noProof/>
                <w:webHidden/>
              </w:rPr>
              <w:tab/>
            </w:r>
            <w:r>
              <w:rPr>
                <w:noProof/>
                <w:webHidden/>
              </w:rPr>
              <w:fldChar w:fldCharType="begin"/>
            </w:r>
            <w:r>
              <w:rPr>
                <w:noProof/>
                <w:webHidden/>
              </w:rPr>
              <w:instrText xml:space="preserve"> PAGEREF _Toc219380888 \h </w:instrText>
            </w:r>
            <w:r>
              <w:rPr>
                <w:noProof/>
                <w:webHidden/>
              </w:rPr>
            </w:r>
            <w:r>
              <w:rPr>
                <w:noProof/>
                <w:webHidden/>
              </w:rPr>
              <w:fldChar w:fldCharType="separate"/>
            </w:r>
            <w:r>
              <w:rPr>
                <w:noProof/>
                <w:webHidden/>
              </w:rPr>
              <w:t>9</w:t>
            </w:r>
            <w:r>
              <w:rPr>
                <w:noProof/>
                <w:webHidden/>
              </w:rPr>
              <w:fldChar w:fldCharType="end"/>
            </w:r>
          </w:hyperlink>
        </w:p>
        <w:p w14:paraId="53A5BF31" w14:textId="3AF61FA2" w:rsidR="0055214B" w:rsidRDefault="0055214B">
          <w:pPr>
            <w:pStyle w:val="TOC2"/>
            <w:tabs>
              <w:tab w:val="right" w:leader="dot" w:pos="9016"/>
            </w:tabs>
            <w:rPr>
              <w:rFonts w:eastAsiaTheme="minorEastAsia" w:cstheme="minorBidi"/>
              <w:b w:val="0"/>
              <w:bCs w:val="0"/>
              <w:noProof/>
              <w:lang w:eastAsia="en-AU"/>
            </w:rPr>
          </w:pPr>
          <w:hyperlink w:anchor="_Toc219380889" w:history="1">
            <w:r w:rsidRPr="007D1FAF">
              <w:rPr>
                <w:rStyle w:val="Hyperlink"/>
                <w:noProof/>
              </w:rPr>
              <w:t>ATEC’s effectiveness</w:t>
            </w:r>
            <w:r>
              <w:rPr>
                <w:noProof/>
                <w:webHidden/>
              </w:rPr>
              <w:tab/>
            </w:r>
            <w:r>
              <w:rPr>
                <w:noProof/>
                <w:webHidden/>
              </w:rPr>
              <w:fldChar w:fldCharType="begin"/>
            </w:r>
            <w:r>
              <w:rPr>
                <w:noProof/>
                <w:webHidden/>
              </w:rPr>
              <w:instrText xml:space="preserve"> PAGEREF _Toc219380889 \h </w:instrText>
            </w:r>
            <w:r>
              <w:rPr>
                <w:noProof/>
                <w:webHidden/>
              </w:rPr>
            </w:r>
            <w:r>
              <w:rPr>
                <w:noProof/>
                <w:webHidden/>
              </w:rPr>
              <w:fldChar w:fldCharType="separate"/>
            </w:r>
            <w:r>
              <w:rPr>
                <w:noProof/>
                <w:webHidden/>
              </w:rPr>
              <w:t>10</w:t>
            </w:r>
            <w:r>
              <w:rPr>
                <w:noProof/>
                <w:webHidden/>
              </w:rPr>
              <w:fldChar w:fldCharType="end"/>
            </w:r>
          </w:hyperlink>
        </w:p>
        <w:p w14:paraId="18A4ACEB" w14:textId="1CB60144" w:rsidR="0055214B" w:rsidRDefault="0055214B">
          <w:pPr>
            <w:pStyle w:val="TOC2"/>
            <w:tabs>
              <w:tab w:val="right" w:leader="dot" w:pos="9016"/>
            </w:tabs>
            <w:rPr>
              <w:rFonts w:eastAsiaTheme="minorEastAsia" w:cstheme="minorBidi"/>
              <w:b w:val="0"/>
              <w:bCs w:val="0"/>
              <w:noProof/>
              <w:lang w:eastAsia="en-AU"/>
            </w:rPr>
          </w:pPr>
          <w:hyperlink w:anchor="_Toc219380890" w:history="1">
            <w:r w:rsidRPr="007D1FAF">
              <w:rPr>
                <w:rStyle w:val="Hyperlink"/>
                <w:noProof/>
              </w:rPr>
              <w:t>Reject the ATEC bills</w:t>
            </w:r>
            <w:r>
              <w:rPr>
                <w:noProof/>
                <w:webHidden/>
              </w:rPr>
              <w:tab/>
            </w:r>
            <w:r>
              <w:rPr>
                <w:noProof/>
                <w:webHidden/>
              </w:rPr>
              <w:fldChar w:fldCharType="begin"/>
            </w:r>
            <w:r>
              <w:rPr>
                <w:noProof/>
                <w:webHidden/>
              </w:rPr>
              <w:instrText xml:space="preserve"> PAGEREF _Toc219380890 \h </w:instrText>
            </w:r>
            <w:r>
              <w:rPr>
                <w:noProof/>
                <w:webHidden/>
              </w:rPr>
            </w:r>
            <w:r>
              <w:rPr>
                <w:noProof/>
                <w:webHidden/>
              </w:rPr>
              <w:fldChar w:fldCharType="separate"/>
            </w:r>
            <w:r>
              <w:rPr>
                <w:noProof/>
                <w:webHidden/>
              </w:rPr>
              <w:t>11</w:t>
            </w:r>
            <w:r>
              <w:rPr>
                <w:noProof/>
                <w:webHidden/>
              </w:rPr>
              <w:fldChar w:fldCharType="end"/>
            </w:r>
          </w:hyperlink>
        </w:p>
        <w:p w14:paraId="008A7F5A" w14:textId="0455AB8E"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891" w:history="1">
            <w:r w:rsidRPr="007D1FAF">
              <w:rPr>
                <w:rStyle w:val="Hyperlink"/>
                <w:rFonts w:ascii="Aptos" w:hAnsi="Aptos"/>
                <w:noProof/>
              </w:rPr>
              <w:t>2.</w:t>
            </w:r>
            <w:r>
              <w:rPr>
                <w:rFonts w:eastAsiaTheme="minorEastAsia" w:cstheme="minorBidi"/>
                <w:b w:val="0"/>
                <w:bCs w:val="0"/>
                <w:i w:val="0"/>
                <w:iCs w:val="0"/>
                <w:noProof/>
                <w:sz w:val="22"/>
                <w:szCs w:val="22"/>
                <w:lang w:eastAsia="en-AU"/>
              </w:rPr>
              <w:tab/>
            </w:r>
            <w:r w:rsidRPr="007D1FAF">
              <w:rPr>
                <w:rStyle w:val="Hyperlink"/>
                <w:rFonts w:ascii="Aptos" w:hAnsi="Aptos"/>
                <w:noProof/>
              </w:rPr>
              <w:t>The objectives, objects and functions of ATEC</w:t>
            </w:r>
            <w:r>
              <w:rPr>
                <w:noProof/>
                <w:webHidden/>
              </w:rPr>
              <w:tab/>
            </w:r>
            <w:r>
              <w:rPr>
                <w:noProof/>
                <w:webHidden/>
              </w:rPr>
              <w:fldChar w:fldCharType="begin"/>
            </w:r>
            <w:r>
              <w:rPr>
                <w:noProof/>
                <w:webHidden/>
              </w:rPr>
              <w:instrText xml:space="preserve"> PAGEREF _Toc219380891 \h </w:instrText>
            </w:r>
            <w:r>
              <w:rPr>
                <w:noProof/>
                <w:webHidden/>
              </w:rPr>
            </w:r>
            <w:r>
              <w:rPr>
                <w:noProof/>
                <w:webHidden/>
              </w:rPr>
              <w:fldChar w:fldCharType="separate"/>
            </w:r>
            <w:r>
              <w:rPr>
                <w:noProof/>
                <w:webHidden/>
              </w:rPr>
              <w:t>12</w:t>
            </w:r>
            <w:r>
              <w:rPr>
                <w:noProof/>
                <w:webHidden/>
              </w:rPr>
              <w:fldChar w:fldCharType="end"/>
            </w:r>
          </w:hyperlink>
        </w:p>
        <w:p w14:paraId="5C445A37" w14:textId="3C9BEFF3" w:rsidR="0055214B" w:rsidRDefault="0055214B">
          <w:pPr>
            <w:pStyle w:val="TOC2"/>
            <w:tabs>
              <w:tab w:val="right" w:leader="dot" w:pos="9016"/>
            </w:tabs>
            <w:rPr>
              <w:rFonts w:eastAsiaTheme="minorEastAsia" w:cstheme="minorBidi"/>
              <w:b w:val="0"/>
              <w:bCs w:val="0"/>
              <w:noProof/>
              <w:lang w:eastAsia="en-AU"/>
            </w:rPr>
          </w:pPr>
          <w:hyperlink w:anchor="_Toc219380892" w:history="1">
            <w:r w:rsidRPr="007D1FAF">
              <w:rPr>
                <w:rStyle w:val="Hyperlink"/>
                <w:rFonts w:ascii="Aptos" w:hAnsi="Aptos"/>
                <w:noProof/>
              </w:rPr>
              <w:t>High-level objectives</w:t>
            </w:r>
            <w:r>
              <w:rPr>
                <w:noProof/>
                <w:webHidden/>
              </w:rPr>
              <w:tab/>
            </w:r>
            <w:r>
              <w:rPr>
                <w:noProof/>
                <w:webHidden/>
              </w:rPr>
              <w:fldChar w:fldCharType="begin"/>
            </w:r>
            <w:r>
              <w:rPr>
                <w:noProof/>
                <w:webHidden/>
              </w:rPr>
              <w:instrText xml:space="preserve"> PAGEREF _Toc219380892 \h </w:instrText>
            </w:r>
            <w:r>
              <w:rPr>
                <w:noProof/>
                <w:webHidden/>
              </w:rPr>
            </w:r>
            <w:r>
              <w:rPr>
                <w:noProof/>
                <w:webHidden/>
              </w:rPr>
              <w:fldChar w:fldCharType="separate"/>
            </w:r>
            <w:r>
              <w:rPr>
                <w:noProof/>
                <w:webHidden/>
              </w:rPr>
              <w:t>12</w:t>
            </w:r>
            <w:r>
              <w:rPr>
                <w:noProof/>
                <w:webHidden/>
              </w:rPr>
              <w:fldChar w:fldCharType="end"/>
            </w:r>
          </w:hyperlink>
        </w:p>
        <w:p w14:paraId="4545C480" w14:textId="550193C6" w:rsidR="0055214B" w:rsidRDefault="0055214B">
          <w:pPr>
            <w:pStyle w:val="TOC3"/>
            <w:tabs>
              <w:tab w:val="right" w:leader="dot" w:pos="9016"/>
            </w:tabs>
            <w:rPr>
              <w:rFonts w:eastAsiaTheme="minorEastAsia" w:cstheme="minorBidi"/>
              <w:noProof/>
              <w:sz w:val="22"/>
              <w:szCs w:val="22"/>
              <w:lang w:eastAsia="en-AU"/>
            </w:rPr>
          </w:pPr>
          <w:hyperlink w:anchor="_Toc219380893" w:history="1">
            <w:r w:rsidRPr="007D1FAF">
              <w:rPr>
                <w:rStyle w:val="Hyperlink"/>
                <w:noProof/>
              </w:rPr>
              <w:t>Section 13</w:t>
            </w:r>
            <w:r>
              <w:rPr>
                <w:noProof/>
                <w:webHidden/>
              </w:rPr>
              <w:tab/>
            </w:r>
            <w:r>
              <w:rPr>
                <w:noProof/>
                <w:webHidden/>
              </w:rPr>
              <w:fldChar w:fldCharType="begin"/>
            </w:r>
            <w:r>
              <w:rPr>
                <w:noProof/>
                <w:webHidden/>
              </w:rPr>
              <w:instrText xml:space="preserve"> PAGEREF _Toc219380893 \h </w:instrText>
            </w:r>
            <w:r>
              <w:rPr>
                <w:noProof/>
                <w:webHidden/>
              </w:rPr>
            </w:r>
            <w:r>
              <w:rPr>
                <w:noProof/>
                <w:webHidden/>
              </w:rPr>
              <w:fldChar w:fldCharType="separate"/>
            </w:r>
            <w:r>
              <w:rPr>
                <w:noProof/>
                <w:webHidden/>
              </w:rPr>
              <w:t>12</w:t>
            </w:r>
            <w:r>
              <w:rPr>
                <w:noProof/>
                <w:webHidden/>
              </w:rPr>
              <w:fldChar w:fldCharType="end"/>
            </w:r>
          </w:hyperlink>
        </w:p>
        <w:p w14:paraId="2090439C" w14:textId="5F65C47E" w:rsidR="0055214B" w:rsidRDefault="0055214B">
          <w:pPr>
            <w:pStyle w:val="TOC3"/>
            <w:tabs>
              <w:tab w:val="right" w:leader="dot" w:pos="9016"/>
            </w:tabs>
            <w:rPr>
              <w:rFonts w:eastAsiaTheme="minorEastAsia" w:cstheme="minorBidi"/>
              <w:noProof/>
              <w:sz w:val="22"/>
              <w:szCs w:val="22"/>
              <w:lang w:eastAsia="en-AU"/>
            </w:rPr>
          </w:pPr>
          <w:hyperlink w:anchor="_Toc219380894" w:history="1">
            <w:r w:rsidRPr="007D1FAF">
              <w:rPr>
                <w:rStyle w:val="Hyperlink"/>
                <w:noProof/>
              </w:rPr>
              <w:t>Section 14</w:t>
            </w:r>
            <w:r>
              <w:rPr>
                <w:noProof/>
                <w:webHidden/>
              </w:rPr>
              <w:tab/>
            </w:r>
            <w:r>
              <w:rPr>
                <w:noProof/>
                <w:webHidden/>
              </w:rPr>
              <w:fldChar w:fldCharType="begin"/>
            </w:r>
            <w:r>
              <w:rPr>
                <w:noProof/>
                <w:webHidden/>
              </w:rPr>
              <w:instrText xml:space="preserve"> PAGEREF _Toc219380894 \h </w:instrText>
            </w:r>
            <w:r>
              <w:rPr>
                <w:noProof/>
                <w:webHidden/>
              </w:rPr>
            </w:r>
            <w:r>
              <w:rPr>
                <w:noProof/>
                <w:webHidden/>
              </w:rPr>
              <w:fldChar w:fldCharType="separate"/>
            </w:r>
            <w:r>
              <w:rPr>
                <w:noProof/>
                <w:webHidden/>
              </w:rPr>
              <w:t>13</w:t>
            </w:r>
            <w:r>
              <w:rPr>
                <w:noProof/>
                <w:webHidden/>
              </w:rPr>
              <w:fldChar w:fldCharType="end"/>
            </w:r>
          </w:hyperlink>
        </w:p>
        <w:p w14:paraId="597E7ABB" w14:textId="744C7A8F" w:rsidR="0055214B" w:rsidRDefault="0055214B">
          <w:pPr>
            <w:pStyle w:val="TOC2"/>
            <w:tabs>
              <w:tab w:val="right" w:leader="dot" w:pos="9016"/>
            </w:tabs>
            <w:rPr>
              <w:rFonts w:eastAsiaTheme="minorEastAsia" w:cstheme="minorBidi"/>
              <w:b w:val="0"/>
              <w:bCs w:val="0"/>
              <w:noProof/>
              <w:lang w:eastAsia="en-AU"/>
            </w:rPr>
          </w:pPr>
          <w:hyperlink w:anchor="_Toc219380895" w:history="1">
            <w:r w:rsidRPr="007D1FAF">
              <w:rPr>
                <w:rStyle w:val="Hyperlink"/>
                <w:noProof/>
              </w:rPr>
              <w:t>Absences from ATEC objects and functions</w:t>
            </w:r>
            <w:r>
              <w:rPr>
                <w:noProof/>
                <w:webHidden/>
              </w:rPr>
              <w:tab/>
            </w:r>
            <w:r>
              <w:rPr>
                <w:noProof/>
                <w:webHidden/>
              </w:rPr>
              <w:fldChar w:fldCharType="begin"/>
            </w:r>
            <w:r>
              <w:rPr>
                <w:noProof/>
                <w:webHidden/>
              </w:rPr>
              <w:instrText xml:space="preserve"> PAGEREF _Toc219380895 \h </w:instrText>
            </w:r>
            <w:r>
              <w:rPr>
                <w:noProof/>
                <w:webHidden/>
              </w:rPr>
            </w:r>
            <w:r>
              <w:rPr>
                <w:noProof/>
                <w:webHidden/>
              </w:rPr>
              <w:fldChar w:fldCharType="separate"/>
            </w:r>
            <w:r>
              <w:rPr>
                <w:noProof/>
                <w:webHidden/>
              </w:rPr>
              <w:t>13</w:t>
            </w:r>
            <w:r>
              <w:rPr>
                <w:noProof/>
                <w:webHidden/>
              </w:rPr>
              <w:fldChar w:fldCharType="end"/>
            </w:r>
          </w:hyperlink>
        </w:p>
        <w:p w14:paraId="64374793" w14:textId="5FFD9ECB" w:rsidR="0055214B" w:rsidRDefault="0055214B">
          <w:pPr>
            <w:pStyle w:val="TOC3"/>
            <w:tabs>
              <w:tab w:val="right" w:leader="dot" w:pos="9016"/>
            </w:tabs>
            <w:rPr>
              <w:rFonts w:eastAsiaTheme="minorEastAsia" w:cstheme="minorBidi"/>
              <w:noProof/>
              <w:sz w:val="22"/>
              <w:szCs w:val="22"/>
              <w:lang w:eastAsia="en-AU"/>
            </w:rPr>
          </w:pPr>
          <w:hyperlink w:anchor="_Toc219380896" w:history="1">
            <w:r w:rsidRPr="007D1FAF">
              <w:rPr>
                <w:rStyle w:val="Hyperlink"/>
                <w:noProof/>
              </w:rPr>
              <w:t>Broader intellectual and cultural purposes</w:t>
            </w:r>
            <w:r>
              <w:rPr>
                <w:noProof/>
                <w:webHidden/>
              </w:rPr>
              <w:tab/>
            </w:r>
            <w:r>
              <w:rPr>
                <w:noProof/>
                <w:webHidden/>
              </w:rPr>
              <w:fldChar w:fldCharType="begin"/>
            </w:r>
            <w:r>
              <w:rPr>
                <w:noProof/>
                <w:webHidden/>
              </w:rPr>
              <w:instrText xml:space="preserve"> PAGEREF _Toc219380896 \h </w:instrText>
            </w:r>
            <w:r>
              <w:rPr>
                <w:noProof/>
                <w:webHidden/>
              </w:rPr>
            </w:r>
            <w:r>
              <w:rPr>
                <w:noProof/>
                <w:webHidden/>
              </w:rPr>
              <w:fldChar w:fldCharType="separate"/>
            </w:r>
            <w:r>
              <w:rPr>
                <w:noProof/>
                <w:webHidden/>
              </w:rPr>
              <w:t>13</w:t>
            </w:r>
            <w:r>
              <w:rPr>
                <w:noProof/>
                <w:webHidden/>
              </w:rPr>
              <w:fldChar w:fldCharType="end"/>
            </w:r>
          </w:hyperlink>
        </w:p>
        <w:p w14:paraId="37C1C4F8" w14:textId="637BCFB0" w:rsidR="0055214B" w:rsidRDefault="0055214B">
          <w:pPr>
            <w:pStyle w:val="TOC3"/>
            <w:tabs>
              <w:tab w:val="right" w:leader="dot" w:pos="9016"/>
            </w:tabs>
            <w:rPr>
              <w:rFonts w:eastAsiaTheme="minorEastAsia" w:cstheme="minorBidi"/>
              <w:noProof/>
              <w:sz w:val="22"/>
              <w:szCs w:val="22"/>
              <w:lang w:eastAsia="en-AU"/>
            </w:rPr>
          </w:pPr>
          <w:hyperlink w:anchor="_Toc219380897" w:history="1">
            <w:r w:rsidRPr="007D1FAF">
              <w:rPr>
                <w:rStyle w:val="Hyperlink"/>
                <w:noProof/>
              </w:rPr>
              <w:t>Teaching quality</w:t>
            </w:r>
            <w:r>
              <w:rPr>
                <w:noProof/>
                <w:webHidden/>
              </w:rPr>
              <w:tab/>
            </w:r>
            <w:r>
              <w:rPr>
                <w:noProof/>
                <w:webHidden/>
              </w:rPr>
              <w:fldChar w:fldCharType="begin"/>
            </w:r>
            <w:r>
              <w:rPr>
                <w:noProof/>
                <w:webHidden/>
              </w:rPr>
              <w:instrText xml:space="preserve"> PAGEREF _Toc219380897 \h </w:instrText>
            </w:r>
            <w:r>
              <w:rPr>
                <w:noProof/>
                <w:webHidden/>
              </w:rPr>
            </w:r>
            <w:r>
              <w:rPr>
                <w:noProof/>
                <w:webHidden/>
              </w:rPr>
              <w:fldChar w:fldCharType="separate"/>
            </w:r>
            <w:r>
              <w:rPr>
                <w:noProof/>
                <w:webHidden/>
              </w:rPr>
              <w:t>13</w:t>
            </w:r>
            <w:r>
              <w:rPr>
                <w:noProof/>
                <w:webHidden/>
              </w:rPr>
              <w:fldChar w:fldCharType="end"/>
            </w:r>
          </w:hyperlink>
        </w:p>
        <w:p w14:paraId="1FAE2D85" w14:textId="4435CE6F" w:rsidR="0055214B" w:rsidRDefault="0055214B">
          <w:pPr>
            <w:pStyle w:val="TOC3"/>
            <w:tabs>
              <w:tab w:val="right" w:leader="dot" w:pos="9016"/>
            </w:tabs>
            <w:rPr>
              <w:rFonts w:eastAsiaTheme="minorEastAsia" w:cstheme="minorBidi"/>
              <w:noProof/>
              <w:sz w:val="22"/>
              <w:szCs w:val="22"/>
              <w:lang w:eastAsia="en-AU"/>
            </w:rPr>
          </w:pPr>
          <w:hyperlink w:anchor="_Toc219380898" w:history="1">
            <w:r w:rsidRPr="007D1FAF">
              <w:rPr>
                <w:rStyle w:val="Hyperlink"/>
                <w:noProof/>
              </w:rPr>
              <w:t>Research</w:t>
            </w:r>
            <w:r>
              <w:rPr>
                <w:noProof/>
                <w:webHidden/>
              </w:rPr>
              <w:tab/>
            </w:r>
            <w:r>
              <w:rPr>
                <w:noProof/>
                <w:webHidden/>
              </w:rPr>
              <w:fldChar w:fldCharType="begin"/>
            </w:r>
            <w:r>
              <w:rPr>
                <w:noProof/>
                <w:webHidden/>
              </w:rPr>
              <w:instrText xml:space="preserve"> PAGEREF _Toc219380898 \h </w:instrText>
            </w:r>
            <w:r>
              <w:rPr>
                <w:noProof/>
                <w:webHidden/>
              </w:rPr>
            </w:r>
            <w:r>
              <w:rPr>
                <w:noProof/>
                <w:webHidden/>
              </w:rPr>
              <w:fldChar w:fldCharType="separate"/>
            </w:r>
            <w:r>
              <w:rPr>
                <w:noProof/>
                <w:webHidden/>
              </w:rPr>
              <w:t>14</w:t>
            </w:r>
            <w:r>
              <w:rPr>
                <w:noProof/>
                <w:webHidden/>
              </w:rPr>
              <w:fldChar w:fldCharType="end"/>
            </w:r>
          </w:hyperlink>
        </w:p>
        <w:p w14:paraId="78150F78" w14:textId="4DA2D125" w:rsidR="0055214B" w:rsidRDefault="0055214B">
          <w:pPr>
            <w:pStyle w:val="TOC3"/>
            <w:tabs>
              <w:tab w:val="right" w:leader="dot" w:pos="9016"/>
            </w:tabs>
            <w:rPr>
              <w:rFonts w:eastAsiaTheme="minorEastAsia" w:cstheme="minorBidi"/>
              <w:noProof/>
              <w:sz w:val="22"/>
              <w:szCs w:val="22"/>
              <w:lang w:eastAsia="en-AU"/>
            </w:rPr>
          </w:pPr>
          <w:hyperlink w:anchor="_Toc219380899" w:history="1">
            <w:r w:rsidRPr="007D1FAF">
              <w:rPr>
                <w:rStyle w:val="Hyperlink"/>
                <w:noProof/>
              </w:rPr>
              <w:t>Student income support</w:t>
            </w:r>
            <w:r>
              <w:rPr>
                <w:noProof/>
                <w:webHidden/>
              </w:rPr>
              <w:tab/>
            </w:r>
            <w:r>
              <w:rPr>
                <w:noProof/>
                <w:webHidden/>
              </w:rPr>
              <w:fldChar w:fldCharType="begin"/>
            </w:r>
            <w:r>
              <w:rPr>
                <w:noProof/>
                <w:webHidden/>
              </w:rPr>
              <w:instrText xml:space="preserve"> PAGEREF _Toc219380899 \h </w:instrText>
            </w:r>
            <w:r>
              <w:rPr>
                <w:noProof/>
                <w:webHidden/>
              </w:rPr>
            </w:r>
            <w:r>
              <w:rPr>
                <w:noProof/>
                <w:webHidden/>
              </w:rPr>
              <w:fldChar w:fldCharType="separate"/>
            </w:r>
            <w:r>
              <w:rPr>
                <w:noProof/>
                <w:webHidden/>
              </w:rPr>
              <w:t>14</w:t>
            </w:r>
            <w:r>
              <w:rPr>
                <w:noProof/>
                <w:webHidden/>
              </w:rPr>
              <w:fldChar w:fldCharType="end"/>
            </w:r>
          </w:hyperlink>
        </w:p>
        <w:p w14:paraId="5AFF6BB9" w14:textId="46A1E667" w:rsidR="0055214B" w:rsidRDefault="0055214B">
          <w:pPr>
            <w:pStyle w:val="TOC2"/>
            <w:tabs>
              <w:tab w:val="right" w:leader="dot" w:pos="9016"/>
            </w:tabs>
            <w:rPr>
              <w:rFonts w:eastAsiaTheme="minorEastAsia" w:cstheme="minorBidi"/>
              <w:b w:val="0"/>
              <w:bCs w:val="0"/>
              <w:noProof/>
              <w:lang w:eastAsia="en-AU"/>
            </w:rPr>
          </w:pPr>
          <w:hyperlink w:anchor="_Toc219380900" w:history="1">
            <w:r w:rsidRPr="007D1FAF">
              <w:rPr>
                <w:rStyle w:val="Hyperlink"/>
                <w:noProof/>
              </w:rPr>
              <w:t>Duplicated functions</w:t>
            </w:r>
            <w:r>
              <w:rPr>
                <w:noProof/>
                <w:webHidden/>
              </w:rPr>
              <w:tab/>
            </w:r>
            <w:r>
              <w:rPr>
                <w:noProof/>
                <w:webHidden/>
              </w:rPr>
              <w:fldChar w:fldCharType="begin"/>
            </w:r>
            <w:r>
              <w:rPr>
                <w:noProof/>
                <w:webHidden/>
              </w:rPr>
              <w:instrText xml:space="preserve"> PAGEREF _Toc219380900 \h </w:instrText>
            </w:r>
            <w:r>
              <w:rPr>
                <w:noProof/>
                <w:webHidden/>
              </w:rPr>
            </w:r>
            <w:r>
              <w:rPr>
                <w:noProof/>
                <w:webHidden/>
              </w:rPr>
              <w:fldChar w:fldCharType="separate"/>
            </w:r>
            <w:r>
              <w:rPr>
                <w:noProof/>
                <w:webHidden/>
              </w:rPr>
              <w:t>15</w:t>
            </w:r>
            <w:r>
              <w:rPr>
                <w:noProof/>
                <w:webHidden/>
              </w:rPr>
              <w:fldChar w:fldCharType="end"/>
            </w:r>
          </w:hyperlink>
        </w:p>
        <w:p w14:paraId="13D47F3D" w14:textId="3C781826"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01" w:history="1">
            <w:r w:rsidRPr="007D1FAF">
              <w:rPr>
                <w:rStyle w:val="Hyperlink"/>
                <w:rFonts w:ascii="Aptos" w:hAnsi="Aptos"/>
                <w:noProof/>
              </w:rPr>
              <w:t>3.</w:t>
            </w:r>
            <w:r>
              <w:rPr>
                <w:rFonts w:eastAsiaTheme="minorEastAsia" w:cstheme="minorBidi"/>
                <w:b w:val="0"/>
                <w:bCs w:val="0"/>
                <w:i w:val="0"/>
                <w:iCs w:val="0"/>
                <w:noProof/>
                <w:sz w:val="22"/>
                <w:szCs w:val="22"/>
                <w:lang w:eastAsia="en-AU"/>
              </w:rPr>
              <w:tab/>
            </w:r>
            <w:r w:rsidRPr="007D1FAF">
              <w:rPr>
                <w:rStyle w:val="Hyperlink"/>
                <w:rFonts w:ascii="Aptos" w:hAnsi="Aptos"/>
                <w:noProof/>
              </w:rPr>
              <w:t>Setting the Threshold Standards</w:t>
            </w:r>
            <w:r>
              <w:rPr>
                <w:noProof/>
                <w:webHidden/>
              </w:rPr>
              <w:tab/>
            </w:r>
            <w:r>
              <w:rPr>
                <w:noProof/>
                <w:webHidden/>
              </w:rPr>
              <w:fldChar w:fldCharType="begin"/>
            </w:r>
            <w:r>
              <w:rPr>
                <w:noProof/>
                <w:webHidden/>
              </w:rPr>
              <w:instrText xml:space="preserve"> PAGEREF _Toc219380901 \h </w:instrText>
            </w:r>
            <w:r>
              <w:rPr>
                <w:noProof/>
                <w:webHidden/>
              </w:rPr>
            </w:r>
            <w:r>
              <w:rPr>
                <w:noProof/>
                <w:webHidden/>
              </w:rPr>
              <w:fldChar w:fldCharType="separate"/>
            </w:r>
            <w:r>
              <w:rPr>
                <w:noProof/>
                <w:webHidden/>
              </w:rPr>
              <w:t>17</w:t>
            </w:r>
            <w:r>
              <w:rPr>
                <w:noProof/>
                <w:webHidden/>
              </w:rPr>
              <w:fldChar w:fldCharType="end"/>
            </w:r>
          </w:hyperlink>
        </w:p>
        <w:p w14:paraId="5A21F145" w14:textId="3EC8D421" w:rsidR="0055214B" w:rsidRDefault="0055214B">
          <w:pPr>
            <w:pStyle w:val="TOC3"/>
            <w:tabs>
              <w:tab w:val="right" w:leader="dot" w:pos="9016"/>
            </w:tabs>
            <w:rPr>
              <w:rFonts w:eastAsiaTheme="minorEastAsia" w:cstheme="minorBidi"/>
              <w:noProof/>
              <w:sz w:val="22"/>
              <w:szCs w:val="22"/>
              <w:lang w:eastAsia="en-AU"/>
            </w:rPr>
          </w:pPr>
          <w:hyperlink w:anchor="_Toc219380902" w:history="1">
            <w:r w:rsidRPr="007D1FAF">
              <w:rPr>
                <w:rStyle w:val="Hyperlink"/>
                <w:noProof/>
              </w:rPr>
              <w:t>Higher Education Standards Panel</w:t>
            </w:r>
            <w:r>
              <w:rPr>
                <w:noProof/>
                <w:webHidden/>
              </w:rPr>
              <w:tab/>
            </w:r>
            <w:r>
              <w:rPr>
                <w:noProof/>
                <w:webHidden/>
              </w:rPr>
              <w:fldChar w:fldCharType="begin"/>
            </w:r>
            <w:r>
              <w:rPr>
                <w:noProof/>
                <w:webHidden/>
              </w:rPr>
              <w:instrText xml:space="preserve"> PAGEREF _Toc219380902 \h </w:instrText>
            </w:r>
            <w:r>
              <w:rPr>
                <w:noProof/>
                <w:webHidden/>
              </w:rPr>
            </w:r>
            <w:r>
              <w:rPr>
                <w:noProof/>
                <w:webHidden/>
              </w:rPr>
              <w:fldChar w:fldCharType="separate"/>
            </w:r>
            <w:r>
              <w:rPr>
                <w:noProof/>
                <w:webHidden/>
              </w:rPr>
              <w:t>17</w:t>
            </w:r>
            <w:r>
              <w:rPr>
                <w:noProof/>
                <w:webHidden/>
              </w:rPr>
              <w:fldChar w:fldCharType="end"/>
            </w:r>
          </w:hyperlink>
        </w:p>
        <w:p w14:paraId="6331C10D" w14:textId="50B88C88" w:rsidR="0055214B" w:rsidRDefault="0055214B">
          <w:pPr>
            <w:pStyle w:val="TOC3"/>
            <w:tabs>
              <w:tab w:val="right" w:leader="dot" w:pos="9016"/>
            </w:tabs>
            <w:rPr>
              <w:rFonts w:eastAsiaTheme="minorEastAsia" w:cstheme="minorBidi"/>
              <w:noProof/>
              <w:sz w:val="22"/>
              <w:szCs w:val="22"/>
              <w:lang w:eastAsia="en-AU"/>
            </w:rPr>
          </w:pPr>
          <w:hyperlink w:anchor="_Toc219380903" w:history="1">
            <w:r w:rsidRPr="007D1FAF">
              <w:rPr>
                <w:rStyle w:val="Hyperlink"/>
                <w:noProof/>
                <w:lang w:eastAsia="en-AU"/>
              </w:rPr>
              <w:t>ATEC to replace HESP</w:t>
            </w:r>
            <w:r>
              <w:rPr>
                <w:noProof/>
                <w:webHidden/>
              </w:rPr>
              <w:tab/>
            </w:r>
            <w:r>
              <w:rPr>
                <w:noProof/>
                <w:webHidden/>
              </w:rPr>
              <w:fldChar w:fldCharType="begin"/>
            </w:r>
            <w:r>
              <w:rPr>
                <w:noProof/>
                <w:webHidden/>
              </w:rPr>
              <w:instrText xml:space="preserve"> PAGEREF _Toc219380903 \h </w:instrText>
            </w:r>
            <w:r>
              <w:rPr>
                <w:noProof/>
                <w:webHidden/>
              </w:rPr>
            </w:r>
            <w:r>
              <w:rPr>
                <w:noProof/>
                <w:webHidden/>
              </w:rPr>
              <w:fldChar w:fldCharType="separate"/>
            </w:r>
            <w:r>
              <w:rPr>
                <w:noProof/>
                <w:webHidden/>
              </w:rPr>
              <w:t>17</w:t>
            </w:r>
            <w:r>
              <w:rPr>
                <w:noProof/>
                <w:webHidden/>
              </w:rPr>
              <w:fldChar w:fldCharType="end"/>
            </w:r>
          </w:hyperlink>
        </w:p>
        <w:p w14:paraId="06C7F986" w14:textId="7B320647" w:rsidR="0055214B" w:rsidRDefault="0055214B">
          <w:pPr>
            <w:pStyle w:val="TOC3"/>
            <w:tabs>
              <w:tab w:val="right" w:leader="dot" w:pos="9016"/>
            </w:tabs>
            <w:rPr>
              <w:rFonts w:eastAsiaTheme="minorEastAsia" w:cstheme="minorBidi"/>
              <w:noProof/>
              <w:sz w:val="22"/>
              <w:szCs w:val="22"/>
              <w:lang w:eastAsia="en-AU"/>
            </w:rPr>
          </w:pPr>
          <w:hyperlink w:anchor="_Toc219380904" w:history="1">
            <w:r w:rsidRPr="007D1FAF">
              <w:rPr>
                <w:rStyle w:val="Hyperlink"/>
                <w:noProof/>
              </w:rPr>
              <w:t>Reducing the risk of poor advice on the Threshold Standards</w:t>
            </w:r>
            <w:r>
              <w:rPr>
                <w:noProof/>
                <w:webHidden/>
              </w:rPr>
              <w:tab/>
            </w:r>
            <w:r>
              <w:rPr>
                <w:noProof/>
                <w:webHidden/>
              </w:rPr>
              <w:fldChar w:fldCharType="begin"/>
            </w:r>
            <w:r>
              <w:rPr>
                <w:noProof/>
                <w:webHidden/>
              </w:rPr>
              <w:instrText xml:space="preserve"> PAGEREF _Toc219380904 \h </w:instrText>
            </w:r>
            <w:r>
              <w:rPr>
                <w:noProof/>
                <w:webHidden/>
              </w:rPr>
            </w:r>
            <w:r>
              <w:rPr>
                <w:noProof/>
                <w:webHidden/>
              </w:rPr>
              <w:fldChar w:fldCharType="separate"/>
            </w:r>
            <w:r>
              <w:rPr>
                <w:noProof/>
                <w:webHidden/>
              </w:rPr>
              <w:t>18</w:t>
            </w:r>
            <w:r>
              <w:rPr>
                <w:noProof/>
                <w:webHidden/>
              </w:rPr>
              <w:fldChar w:fldCharType="end"/>
            </w:r>
          </w:hyperlink>
        </w:p>
        <w:p w14:paraId="40BC4F70" w14:textId="15B04C68"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05" w:history="1">
            <w:r w:rsidRPr="007D1FAF">
              <w:rPr>
                <w:rStyle w:val="Hyperlink"/>
                <w:rFonts w:ascii="Aptos" w:hAnsi="Aptos"/>
                <w:noProof/>
              </w:rPr>
              <w:t>4.</w:t>
            </w:r>
            <w:r>
              <w:rPr>
                <w:rFonts w:eastAsiaTheme="minorEastAsia" w:cstheme="minorBidi"/>
                <w:b w:val="0"/>
                <w:bCs w:val="0"/>
                <w:i w:val="0"/>
                <w:iCs w:val="0"/>
                <w:noProof/>
                <w:sz w:val="22"/>
                <w:szCs w:val="22"/>
                <w:lang w:eastAsia="en-AU"/>
              </w:rPr>
              <w:tab/>
            </w:r>
            <w:r w:rsidRPr="007D1FAF">
              <w:rPr>
                <w:rStyle w:val="Hyperlink"/>
                <w:rFonts w:ascii="Aptos" w:hAnsi="Aptos"/>
                <w:noProof/>
              </w:rPr>
              <w:t>Mission based compacts</w:t>
            </w:r>
            <w:r>
              <w:rPr>
                <w:noProof/>
                <w:webHidden/>
              </w:rPr>
              <w:tab/>
            </w:r>
            <w:r>
              <w:rPr>
                <w:noProof/>
                <w:webHidden/>
              </w:rPr>
              <w:fldChar w:fldCharType="begin"/>
            </w:r>
            <w:r>
              <w:rPr>
                <w:noProof/>
                <w:webHidden/>
              </w:rPr>
              <w:instrText xml:space="preserve"> PAGEREF _Toc219380905 \h </w:instrText>
            </w:r>
            <w:r>
              <w:rPr>
                <w:noProof/>
                <w:webHidden/>
              </w:rPr>
            </w:r>
            <w:r>
              <w:rPr>
                <w:noProof/>
                <w:webHidden/>
              </w:rPr>
              <w:fldChar w:fldCharType="separate"/>
            </w:r>
            <w:r>
              <w:rPr>
                <w:noProof/>
                <w:webHidden/>
              </w:rPr>
              <w:t>19</w:t>
            </w:r>
            <w:r>
              <w:rPr>
                <w:noProof/>
                <w:webHidden/>
              </w:rPr>
              <w:fldChar w:fldCharType="end"/>
            </w:r>
          </w:hyperlink>
        </w:p>
        <w:p w14:paraId="134059A7" w14:textId="0C673362" w:rsidR="0055214B" w:rsidRDefault="0055214B">
          <w:pPr>
            <w:pStyle w:val="TOC2"/>
            <w:tabs>
              <w:tab w:val="right" w:leader="dot" w:pos="9016"/>
            </w:tabs>
            <w:rPr>
              <w:rFonts w:eastAsiaTheme="minorEastAsia" w:cstheme="minorBidi"/>
              <w:b w:val="0"/>
              <w:bCs w:val="0"/>
              <w:noProof/>
              <w:lang w:eastAsia="en-AU"/>
            </w:rPr>
          </w:pPr>
          <w:hyperlink w:anchor="_Toc219380906" w:history="1">
            <w:r w:rsidRPr="007D1FAF">
              <w:rPr>
                <w:rStyle w:val="Hyperlink"/>
                <w:rFonts w:ascii="Aptos" w:hAnsi="Aptos"/>
                <w:noProof/>
              </w:rPr>
              <w:t>Purpose of mission based compacts</w:t>
            </w:r>
            <w:r>
              <w:rPr>
                <w:noProof/>
                <w:webHidden/>
              </w:rPr>
              <w:tab/>
            </w:r>
            <w:r>
              <w:rPr>
                <w:noProof/>
                <w:webHidden/>
              </w:rPr>
              <w:fldChar w:fldCharType="begin"/>
            </w:r>
            <w:r>
              <w:rPr>
                <w:noProof/>
                <w:webHidden/>
              </w:rPr>
              <w:instrText xml:space="preserve"> PAGEREF _Toc219380906 \h </w:instrText>
            </w:r>
            <w:r>
              <w:rPr>
                <w:noProof/>
                <w:webHidden/>
              </w:rPr>
            </w:r>
            <w:r>
              <w:rPr>
                <w:noProof/>
                <w:webHidden/>
              </w:rPr>
              <w:fldChar w:fldCharType="separate"/>
            </w:r>
            <w:r>
              <w:rPr>
                <w:noProof/>
                <w:webHidden/>
              </w:rPr>
              <w:t>19</w:t>
            </w:r>
            <w:r>
              <w:rPr>
                <w:noProof/>
                <w:webHidden/>
              </w:rPr>
              <w:fldChar w:fldCharType="end"/>
            </w:r>
          </w:hyperlink>
        </w:p>
        <w:p w14:paraId="26BC069B" w14:textId="7F48F419" w:rsidR="0055214B" w:rsidRDefault="0055214B">
          <w:pPr>
            <w:pStyle w:val="TOC2"/>
            <w:tabs>
              <w:tab w:val="right" w:leader="dot" w:pos="9016"/>
            </w:tabs>
            <w:rPr>
              <w:rFonts w:eastAsiaTheme="minorEastAsia" w:cstheme="minorBidi"/>
              <w:b w:val="0"/>
              <w:bCs w:val="0"/>
              <w:noProof/>
              <w:lang w:eastAsia="en-AU"/>
            </w:rPr>
          </w:pPr>
          <w:hyperlink w:anchor="_Toc219380907" w:history="1">
            <w:r w:rsidRPr="007D1FAF">
              <w:rPr>
                <w:rStyle w:val="Hyperlink"/>
                <w:rFonts w:ascii="Aptos" w:hAnsi="Aptos"/>
                <w:noProof/>
              </w:rPr>
              <w:t>How will the compacts operate?</w:t>
            </w:r>
            <w:r>
              <w:rPr>
                <w:noProof/>
                <w:webHidden/>
              </w:rPr>
              <w:tab/>
            </w:r>
            <w:r>
              <w:rPr>
                <w:noProof/>
                <w:webHidden/>
              </w:rPr>
              <w:fldChar w:fldCharType="begin"/>
            </w:r>
            <w:r>
              <w:rPr>
                <w:noProof/>
                <w:webHidden/>
              </w:rPr>
              <w:instrText xml:space="preserve"> PAGEREF _Toc219380907 \h </w:instrText>
            </w:r>
            <w:r>
              <w:rPr>
                <w:noProof/>
                <w:webHidden/>
              </w:rPr>
            </w:r>
            <w:r>
              <w:rPr>
                <w:noProof/>
                <w:webHidden/>
              </w:rPr>
              <w:fldChar w:fldCharType="separate"/>
            </w:r>
            <w:r>
              <w:rPr>
                <w:noProof/>
                <w:webHidden/>
              </w:rPr>
              <w:t>19</w:t>
            </w:r>
            <w:r>
              <w:rPr>
                <w:noProof/>
                <w:webHidden/>
              </w:rPr>
              <w:fldChar w:fldCharType="end"/>
            </w:r>
          </w:hyperlink>
        </w:p>
        <w:p w14:paraId="16561EDC" w14:textId="44B37C1D" w:rsidR="0055214B" w:rsidRDefault="0055214B">
          <w:pPr>
            <w:pStyle w:val="TOC3"/>
            <w:tabs>
              <w:tab w:val="right" w:leader="dot" w:pos="9016"/>
            </w:tabs>
            <w:rPr>
              <w:rFonts w:eastAsiaTheme="minorEastAsia" w:cstheme="minorBidi"/>
              <w:noProof/>
              <w:sz w:val="22"/>
              <w:szCs w:val="22"/>
              <w:lang w:eastAsia="en-AU"/>
            </w:rPr>
          </w:pPr>
          <w:hyperlink w:anchor="_Toc219380908" w:history="1">
            <w:r w:rsidRPr="007D1FAF">
              <w:rPr>
                <w:rStyle w:val="Hyperlink"/>
                <w:noProof/>
              </w:rPr>
              <w:t>Government priorities</w:t>
            </w:r>
            <w:r>
              <w:rPr>
                <w:noProof/>
                <w:webHidden/>
              </w:rPr>
              <w:tab/>
            </w:r>
            <w:r>
              <w:rPr>
                <w:noProof/>
                <w:webHidden/>
              </w:rPr>
              <w:fldChar w:fldCharType="begin"/>
            </w:r>
            <w:r>
              <w:rPr>
                <w:noProof/>
                <w:webHidden/>
              </w:rPr>
              <w:instrText xml:space="preserve"> PAGEREF _Toc219380908 \h </w:instrText>
            </w:r>
            <w:r>
              <w:rPr>
                <w:noProof/>
                <w:webHidden/>
              </w:rPr>
            </w:r>
            <w:r>
              <w:rPr>
                <w:noProof/>
                <w:webHidden/>
              </w:rPr>
              <w:fldChar w:fldCharType="separate"/>
            </w:r>
            <w:r>
              <w:rPr>
                <w:noProof/>
                <w:webHidden/>
              </w:rPr>
              <w:t>20</w:t>
            </w:r>
            <w:r>
              <w:rPr>
                <w:noProof/>
                <w:webHidden/>
              </w:rPr>
              <w:fldChar w:fldCharType="end"/>
            </w:r>
          </w:hyperlink>
        </w:p>
        <w:p w14:paraId="00EA9A65" w14:textId="728FB974" w:rsidR="0055214B" w:rsidRDefault="0055214B">
          <w:pPr>
            <w:pStyle w:val="TOC3"/>
            <w:tabs>
              <w:tab w:val="right" w:leader="dot" w:pos="9016"/>
            </w:tabs>
            <w:rPr>
              <w:rFonts w:eastAsiaTheme="minorEastAsia" w:cstheme="minorBidi"/>
              <w:noProof/>
              <w:sz w:val="22"/>
              <w:szCs w:val="22"/>
              <w:lang w:eastAsia="en-AU"/>
            </w:rPr>
          </w:pPr>
          <w:hyperlink w:anchor="_Toc219380909" w:history="1">
            <w:r w:rsidRPr="007D1FAF">
              <w:rPr>
                <w:rStyle w:val="Hyperlink"/>
                <w:noProof/>
              </w:rPr>
              <w:t>The potential range of compact contents is unclear</w:t>
            </w:r>
            <w:r>
              <w:rPr>
                <w:noProof/>
                <w:webHidden/>
              </w:rPr>
              <w:tab/>
            </w:r>
            <w:r>
              <w:rPr>
                <w:noProof/>
                <w:webHidden/>
              </w:rPr>
              <w:fldChar w:fldCharType="begin"/>
            </w:r>
            <w:r>
              <w:rPr>
                <w:noProof/>
                <w:webHidden/>
              </w:rPr>
              <w:instrText xml:space="preserve"> PAGEREF _Toc219380909 \h </w:instrText>
            </w:r>
            <w:r>
              <w:rPr>
                <w:noProof/>
                <w:webHidden/>
              </w:rPr>
            </w:r>
            <w:r>
              <w:rPr>
                <w:noProof/>
                <w:webHidden/>
              </w:rPr>
              <w:fldChar w:fldCharType="separate"/>
            </w:r>
            <w:r>
              <w:rPr>
                <w:noProof/>
                <w:webHidden/>
              </w:rPr>
              <w:t>20</w:t>
            </w:r>
            <w:r>
              <w:rPr>
                <w:noProof/>
                <w:webHidden/>
              </w:rPr>
              <w:fldChar w:fldCharType="end"/>
            </w:r>
          </w:hyperlink>
        </w:p>
        <w:p w14:paraId="4331B835" w14:textId="0B2B932B" w:rsidR="0055214B" w:rsidRDefault="0055214B">
          <w:pPr>
            <w:pStyle w:val="TOC3"/>
            <w:tabs>
              <w:tab w:val="right" w:leader="dot" w:pos="9016"/>
            </w:tabs>
            <w:rPr>
              <w:rFonts w:eastAsiaTheme="minorEastAsia" w:cstheme="minorBidi"/>
              <w:noProof/>
              <w:sz w:val="22"/>
              <w:szCs w:val="22"/>
              <w:lang w:eastAsia="en-AU"/>
            </w:rPr>
          </w:pPr>
          <w:hyperlink w:anchor="_Toc219380910" w:history="1">
            <w:r w:rsidRPr="007D1FAF">
              <w:rPr>
                <w:rStyle w:val="Hyperlink"/>
                <w:rFonts w:ascii="Aptos" w:hAnsi="Aptos"/>
                <w:noProof/>
              </w:rPr>
              <w:t>Funding under compacts</w:t>
            </w:r>
            <w:r>
              <w:rPr>
                <w:noProof/>
                <w:webHidden/>
              </w:rPr>
              <w:tab/>
            </w:r>
            <w:r>
              <w:rPr>
                <w:noProof/>
                <w:webHidden/>
              </w:rPr>
              <w:fldChar w:fldCharType="begin"/>
            </w:r>
            <w:r>
              <w:rPr>
                <w:noProof/>
                <w:webHidden/>
              </w:rPr>
              <w:instrText xml:space="preserve"> PAGEREF _Toc219380910 \h </w:instrText>
            </w:r>
            <w:r>
              <w:rPr>
                <w:noProof/>
                <w:webHidden/>
              </w:rPr>
            </w:r>
            <w:r>
              <w:rPr>
                <w:noProof/>
                <w:webHidden/>
              </w:rPr>
              <w:fldChar w:fldCharType="separate"/>
            </w:r>
            <w:r>
              <w:rPr>
                <w:noProof/>
                <w:webHidden/>
              </w:rPr>
              <w:t>21</w:t>
            </w:r>
            <w:r>
              <w:rPr>
                <w:noProof/>
                <w:webHidden/>
              </w:rPr>
              <w:fldChar w:fldCharType="end"/>
            </w:r>
          </w:hyperlink>
        </w:p>
        <w:p w14:paraId="6574A6D7" w14:textId="65E19105" w:rsidR="0055214B" w:rsidRDefault="0055214B">
          <w:pPr>
            <w:pStyle w:val="TOC2"/>
            <w:tabs>
              <w:tab w:val="right" w:leader="dot" w:pos="9016"/>
            </w:tabs>
            <w:rPr>
              <w:rFonts w:eastAsiaTheme="minorEastAsia" w:cstheme="minorBidi"/>
              <w:b w:val="0"/>
              <w:bCs w:val="0"/>
              <w:noProof/>
              <w:lang w:eastAsia="en-AU"/>
            </w:rPr>
          </w:pPr>
          <w:hyperlink w:anchor="_Toc219380911" w:history="1">
            <w:r w:rsidRPr="007D1FAF">
              <w:rPr>
                <w:rStyle w:val="Hyperlink"/>
                <w:rFonts w:ascii="Aptos" w:hAnsi="Aptos"/>
                <w:noProof/>
              </w:rPr>
              <w:t>Constraints on ATEC</w:t>
            </w:r>
            <w:r>
              <w:rPr>
                <w:noProof/>
                <w:webHidden/>
              </w:rPr>
              <w:tab/>
            </w:r>
            <w:r>
              <w:rPr>
                <w:noProof/>
                <w:webHidden/>
              </w:rPr>
              <w:fldChar w:fldCharType="begin"/>
            </w:r>
            <w:r>
              <w:rPr>
                <w:noProof/>
                <w:webHidden/>
              </w:rPr>
              <w:instrText xml:space="preserve"> PAGEREF _Toc219380911 \h </w:instrText>
            </w:r>
            <w:r>
              <w:rPr>
                <w:noProof/>
                <w:webHidden/>
              </w:rPr>
            </w:r>
            <w:r>
              <w:rPr>
                <w:noProof/>
                <w:webHidden/>
              </w:rPr>
              <w:fldChar w:fldCharType="separate"/>
            </w:r>
            <w:r>
              <w:rPr>
                <w:noProof/>
                <w:webHidden/>
              </w:rPr>
              <w:t>22</w:t>
            </w:r>
            <w:r>
              <w:rPr>
                <w:noProof/>
                <w:webHidden/>
              </w:rPr>
              <w:fldChar w:fldCharType="end"/>
            </w:r>
          </w:hyperlink>
        </w:p>
        <w:p w14:paraId="47316663" w14:textId="2C052966" w:rsidR="0055214B" w:rsidRDefault="0055214B">
          <w:pPr>
            <w:pStyle w:val="TOC3"/>
            <w:tabs>
              <w:tab w:val="right" w:leader="dot" w:pos="9016"/>
            </w:tabs>
            <w:rPr>
              <w:rFonts w:eastAsiaTheme="minorEastAsia" w:cstheme="minorBidi"/>
              <w:noProof/>
              <w:sz w:val="22"/>
              <w:szCs w:val="22"/>
              <w:lang w:eastAsia="en-AU"/>
            </w:rPr>
          </w:pPr>
          <w:hyperlink w:anchor="_Toc219380912" w:history="1">
            <w:r w:rsidRPr="007D1FAF">
              <w:rPr>
                <w:rStyle w:val="Hyperlink"/>
                <w:noProof/>
              </w:rPr>
              <w:t>The Australian Constitution</w:t>
            </w:r>
            <w:r>
              <w:rPr>
                <w:noProof/>
                <w:webHidden/>
              </w:rPr>
              <w:tab/>
            </w:r>
            <w:r>
              <w:rPr>
                <w:noProof/>
                <w:webHidden/>
              </w:rPr>
              <w:fldChar w:fldCharType="begin"/>
            </w:r>
            <w:r>
              <w:rPr>
                <w:noProof/>
                <w:webHidden/>
              </w:rPr>
              <w:instrText xml:space="preserve"> PAGEREF _Toc219380912 \h </w:instrText>
            </w:r>
            <w:r>
              <w:rPr>
                <w:noProof/>
                <w:webHidden/>
              </w:rPr>
            </w:r>
            <w:r>
              <w:rPr>
                <w:noProof/>
                <w:webHidden/>
              </w:rPr>
              <w:fldChar w:fldCharType="separate"/>
            </w:r>
            <w:r>
              <w:rPr>
                <w:noProof/>
                <w:webHidden/>
              </w:rPr>
              <w:t>22</w:t>
            </w:r>
            <w:r>
              <w:rPr>
                <w:noProof/>
                <w:webHidden/>
              </w:rPr>
              <w:fldChar w:fldCharType="end"/>
            </w:r>
          </w:hyperlink>
        </w:p>
        <w:p w14:paraId="4D31CD77" w14:textId="15D4643D" w:rsidR="0055214B" w:rsidRDefault="0055214B">
          <w:pPr>
            <w:pStyle w:val="TOC3"/>
            <w:tabs>
              <w:tab w:val="right" w:leader="dot" w:pos="9016"/>
            </w:tabs>
            <w:rPr>
              <w:rFonts w:eastAsiaTheme="minorEastAsia" w:cstheme="minorBidi"/>
              <w:noProof/>
              <w:sz w:val="22"/>
              <w:szCs w:val="22"/>
              <w:lang w:eastAsia="en-AU"/>
            </w:rPr>
          </w:pPr>
          <w:hyperlink w:anchor="_Toc219380913" w:history="1">
            <w:r w:rsidRPr="007D1FAF">
              <w:rPr>
                <w:rStyle w:val="Hyperlink"/>
                <w:noProof/>
              </w:rPr>
              <w:t>Constraints on compact decisions</w:t>
            </w:r>
            <w:r>
              <w:rPr>
                <w:noProof/>
                <w:webHidden/>
              </w:rPr>
              <w:tab/>
            </w:r>
            <w:r>
              <w:rPr>
                <w:noProof/>
                <w:webHidden/>
              </w:rPr>
              <w:fldChar w:fldCharType="begin"/>
            </w:r>
            <w:r>
              <w:rPr>
                <w:noProof/>
                <w:webHidden/>
              </w:rPr>
              <w:instrText xml:space="preserve"> PAGEREF _Toc219380913 \h </w:instrText>
            </w:r>
            <w:r>
              <w:rPr>
                <w:noProof/>
                <w:webHidden/>
              </w:rPr>
            </w:r>
            <w:r>
              <w:rPr>
                <w:noProof/>
                <w:webHidden/>
              </w:rPr>
              <w:fldChar w:fldCharType="separate"/>
            </w:r>
            <w:r>
              <w:rPr>
                <w:noProof/>
                <w:webHidden/>
              </w:rPr>
              <w:t>22</w:t>
            </w:r>
            <w:r>
              <w:rPr>
                <w:noProof/>
                <w:webHidden/>
              </w:rPr>
              <w:fldChar w:fldCharType="end"/>
            </w:r>
          </w:hyperlink>
        </w:p>
        <w:p w14:paraId="0AA41E7B" w14:textId="40DF17FF" w:rsidR="0055214B" w:rsidRDefault="0055214B">
          <w:pPr>
            <w:pStyle w:val="TOC3"/>
            <w:tabs>
              <w:tab w:val="right" w:leader="dot" w:pos="9016"/>
            </w:tabs>
            <w:rPr>
              <w:rFonts w:eastAsiaTheme="minorEastAsia" w:cstheme="minorBidi"/>
              <w:noProof/>
              <w:sz w:val="22"/>
              <w:szCs w:val="22"/>
              <w:lang w:eastAsia="en-AU"/>
            </w:rPr>
          </w:pPr>
          <w:hyperlink w:anchor="_Toc219380914" w:history="1">
            <w:r w:rsidRPr="007D1FAF">
              <w:rPr>
                <w:rStyle w:val="Hyperlink"/>
                <w:noProof/>
              </w:rPr>
              <w:t>Constraints coming from other legislation</w:t>
            </w:r>
            <w:r>
              <w:rPr>
                <w:noProof/>
                <w:webHidden/>
              </w:rPr>
              <w:tab/>
            </w:r>
            <w:r>
              <w:rPr>
                <w:noProof/>
                <w:webHidden/>
              </w:rPr>
              <w:fldChar w:fldCharType="begin"/>
            </w:r>
            <w:r>
              <w:rPr>
                <w:noProof/>
                <w:webHidden/>
              </w:rPr>
              <w:instrText xml:space="preserve"> PAGEREF _Toc219380914 \h </w:instrText>
            </w:r>
            <w:r>
              <w:rPr>
                <w:noProof/>
                <w:webHidden/>
              </w:rPr>
            </w:r>
            <w:r>
              <w:rPr>
                <w:noProof/>
                <w:webHidden/>
              </w:rPr>
              <w:fldChar w:fldCharType="separate"/>
            </w:r>
            <w:r>
              <w:rPr>
                <w:noProof/>
                <w:webHidden/>
              </w:rPr>
              <w:t>22</w:t>
            </w:r>
            <w:r>
              <w:rPr>
                <w:noProof/>
                <w:webHidden/>
              </w:rPr>
              <w:fldChar w:fldCharType="end"/>
            </w:r>
          </w:hyperlink>
        </w:p>
        <w:p w14:paraId="55321CC3" w14:textId="5A643931" w:rsidR="0055214B" w:rsidRDefault="0055214B">
          <w:pPr>
            <w:pStyle w:val="TOC3"/>
            <w:tabs>
              <w:tab w:val="right" w:leader="dot" w:pos="9016"/>
            </w:tabs>
            <w:rPr>
              <w:rFonts w:eastAsiaTheme="minorEastAsia" w:cstheme="minorBidi"/>
              <w:noProof/>
              <w:sz w:val="22"/>
              <w:szCs w:val="22"/>
              <w:lang w:eastAsia="en-AU"/>
            </w:rPr>
          </w:pPr>
          <w:hyperlink w:anchor="_Toc219380915" w:history="1">
            <w:r w:rsidRPr="007D1FAF">
              <w:rPr>
                <w:rStyle w:val="Hyperlink"/>
                <w:noProof/>
              </w:rPr>
              <w:t>Constraints in the current funding system</w:t>
            </w:r>
            <w:r>
              <w:rPr>
                <w:noProof/>
                <w:webHidden/>
              </w:rPr>
              <w:tab/>
            </w:r>
            <w:r>
              <w:rPr>
                <w:noProof/>
                <w:webHidden/>
              </w:rPr>
              <w:fldChar w:fldCharType="begin"/>
            </w:r>
            <w:r>
              <w:rPr>
                <w:noProof/>
                <w:webHidden/>
              </w:rPr>
              <w:instrText xml:space="preserve"> PAGEREF _Toc219380915 \h </w:instrText>
            </w:r>
            <w:r>
              <w:rPr>
                <w:noProof/>
                <w:webHidden/>
              </w:rPr>
            </w:r>
            <w:r>
              <w:rPr>
                <w:noProof/>
                <w:webHidden/>
              </w:rPr>
              <w:fldChar w:fldCharType="separate"/>
            </w:r>
            <w:r>
              <w:rPr>
                <w:noProof/>
                <w:webHidden/>
              </w:rPr>
              <w:t>23</w:t>
            </w:r>
            <w:r>
              <w:rPr>
                <w:noProof/>
                <w:webHidden/>
              </w:rPr>
              <w:fldChar w:fldCharType="end"/>
            </w:r>
          </w:hyperlink>
        </w:p>
        <w:p w14:paraId="7E865B00" w14:textId="72C2A27E" w:rsidR="0055214B" w:rsidRDefault="0055214B">
          <w:pPr>
            <w:pStyle w:val="TOC2"/>
            <w:tabs>
              <w:tab w:val="right" w:leader="dot" w:pos="9016"/>
            </w:tabs>
            <w:rPr>
              <w:rFonts w:eastAsiaTheme="minorEastAsia" w:cstheme="minorBidi"/>
              <w:b w:val="0"/>
              <w:bCs w:val="0"/>
              <w:noProof/>
              <w:lang w:eastAsia="en-AU"/>
            </w:rPr>
          </w:pPr>
          <w:hyperlink w:anchor="_Toc219380916" w:history="1">
            <w:r w:rsidRPr="007D1FAF">
              <w:rPr>
                <w:rStyle w:val="Hyperlink"/>
                <w:noProof/>
              </w:rPr>
              <w:t>Penalties for breach of a mission based compact</w:t>
            </w:r>
            <w:r>
              <w:rPr>
                <w:noProof/>
                <w:webHidden/>
              </w:rPr>
              <w:tab/>
            </w:r>
            <w:r>
              <w:rPr>
                <w:noProof/>
                <w:webHidden/>
              </w:rPr>
              <w:fldChar w:fldCharType="begin"/>
            </w:r>
            <w:r>
              <w:rPr>
                <w:noProof/>
                <w:webHidden/>
              </w:rPr>
              <w:instrText xml:space="preserve"> PAGEREF _Toc219380916 \h </w:instrText>
            </w:r>
            <w:r>
              <w:rPr>
                <w:noProof/>
                <w:webHidden/>
              </w:rPr>
            </w:r>
            <w:r>
              <w:rPr>
                <w:noProof/>
                <w:webHidden/>
              </w:rPr>
              <w:fldChar w:fldCharType="separate"/>
            </w:r>
            <w:r>
              <w:rPr>
                <w:noProof/>
                <w:webHidden/>
              </w:rPr>
              <w:t>23</w:t>
            </w:r>
            <w:r>
              <w:rPr>
                <w:noProof/>
                <w:webHidden/>
              </w:rPr>
              <w:fldChar w:fldCharType="end"/>
            </w:r>
          </w:hyperlink>
        </w:p>
        <w:p w14:paraId="035DFA00" w14:textId="58A9F965" w:rsidR="0055214B" w:rsidRDefault="0055214B">
          <w:pPr>
            <w:pStyle w:val="TOC3"/>
            <w:tabs>
              <w:tab w:val="right" w:leader="dot" w:pos="9016"/>
            </w:tabs>
            <w:rPr>
              <w:rFonts w:eastAsiaTheme="minorEastAsia" w:cstheme="minorBidi"/>
              <w:noProof/>
              <w:sz w:val="22"/>
              <w:szCs w:val="22"/>
              <w:lang w:eastAsia="en-AU"/>
            </w:rPr>
          </w:pPr>
          <w:hyperlink w:anchor="_Toc219380917" w:history="1">
            <w:r w:rsidRPr="007D1FAF">
              <w:rPr>
                <w:rStyle w:val="Hyperlink"/>
                <w:noProof/>
              </w:rPr>
              <w:t>Performance assessment</w:t>
            </w:r>
            <w:r>
              <w:rPr>
                <w:noProof/>
                <w:webHidden/>
              </w:rPr>
              <w:tab/>
            </w:r>
            <w:r>
              <w:rPr>
                <w:noProof/>
                <w:webHidden/>
              </w:rPr>
              <w:fldChar w:fldCharType="begin"/>
            </w:r>
            <w:r>
              <w:rPr>
                <w:noProof/>
                <w:webHidden/>
              </w:rPr>
              <w:instrText xml:space="preserve"> PAGEREF _Toc219380917 \h </w:instrText>
            </w:r>
            <w:r>
              <w:rPr>
                <w:noProof/>
                <w:webHidden/>
              </w:rPr>
            </w:r>
            <w:r>
              <w:rPr>
                <w:noProof/>
                <w:webHidden/>
              </w:rPr>
              <w:fldChar w:fldCharType="separate"/>
            </w:r>
            <w:r>
              <w:rPr>
                <w:noProof/>
                <w:webHidden/>
              </w:rPr>
              <w:t>23</w:t>
            </w:r>
            <w:r>
              <w:rPr>
                <w:noProof/>
                <w:webHidden/>
              </w:rPr>
              <w:fldChar w:fldCharType="end"/>
            </w:r>
          </w:hyperlink>
        </w:p>
        <w:p w14:paraId="474C9429" w14:textId="7F394657" w:rsidR="0055214B" w:rsidRDefault="0055214B">
          <w:pPr>
            <w:pStyle w:val="TOC3"/>
            <w:tabs>
              <w:tab w:val="right" w:leader="dot" w:pos="9016"/>
            </w:tabs>
            <w:rPr>
              <w:rFonts w:eastAsiaTheme="minorEastAsia" w:cstheme="minorBidi"/>
              <w:noProof/>
              <w:sz w:val="22"/>
              <w:szCs w:val="22"/>
              <w:lang w:eastAsia="en-AU"/>
            </w:rPr>
          </w:pPr>
          <w:hyperlink w:anchor="_Toc219380918" w:history="1">
            <w:r w:rsidRPr="007D1FAF">
              <w:rPr>
                <w:rStyle w:val="Hyperlink"/>
                <w:noProof/>
              </w:rPr>
              <w:t>Compact-specific penalties</w:t>
            </w:r>
            <w:r>
              <w:rPr>
                <w:noProof/>
                <w:webHidden/>
              </w:rPr>
              <w:tab/>
            </w:r>
            <w:r>
              <w:rPr>
                <w:noProof/>
                <w:webHidden/>
              </w:rPr>
              <w:fldChar w:fldCharType="begin"/>
            </w:r>
            <w:r>
              <w:rPr>
                <w:noProof/>
                <w:webHidden/>
              </w:rPr>
              <w:instrText xml:space="preserve"> PAGEREF _Toc219380918 \h </w:instrText>
            </w:r>
            <w:r>
              <w:rPr>
                <w:noProof/>
                <w:webHidden/>
              </w:rPr>
            </w:r>
            <w:r>
              <w:rPr>
                <w:noProof/>
                <w:webHidden/>
              </w:rPr>
              <w:fldChar w:fldCharType="separate"/>
            </w:r>
            <w:r>
              <w:rPr>
                <w:noProof/>
                <w:webHidden/>
              </w:rPr>
              <w:t>23</w:t>
            </w:r>
            <w:r>
              <w:rPr>
                <w:noProof/>
                <w:webHidden/>
              </w:rPr>
              <w:fldChar w:fldCharType="end"/>
            </w:r>
          </w:hyperlink>
        </w:p>
        <w:p w14:paraId="5FDCD1A5" w14:textId="35610B9C" w:rsidR="0055214B" w:rsidRDefault="0055214B">
          <w:pPr>
            <w:pStyle w:val="TOC3"/>
            <w:tabs>
              <w:tab w:val="right" w:leader="dot" w:pos="9016"/>
            </w:tabs>
            <w:rPr>
              <w:rFonts w:eastAsiaTheme="minorEastAsia" w:cstheme="minorBidi"/>
              <w:noProof/>
              <w:sz w:val="22"/>
              <w:szCs w:val="22"/>
              <w:lang w:eastAsia="en-AU"/>
            </w:rPr>
          </w:pPr>
          <w:hyperlink w:anchor="_Toc219380919" w:history="1">
            <w:r w:rsidRPr="007D1FAF">
              <w:rPr>
                <w:rStyle w:val="Hyperlink"/>
                <w:noProof/>
              </w:rPr>
              <w:t>No civil penalty fines</w:t>
            </w:r>
            <w:r>
              <w:rPr>
                <w:noProof/>
                <w:webHidden/>
              </w:rPr>
              <w:tab/>
            </w:r>
            <w:r>
              <w:rPr>
                <w:noProof/>
                <w:webHidden/>
              </w:rPr>
              <w:fldChar w:fldCharType="begin"/>
            </w:r>
            <w:r>
              <w:rPr>
                <w:noProof/>
                <w:webHidden/>
              </w:rPr>
              <w:instrText xml:space="preserve"> PAGEREF _Toc219380919 \h </w:instrText>
            </w:r>
            <w:r>
              <w:rPr>
                <w:noProof/>
                <w:webHidden/>
              </w:rPr>
            </w:r>
            <w:r>
              <w:rPr>
                <w:noProof/>
                <w:webHidden/>
              </w:rPr>
              <w:fldChar w:fldCharType="separate"/>
            </w:r>
            <w:r>
              <w:rPr>
                <w:noProof/>
                <w:webHidden/>
              </w:rPr>
              <w:t>24</w:t>
            </w:r>
            <w:r>
              <w:rPr>
                <w:noProof/>
                <w:webHidden/>
              </w:rPr>
              <w:fldChar w:fldCharType="end"/>
            </w:r>
          </w:hyperlink>
        </w:p>
        <w:p w14:paraId="35637E3C" w14:textId="178FF24C" w:rsidR="0055214B" w:rsidRDefault="0055214B">
          <w:pPr>
            <w:pStyle w:val="TOC3"/>
            <w:tabs>
              <w:tab w:val="right" w:leader="dot" w:pos="9016"/>
            </w:tabs>
            <w:rPr>
              <w:rFonts w:eastAsiaTheme="minorEastAsia" w:cstheme="minorBidi"/>
              <w:noProof/>
              <w:sz w:val="22"/>
              <w:szCs w:val="22"/>
              <w:lang w:eastAsia="en-AU"/>
            </w:rPr>
          </w:pPr>
          <w:hyperlink w:anchor="_Toc219380920" w:history="1">
            <w:r w:rsidRPr="007D1FAF">
              <w:rPr>
                <w:rStyle w:val="Hyperlink"/>
                <w:noProof/>
              </w:rPr>
              <w:t>Reference to TEQSA</w:t>
            </w:r>
            <w:r>
              <w:rPr>
                <w:noProof/>
                <w:webHidden/>
              </w:rPr>
              <w:tab/>
            </w:r>
            <w:r>
              <w:rPr>
                <w:noProof/>
                <w:webHidden/>
              </w:rPr>
              <w:fldChar w:fldCharType="begin"/>
            </w:r>
            <w:r>
              <w:rPr>
                <w:noProof/>
                <w:webHidden/>
              </w:rPr>
              <w:instrText xml:space="preserve"> PAGEREF _Toc219380920 \h </w:instrText>
            </w:r>
            <w:r>
              <w:rPr>
                <w:noProof/>
                <w:webHidden/>
              </w:rPr>
            </w:r>
            <w:r>
              <w:rPr>
                <w:noProof/>
                <w:webHidden/>
              </w:rPr>
              <w:fldChar w:fldCharType="separate"/>
            </w:r>
            <w:r>
              <w:rPr>
                <w:noProof/>
                <w:webHidden/>
              </w:rPr>
              <w:t>24</w:t>
            </w:r>
            <w:r>
              <w:rPr>
                <w:noProof/>
                <w:webHidden/>
              </w:rPr>
              <w:fldChar w:fldCharType="end"/>
            </w:r>
          </w:hyperlink>
        </w:p>
        <w:p w14:paraId="44EE8EBA" w14:textId="5956E142" w:rsidR="0055214B" w:rsidRDefault="0055214B">
          <w:pPr>
            <w:pStyle w:val="TOC3"/>
            <w:tabs>
              <w:tab w:val="right" w:leader="dot" w:pos="9016"/>
            </w:tabs>
            <w:rPr>
              <w:rFonts w:eastAsiaTheme="minorEastAsia" w:cstheme="minorBidi"/>
              <w:noProof/>
              <w:sz w:val="22"/>
              <w:szCs w:val="22"/>
              <w:lang w:eastAsia="en-AU"/>
            </w:rPr>
          </w:pPr>
          <w:hyperlink w:anchor="_Toc219380921" w:history="1">
            <w:r w:rsidRPr="007D1FAF">
              <w:rPr>
                <w:rStyle w:val="Hyperlink"/>
                <w:noProof/>
              </w:rPr>
              <w:t>Reductions in grants or student places</w:t>
            </w:r>
            <w:r>
              <w:rPr>
                <w:noProof/>
                <w:webHidden/>
              </w:rPr>
              <w:tab/>
            </w:r>
            <w:r>
              <w:rPr>
                <w:noProof/>
                <w:webHidden/>
              </w:rPr>
              <w:fldChar w:fldCharType="begin"/>
            </w:r>
            <w:r>
              <w:rPr>
                <w:noProof/>
                <w:webHidden/>
              </w:rPr>
              <w:instrText xml:space="preserve"> PAGEREF _Toc219380921 \h </w:instrText>
            </w:r>
            <w:r>
              <w:rPr>
                <w:noProof/>
                <w:webHidden/>
              </w:rPr>
            </w:r>
            <w:r>
              <w:rPr>
                <w:noProof/>
                <w:webHidden/>
              </w:rPr>
              <w:fldChar w:fldCharType="separate"/>
            </w:r>
            <w:r>
              <w:rPr>
                <w:noProof/>
                <w:webHidden/>
              </w:rPr>
              <w:t>24</w:t>
            </w:r>
            <w:r>
              <w:rPr>
                <w:noProof/>
                <w:webHidden/>
              </w:rPr>
              <w:fldChar w:fldCharType="end"/>
            </w:r>
          </w:hyperlink>
        </w:p>
        <w:p w14:paraId="0EE641A0" w14:textId="7D7F76AF" w:rsidR="0055214B" w:rsidRDefault="0055214B">
          <w:pPr>
            <w:pStyle w:val="TOC3"/>
            <w:tabs>
              <w:tab w:val="right" w:leader="dot" w:pos="9016"/>
            </w:tabs>
            <w:rPr>
              <w:rFonts w:eastAsiaTheme="minorEastAsia" w:cstheme="minorBidi"/>
              <w:noProof/>
              <w:sz w:val="22"/>
              <w:szCs w:val="22"/>
              <w:lang w:eastAsia="en-AU"/>
            </w:rPr>
          </w:pPr>
          <w:hyperlink w:anchor="_Toc219380922" w:history="1">
            <w:r w:rsidRPr="007D1FAF">
              <w:rPr>
                <w:rStyle w:val="Hyperlink"/>
                <w:noProof/>
              </w:rPr>
              <w:t>The lack of mission based compact benefits limits penalties</w:t>
            </w:r>
            <w:r>
              <w:rPr>
                <w:noProof/>
                <w:webHidden/>
              </w:rPr>
              <w:tab/>
            </w:r>
            <w:r>
              <w:rPr>
                <w:noProof/>
                <w:webHidden/>
              </w:rPr>
              <w:fldChar w:fldCharType="begin"/>
            </w:r>
            <w:r>
              <w:rPr>
                <w:noProof/>
                <w:webHidden/>
              </w:rPr>
              <w:instrText xml:space="preserve"> PAGEREF _Toc219380922 \h </w:instrText>
            </w:r>
            <w:r>
              <w:rPr>
                <w:noProof/>
                <w:webHidden/>
              </w:rPr>
            </w:r>
            <w:r>
              <w:rPr>
                <w:noProof/>
                <w:webHidden/>
              </w:rPr>
              <w:fldChar w:fldCharType="separate"/>
            </w:r>
            <w:r>
              <w:rPr>
                <w:noProof/>
                <w:webHidden/>
              </w:rPr>
              <w:t>25</w:t>
            </w:r>
            <w:r>
              <w:rPr>
                <w:noProof/>
                <w:webHidden/>
              </w:rPr>
              <w:fldChar w:fldCharType="end"/>
            </w:r>
          </w:hyperlink>
        </w:p>
        <w:p w14:paraId="3270589D" w14:textId="79E3AA16"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23" w:history="1">
            <w:r w:rsidRPr="007D1FAF">
              <w:rPr>
                <w:rStyle w:val="Hyperlink"/>
                <w:rFonts w:ascii="Aptos" w:hAnsi="Aptos"/>
                <w:noProof/>
              </w:rPr>
              <w:t>5.</w:t>
            </w:r>
            <w:r>
              <w:rPr>
                <w:rFonts w:eastAsiaTheme="minorEastAsia" w:cstheme="minorBidi"/>
                <w:b w:val="0"/>
                <w:bCs w:val="0"/>
                <w:i w:val="0"/>
                <w:iCs w:val="0"/>
                <w:noProof/>
                <w:sz w:val="22"/>
                <w:szCs w:val="22"/>
                <w:lang w:eastAsia="en-AU"/>
              </w:rPr>
              <w:tab/>
            </w:r>
            <w:r w:rsidRPr="007D1FAF">
              <w:rPr>
                <w:rStyle w:val="Hyperlink"/>
                <w:rFonts w:ascii="Aptos" w:hAnsi="Aptos"/>
                <w:noProof/>
              </w:rPr>
              <w:t>Institutions covered by mission-based compacts</w:t>
            </w:r>
            <w:r>
              <w:rPr>
                <w:noProof/>
                <w:webHidden/>
              </w:rPr>
              <w:tab/>
            </w:r>
            <w:r>
              <w:rPr>
                <w:noProof/>
                <w:webHidden/>
              </w:rPr>
              <w:fldChar w:fldCharType="begin"/>
            </w:r>
            <w:r>
              <w:rPr>
                <w:noProof/>
                <w:webHidden/>
              </w:rPr>
              <w:instrText xml:space="preserve"> PAGEREF _Toc219380923 \h </w:instrText>
            </w:r>
            <w:r>
              <w:rPr>
                <w:noProof/>
                <w:webHidden/>
              </w:rPr>
            </w:r>
            <w:r>
              <w:rPr>
                <w:noProof/>
                <w:webHidden/>
              </w:rPr>
              <w:fldChar w:fldCharType="separate"/>
            </w:r>
            <w:r>
              <w:rPr>
                <w:noProof/>
                <w:webHidden/>
              </w:rPr>
              <w:t>26</w:t>
            </w:r>
            <w:r>
              <w:rPr>
                <w:noProof/>
                <w:webHidden/>
              </w:rPr>
              <w:fldChar w:fldCharType="end"/>
            </w:r>
          </w:hyperlink>
        </w:p>
        <w:p w14:paraId="1B044F70" w14:textId="78345539" w:rsidR="0055214B" w:rsidRDefault="0055214B">
          <w:pPr>
            <w:pStyle w:val="TOC2"/>
            <w:tabs>
              <w:tab w:val="right" w:leader="dot" w:pos="9016"/>
            </w:tabs>
            <w:rPr>
              <w:rFonts w:eastAsiaTheme="minorEastAsia" w:cstheme="minorBidi"/>
              <w:b w:val="0"/>
              <w:bCs w:val="0"/>
              <w:noProof/>
              <w:lang w:eastAsia="en-AU"/>
            </w:rPr>
          </w:pPr>
          <w:hyperlink w:anchor="_Toc219380924" w:history="1">
            <w:r w:rsidRPr="007D1FAF">
              <w:rPr>
                <w:rStyle w:val="Hyperlink"/>
                <w:noProof/>
              </w:rPr>
              <w:t>Opting out of a compact</w:t>
            </w:r>
            <w:r>
              <w:rPr>
                <w:noProof/>
                <w:webHidden/>
              </w:rPr>
              <w:tab/>
            </w:r>
            <w:r>
              <w:rPr>
                <w:noProof/>
                <w:webHidden/>
              </w:rPr>
              <w:fldChar w:fldCharType="begin"/>
            </w:r>
            <w:r>
              <w:rPr>
                <w:noProof/>
                <w:webHidden/>
              </w:rPr>
              <w:instrText xml:space="preserve"> PAGEREF _Toc219380924 \h </w:instrText>
            </w:r>
            <w:r>
              <w:rPr>
                <w:noProof/>
                <w:webHidden/>
              </w:rPr>
            </w:r>
            <w:r>
              <w:rPr>
                <w:noProof/>
                <w:webHidden/>
              </w:rPr>
              <w:fldChar w:fldCharType="separate"/>
            </w:r>
            <w:r>
              <w:rPr>
                <w:noProof/>
                <w:webHidden/>
              </w:rPr>
              <w:t>26</w:t>
            </w:r>
            <w:r>
              <w:rPr>
                <w:noProof/>
                <w:webHidden/>
              </w:rPr>
              <w:fldChar w:fldCharType="end"/>
            </w:r>
          </w:hyperlink>
        </w:p>
        <w:p w14:paraId="0F682B58" w14:textId="12064A9A" w:rsidR="0055214B" w:rsidRDefault="0055214B">
          <w:pPr>
            <w:pStyle w:val="TOC2"/>
            <w:tabs>
              <w:tab w:val="right" w:leader="dot" w:pos="9016"/>
            </w:tabs>
            <w:rPr>
              <w:rFonts w:eastAsiaTheme="minorEastAsia" w:cstheme="minorBidi"/>
              <w:b w:val="0"/>
              <w:bCs w:val="0"/>
              <w:noProof/>
              <w:lang w:eastAsia="en-AU"/>
            </w:rPr>
          </w:pPr>
          <w:hyperlink w:anchor="_Toc219380925" w:history="1">
            <w:r w:rsidRPr="007D1FAF">
              <w:rPr>
                <w:rStyle w:val="Hyperlink"/>
                <w:noProof/>
              </w:rPr>
              <w:t>Different types of compacts</w:t>
            </w:r>
            <w:r>
              <w:rPr>
                <w:noProof/>
                <w:webHidden/>
              </w:rPr>
              <w:tab/>
            </w:r>
            <w:r>
              <w:rPr>
                <w:noProof/>
                <w:webHidden/>
              </w:rPr>
              <w:fldChar w:fldCharType="begin"/>
            </w:r>
            <w:r>
              <w:rPr>
                <w:noProof/>
                <w:webHidden/>
              </w:rPr>
              <w:instrText xml:space="preserve"> PAGEREF _Toc219380925 \h </w:instrText>
            </w:r>
            <w:r>
              <w:rPr>
                <w:noProof/>
                <w:webHidden/>
              </w:rPr>
            </w:r>
            <w:r>
              <w:rPr>
                <w:noProof/>
                <w:webHidden/>
              </w:rPr>
              <w:fldChar w:fldCharType="separate"/>
            </w:r>
            <w:r>
              <w:rPr>
                <w:noProof/>
                <w:webHidden/>
              </w:rPr>
              <w:t>27</w:t>
            </w:r>
            <w:r>
              <w:rPr>
                <w:noProof/>
                <w:webHidden/>
              </w:rPr>
              <w:fldChar w:fldCharType="end"/>
            </w:r>
          </w:hyperlink>
        </w:p>
        <w:p w14:paraId="2A539687" w14:textId="47C28B35"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26" w:history="1">
            <w:r w:rsidRPr="007D1FAF">
              <w:rPr>
                <w:rStyle w:val="Hyperlink"/>
                <w:rFonts w:ascii="Aptos" w:hAnsi="Aptos"/>
                <w:noProof/>
              </w:rPr>
              <w:t>6.</w:t>
            </w:r>
            <w:r>
              <w:rPr>
                <w:rFonts w:eastAsiaTheme="minorEastAsia" w:cstheme="minorBidi"/>
                <w:b w:val="0"/>
                <w:bCs w:val="0"/>
                <w:i w:val="0"/>
                <w:iCs w:val="0"/>
                <w:noProof/>
                <w:sz w:val="22"/>
                <w:szCs w:val="22"/>
                <w:lang w:eastAsia="en-AU"/>
              </w:rPr>
              <w:tab/>
            </w:r>
            <w:r w:rsidRPr="007D1FAF">
              <w:rPr>
                <w:rStyle w:val="Hyperlink"/>
                <w:rFonts w:ascii="Aptos" w:hAnsi="Aptos"/>
                <w:noProof/>
              </w:rPr>
              <w:t>International student caps</w:t>
            </w:r>
            <w:r>
              <w:rPr>
                <w:noProof/>
                <w:webHidden/>
              </w:rPr>
              <w:tab/>
            </w:r>
            <w:r>
              <w:rPr>
                <w:noProof/>
                <w:webHidden/>
              </w:rPr>
              <w:fldChar w:fldCharType="begin"/>
            </w:r>
            <w:r>
              <w:rPr>
                <w:noProof/>
                <w:webHidden/>
              </w:rPr>
              <w:instrText xml:space="preserve"> PAGEREF _Toc219380926 \h </w:instrText>
            </w:r>
            <w:r>
              <w:rPr>
                <w:noProof/>
                <w:webHidden/>
              </w:rPr>
            </w:r>
            <w:r>
              <w:rPr>
                <w:noProof/>
                <w:webHidden/>
              </w:rPr>
              <w:fldChar w:fldCharType="separate"/>
            </w:r>
            <w:r>
              <w:rPr>
                <w:noProof/>
                <w:webHidden/>
              </w:rPr>
              <w:t>28</w:t>
            </w:r>
            <w:r>
              <w:rPr>
                <w:noProof/>
                <w:webHidden/>
              </w:rPr>
              <w:fldChar w:fldCharType="end"/>
            </w:r>
          </w:hyperlink>
        </w:p>
        <w:p w14:paraId="63C27E6D" w14:textId="37601266" w:rsidR="0055214B" w:rsidRDefault="0055214B">
          <w:pPr>
            <w:pStyle w:val="TOC2"/>
            <w:tabs>
              <w:tab w:val="right" w:leader="dot" w:pos="9016"/>
            </w:tabs>
            <w:rPr>
              <w:rFonts w:eastAsiaTheme="minorEastAsia" w:cstheme="minorBidi"/>
              <w:b w:val="0"/>
              <w:bCs w:val="0"/>
              <w:noProof/>
              <w:lang w:eastAsia="en-AU"/>
            </w:rPr>
          </w:pPr>
          <w:hyperlink w:anchor="_Toc219380927" w:history="1">
            <w:r w:rsidRPr="007D1FAF">
              <w:rPr>
                <w:rStyle w:val="Hyperlink"/>
                <w:noProof/>
              </w:rPr>
              <w:t>Who sets caps at the provider level?</w:t>
            </w:r>
            <w:r>
              <w:rPr>
                <w:noProof/>
                <w:webHidden/>
              </w:rPr>
              <w:tab/>
            </w:r>
            <w:r>
              <w:rPr>
                <w:noProof/>
                <w:webHidden/>
              </w:rPr>
              <w:fldChar w:fldCharType="begin"/>
            </w:r>
            <w:r>
              <w:rPr>
                <w:noProof/>
                <w:webHidden/>
              </w:rPr>
              <w:instrText xml:space="preserve"> PAGEREF _Toc219380927 \h </w:instrText>
            </w:r>
            <w:r>
              <w:rPr>
                <w:noProof/>
                <w:webHidden/>
              </w:rPr>
            </w:r>
            <w:r>
              <w:rPr>
                <w:noProof/>
                <w:webHidden/>
              </w:rPr>
              <w:fldChar w:fldCharType="separate"/>
            </w:r>
            <w:r>
              <w:rPr>
                <w:noProof/>
                <w:webHidden/>
              </w:rPr>
              <w:t>28</w:t>
            </w:r>
            <w:r>
              <w:rPr>
                <w:noProof/>
                <w:webHidden/>
              </w:rPr>
              <w:fldChar w:fldCharType="end"/>
            </w:r>
          </w:hyperlink>
        </w:p>
        <w:p w14:paraId="3778FD15" w14:textId="73B366D2" w:rsidR="0055214B" w:rsidRDefault="0055214B">
          <w:pPr>
            <w:pStyle w:val="TOC2"/>
            <w:tabs>
              <w:tab w:val="right" w:leader="dot" w:pos="9016"/>
            </w:tabs>
            <w:rPr>
              <w:rFonts w:eastAsiaTheme="minorEastAsia" w:cstheme="minorBidi"/>
              <w:b w:val="0"/>
              <w:bCs w:val="0"/>
              <w:noProof/>
              <w:lang w:eastAsia="en-AU"/>
            </w:rPr>
          </w:pPr>
          <w:hyperlink w:anchor="_Toc219380928" w:history="1">
            <w:r w:rsidRPr="007D1FAF">
              <w:rPr>
                <w:rStyle w:val="Hyperlink"/>
                <w:noProof/>
              </w:rPr>
              <w:t>Process for capping international students</w:t>
            </w:r>
            <w:r>
              <w:rPr>
                <w:noProof/>
                <w:webHidden/>
              </w:rPr>
              <w:tab/>
            </w:r>
            <w:r>
              <w:rPr>
                <w:noProof/>
                <w:webHidden/>
              </w:rPr>
              <w:fldChar w:fldCharType="begin"/>
            </w:r>
            <w:r>
              <w:rPr>
                <w:noProof/>
                <w:webHidden/>
              </w:rPr>
              <w:instrText xml:space="preserve"> PAGEREF _Toc219380928 \h </w:instrText>
            </w:r>
            <w:r>
              <w:rPr>
                <w:noProof/>
                <w:webHidden/>
              </w:rPr>
            </w:r>
            <w:r>
              <w:rPr>
                <w:noProof/>
                <w:webHidden/>
              </w:rPr>
              <w:fldChar w:fldCharType="separate"/>
            </w:r>
            <w:r>
              <w:rPr>
                <w:noProof/>
                <w:webHidden/>
              </w:rPr>
              <w:t>28</w:t>
            </w:r>
            <w:r>
              <w:rPr>
                <w:noProof/>
                <w:webHidden/>
              </w:rPr>
              <w:fldChar w:fldCharType="end"/>
            </w:r>
          </w:hyperlink>
        </w:p>
        <w:p w14:paraId="3791CE2B" w14:textId="794E955C" w:rsidR="0055214B" w:rsidRDefault="0055214B">
          <w:pPr>
            <w:pStyle w:val="TOC2"/>
            <w:tabs>
              <w:tab w:val="right" w:leader="dot" w:pos="9016"/>
            </w:tabs>
            <w:rPr>
              <w:rFonts w:eastAsiaTheme="minorEastAsia" w:cstheme="minorBidi"/>
              <w:b w:val="0"/>
              <w:bCs w:val="0"/>
              <w:noProof/>
              <w:lang w:eastAsia="en-AU"/>
            </w:rPr>
          </w:pPr>
          <w:hyperlink w:anchor="_Toc219380929" w:history="1">
            <w:r w:rsidRPr="007D1FAF">
              <w:rPr>
                <w:rStyle w:val="Hyperlink"/>
                <w:noProof/>
              </w:rPr>
              <w:t>Penalties for breaching the international student cap</w:t>
            </w:r>
            <w:r>
              <w:rPr>
                <w:noProof/>
                <w:webHidden/>
              </w:rPr>
              <w:tab/>
            </w:r>
            <w:r>
              <w:rPr>
                <w:noProof/>
                <w:webHidden/>
              </w:rPr>
              <w:fldChar w:fldCharType="begin"/>
            </w:r>
            <w:r>
              <w:rPr>
                <w:noProof/>
                <w:webHidden/>
              </w:rPr>
              <w:instrText xml:space="preserve"> PAGEREF _Toc219380929 \h </w:instrText>
            </w:r>
            <w:r>
              <w:rPr>
                <w:noProof/>
                <w:webHidden/>
              </w:rPr>
            </w:r>
            <w:r>
              <w:rPr>
                <w:noProof/>
                <w:webHidden/>
              </w:rPr>
              <w:fldChar w:fldCharType="separate"/>
            </w:r>
            <w:r>
              <w:rPr>
                <w:noProof/>
                <w:webHidden/>
              </w:rPr>
              <w:t>29</w:t>
            </w:r>
            <w:r>
              <w:rPr>
                <w:noProof/>
                <w:webHidden/>
              </w:rPr>
              <w:fldChar w:fldCharType="end"/>
            </w:r>
          </w:hyperlink>
        </w:p>
        <w:p w14:paraId="6F9F22A8" w14:textId="5BD42903" w:rsidR="0055214B" w:rsidRDefault="0055214B">
          <w:pPr>
            <w:pStyle w:val="TOC2"/>
            <w:tabs>
              <w:tab w:val="right" w:leader="dot" w:pos="9016"/>
            </w:tabs>
            <w:rPr>
              <w:rFonts w:eastAsiaTheme="minorEastAsia" w:cstheme="minorBidi"/>
              <w:b w:val="0"/>
              <w:bCs w:val="0"/>
              <w:noProof/>
              <w:lang w:eastAsia="en-AU"/>
            </w:rPr>
          </w:pPr>
          <w:hyperlink w:anchor="_Toc219380930" w:history="1">
            <w:r w:rsidRPr="007D1FAF">
              <w:rPr>
                <w:rStyle w:val="Hyperlink"/>
                <w:noProof/>
              </w:rPr>
              <w:t>Parliament should decide on international student caps</w:t>
            </w:r>
            <w:r>
              <w:rPr>
                <w:noProof/>
                <w:webHidden/>
              </w:rPr>
              <w:tab/>
            </w:r>
            <w:r>
              <w:rPr>
                <w:noProof/>
                <w:webHidden/>
              </w:rPr>
              <w:fldChar w:fldCharType="begin"/>
            </w:r>
            <w:r>
              <w:rPr>
                <w:noProof/>
                <w:webHidden/>
              </w:rPr>
              <w:instrText xml:space="preserve"> PAGEREF _Toc219380930 \h </w:instrText>
            </w:r>
            <w:r>
              <w:rPr>
                <w:noProof/>
                <w:webHidden/>
              </w:rPr>
            </w:r>
            <w:r>
              <w:rPr>
                <w:noProof/>
                <w:webHidden/>
              </w:rPr>
              <w:fldChar w:fldCharType="separate"/>
            </w:r>
            <w:r>
              <w:rPr>
                <w:noProof/>
                <w:webHidden/>
              </w:rPr>
              <w:t>29</w:t>
            </w:r>
            <w:r>
              <w:rPr>
                <w:noProof/>
                <w:webHidden/>
              </w:rPr>
              <w:fldChar w:fldCharType="end"/>
            </w:r>
          </w:hyperlink>
        </w:p>
        <w:p w14:paraId="47017B78" w14:textId="3B3A683A"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1" w:history="1">
            <w:r w:rsidRPr="007D1FAF">
              <w:rPr>
                <w:rStyle w:val="Hyperlink"/>
                <w:rFonts w:ascii="Aptos" w:hAnsi="Aptos"/>
                <w:noProof/>
              </w:rPr>
              <w:t>7.</w:t>
            </w:r>
            <w:r>
              <w:rPr>
                <w:rFonts w:eastAsiaTheme="minorEastAsia" w:cstheme="minorBidi"/>
                <w:b w:val="0"/>
                <w:bCs w:val="0"/>
                <w:i w:val="0"/>
                <w:iCs w:val="0"/>
                <w:noProof/>
                <w:sz w:val="22"/>
                <w:szCs w:val="22"/>
                <w:lang w:eastAsia="en-AU"/>
              </w:rPr>
              <w:tab/>
            </w:r>
            <w:r w:rsidRPr="007D1FAF">
              <w:rPr>
                <w:rStyle w:val="Hyperlink"/>
                <w:rFonts w:ascii="Aptos" w:hAnsi="Aptos"/>
                <w:noProof/>
              </w:rPr>
              <w:t>Funding rates and student contributions</w:t>
            </w:r>
            <w:r>
              <w:rPr>
                <w:noProof/>
                <w:webHidden/>
              </w:rPr>
              <w:tab/>
            </w:r>
            <w:r>
              <w:rPr>
                <w:noProof/>
                <w:webHidden/>
              </w:rPr>
              <w:fldChar w:fldCharType="begin"/>
            </w:r>
            <w:r>
              <w:rPr>
                <w:noProof/>
                <w:webHidden/>
              </w:rPr>
              <w:instrText xml:space="preserve"> PAGEREF _Toc219380931 \h </w:instrText>
            </w:r>
            <w:r>
              <w:rPr>
                <w:noProof/>
                <w:webHidden/>
              </w:rPr>
            </w:r>
            <w:r>
              <w:rPr>
                <w:noProof/>
                <w:webHidden/>
              </w:rPr>
              <w:fldChar w:fldCharType="separate"/>
            </w:r>
            <w:r>
              <w:rPr>
                <w:noProof/>
                <w:webHidden/>
              </w:rPr>
              <w:t>30</w:t>
            </w:r>
            <w:r>
              <w:rPr>
                <w:noProof/>
                <w:webHidden/>
              </w:rPr>
              <w:fldChar w:fldCharType="end"/>
            </w:r>
          </w:hyperlink>
        </w:p>
        <w:p w14:paraId="1EEA8EED" w14:textId="5D81368A" w:rsidR="0055214B" w:rsidRDefault="0055214B">
          <w:pPr>
            <w:pStyle w:val="TOC2"/>
            <w:tabs>
              <w:tab w:val="right" w:leader="dot" w:pos="9016"/>
            </w:tabs>
            <w:rPr>
              <w:rFonts w:eastAsiaTheme="minorEastAsia" w:cstheme="minorBidi"/>
              <w:b w:val="0"/>
              <w:bCs w:val="0"/>
              <w:noProof/>
              <w:lang w:eastAsia="en-AU"/>
            </w:rPr>
          </w:pPr>
          <w:hyperlink w:anchor="_Toc219380932" w:history="1">
            <w:r w:rsidRPr="007D1FAF">
              <w:rPr>
                <w:rStyle w:val="Hyperlink"/>
                <w:noProof/>
              </w:rPr>
              <w:t>Providing reasons for student contributions</w:t>
            </w:r>
            <w:r>
              <w:rPr>
                <w:noProof/>
                <w:webHidden/>
              </w:rPr>
              <w:tab/>
            </w:r>
            <w:r>
              <w:rPr>
                <w:noProof/>
                <w:webHidden/>
              </w:rPr>
              <w:fldChar w:fldCharType="begin"/>
            </w:r>
            <w:r>
              <w:rPr>
                <w:noProof/>
                <w:webHidden/>
              </w:rPr>
              <w:instrText xml:space="preserve"> PAGEREF _Toc219380932 \h </w:instrText>
            </w:r>
            <w:r>
              <w:rPr>
                <w:noProof/>
                <w:webHidden/>
              </w:rPr>
            </w:r>
            <w:r>
              <w:rPr>
                <w:noProof/>
                <w:webHidden/>
              </w:rPr>
              <w:fldChar w:fldCharType="separate"/>
            </w:r>
            <w:r>
              <w:rPr>
                <w:noProof/>
                <w:webHidden/>
              </w:rPr>
              <w:t>30</w:t>
            </w:r>
            <w:r>
              <w:rPr>
                <w:noProof/>
                <w:webHidden/>
              </w:rPr>
              <w:fldChar w:fldCharType="end"/>
            </w:r>
          </w:hyperlink>
        </w:p>
        <w:p w14:paraId="2779D5E4" w14:textId="090F1AE4" w:rsidR="0055214B" w:rsidRDefault="0055214B">
          <w:pPr>
            <w:pStyle w:val="TOC2"/>
            <w:tabs>
              <w:tab w:val="right" w:leader="dot" w:pos="9016"/>
            </w:tabs>
            <w:rPr>
              <w:rFonts w:eastAsiaTheme="minorEastAsia" w:cstheme="minorBidi"/>
              <w:b w:val="0"/>
              <w:bCs w:val="0"/>
              <w:noProof/>
              <w:lang w:eastAsia="en-AU"/>
            </w:rPr>
          </w:pPr>
          <w:hyperlink w:anchor="_Toc219380933" w:history="1">
            <w:r w:rsidRPr="007D1FAF">
              <w:rPr>
                <w:rStyle w:val="Hyperlink"/>
                <w:noProof/>
              </w:rPr>
              <w:t>Non-academic student support</w:t>
            </w:r>
            <w:r>
              <w:rPr>
                <w:noProof/>
                <w:webHidden/>
              </w:rPr>
              <w:tab/>
            </w:r>
            <w:r>
              <w:rPr>
                <w:noProof/>
                <w:webHidden/>
              </w:rPr>
              <w:fldChar w:fldCharType="begin"/>
            </w:r>
            <w:r>
              <w:rPr>
                <w:noProof/>
                <w:webHidden/>
              </w:rPr>
              <w:instrText xml:space="preserve"> PAGEREF _Toc219380933 \h </w:instrText>
            </w:r>
            <w:r>
              <w:rPr>
                <w:noProof/>
                <w:webHidden/>
              </w:rPr>
            </w:r>
            <w:r>
              <w:rPr>
                <w:noProof/>
                <w:webHidden/>
              </w:rPr>
              <w:fldChar w:fldCharType="separate"/>
            </w:r>
            <w:r>
              <w:rPr>
                <w:noProof/>
                <w:webHidden/>
              </w:rPr>
              <w:t>32</w:t>
            </w:r>
            <w:r>
              <w:rPr>
                <w:noProof/>
                <w:webHidden/>
              </w:rPr>
              <w:fldChar w:fldCharType="end"/>
            </w:r>
          </w:hyperlink>
        </w:p>
        <w:p w14:paraId="080F63B9" w14:textId="1B9EB54D" w:rsidR="0055214B" w:rsidRDefault="0055214B">
          <w:pPr>
            <w:pStyle w:val="TOC2"/>
            <w:tabs>
              <w:tab w:val="right" w:leader="dot" w:pos="9016"/>
            </w:tabs>
            <w:rPr>
              <w:rFonts w:eastAsiaTheme="minorEastAsia" w:cstheme="minorBidi"/>
              <w:b w:val="0"/>
              <w:bCs w:val="0"/>
              <w:noProof/>
              <w:lang w:eastAsia="en-AU"/>
            </w:rPr>
          </w:pPr>
          <w:hyperlink w:anchor="_Toc219380934" w:history="1">
            <w:r w:rsidRPr="007D1FAF">
              <w:rPr>
                <w:rStyle w:val="Hyperlink"/>
                <w:noProof/>
                <w:lang w:eastAsia="en-AU"/>
              </w:rPr>
              <w:t>Research funding</w:t>
            </w:r>
            <w:r>
              <w:rPr>
                <w:noProof/>
                <w:webHidden/>
              </w:rPr>
              <w:tab/>
            </w:r>
            <w:r>
              <w:rPr>
                <w:noProof/>
                <w:webHidden/>
              </w:rPr>
              <w:fldChar w:fldCharType="begin"/>
            </w:r>
            <w:r>
              <w:rPr>
                <w:noProof/>
                <w:webHidden/>
              </w:rPr>
              <w:instrText xml:space="preserve"> PAGEREF _Toc219380934 \h </w:instrText>
            </w:r>
            <w:r>
              <w:rPr>
                <w:noProof/>
                <w:webHidden/>
              </w:rPr>
            </w:r>
            <w:r>
              <w:rPr>
                <w:noProof/>
                <w:webHidden/>
              </w:rPr>
              <w:fldChar w:fldCharType="separate"/>
            </w:r>
            <w:r>
              <w:rPr>
                <w:noProof/>
                <w:webHidden/>
              </w:rPr>
              <w:t>33</w:t>
            </w:r>
            <w:r>
              <w:rPr>
                <w:noProof/>
                <w:webHidden/>
              </w:rPr>
              <w:fldChar w:fldCharType="end"/>
            </w:r>
          </w:hyperlink>
        </w:p>
        <w:p w14:paraId="51716628" w14:textId="73064A23"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5" w:history="1">
            <w:r w:rsidRPr="007D1FAF">
              <w:rPr>
                <w:rStyle w:val="Hyperlink"/>
                <w:rFonts w:ascii="Aptos" w:hAnsi="Aptos"/>
                <w:noProof/>
              </w:rPr>
              <w:t>8.</w:t>
            </w:r>
            <w:r>
              <w:rPr>
                <w:rFonts w:eastAsiaTheme="minorEastAsia" w:cstheme="minorBidi"/>
                <w:b w:val="0"/>
                <w:bCs w:val="0"/>
                <w:i w:val="0"/>
                <w:iCs w:val="0"/>
                <w:noProof/>
                <w:sz w:val="22"/>
                <w:szCs w:val="22"/>
                <w:lang w:eastAsia="en-AU"/>
              </w:rPr>
              <w:tab/>
            </w:r>
            <w:r w:rsidRPr="007D1FAF">
              <w:rPr>
                <w:rStyle w:val="Hyperlink"/>
                <w:rFonts w:ascii="Aptos" w:hAnsi="Aptos"/>
                <w:noProof/>
              </w:rPr>
              <w:t>ATEC commissioners</w:t>
            </w:r>
            <w:r>
              <w:rPr>
                <w:noProof/>
                <w:webHidden/>
              </w:rPr>
              <w:tab/>
            </w:r>
            <w:r>
              <w:rPr>
                <w:noProof/>
                <w:webHidden/>
              </w:rPr>
              <w:fldChar w:fldCharType="begin"/>
            </w:r>
            <w:r>
              <w:rPr>
                <w:noProof/>
                <w:webHidden/>
              </w:rPr>
              <w:instrText xml:space="preserve"> PAGEREF _Toc219380935 \h </w:instrText>
            </w:r>
            <w:r>
              <w:rPr>
                <w:noProof/>
                <w:webHidden/>
              </w:rPr>
            </w:r>
            <w:r>
              <w:rPr>
                <w:noProof/>
                <w:webHidden/>
              </w:rPr>
              <w:fldChar w:fldCharType="separate"/>
            </w:r>
            <w:r>
              <w:rPr>
                <w:noProof/>
                <w:webHidden/>
              </w:rPr>
              <w:t>35</w:t>
            </w:r>
            <w:r>
              <w:rPr>
                <w:noProof/>
                <w:webHidden/>
              </w:rPr>
              <w:fldChar w:fldCharType="end"/>
            </w:r>
          </w:hyperlink>
        </w:p>
        <w:p w14:paraId="0668DDFB" w14:textId="4C4C9A85" w:rsidR="0055214B" w:rsidRDefault="0055214B">
          <w:pPr>
            <w:pStyle w:val="TOC2"/>
            <w:tabs>
              <w:tab w:val="right" w:leader="dot" w:pos="9016"/>
            </w:tabs>
            <w:rPr>
              <w:rFonts w:eastAsiaTheme="minorEastAsia" w:cstheme="minorBidi"/>
              <w:b w:val="0"/>
              <w:bCs w:val="0"/>
              <w:noProof/>
              <w:lang w:eastAsia="en-AU"/>
            </w:rPr>
          </w:pPr>
          <w:hyperlink w:anchor="_Toc219380936" w:history="1">
            <w:r w:rsidRPr="007D1FAF">
              <w:rPr>
                <w:rStyle w:val="Hyperlink"/>
                <w:noProof/>
              </w:rPr>
              <w:t>Expertise, skills and standing of ATEC commissioners</w:t>
            </w:r>
            <w:r>
              <w:rPr>
                <w:noProof/>
                <w:webHidden/>
              </w:rPr>
              <w:tab/>
            </w:r>
            <w:r>
              <w:rPr>
                <w:noProof/>
                <w:webHidden/>
              </w:rPr>
              <w:fldChar w:fldCharType="begin"/>
            </w:r>
            <w:r>
              <w:rPr>
                <w:noProof/>
                <w:webHidden/>
              </w:rPr>
              <w:instrText xml:space="preserve"> PAGEREF _Toc219380936 \h </w:instrText>
            </w:r>
            <w:r>
              <w:rPr>
                <w:noProof/>
                <w:webHidden/>
              </w:rPr>
            </w:r>
            <w:r>
              <w:rPr>
                <w:noProof/>
                <w:webHidden/>
              </w:rPr>
              <w:fldChar w:fldCharType="separate"/>
            </w:r>
            <w:r>
              <w:rPr>
                <w:noProof/>
                <w:webHidden/>
              </w:rPr>
              <w:t>35</w:t>
            </w:r>
            <w:r>
              <w:rPr>
                <w:noProof/>
                <w:webHidden/>
              </w:rPr>
              <w:fldChar w:fldCharType="end"/>
            </w:r>
          </w:hyperlink>
        </w:p>
        <w:p w14:paraId="0018AAAC" w14:textId="30B034A0" w:rsidR="0055214B" w:rsidRDefault="0055214B">
          <w:pPr>
            <w:pStyle w:val="TOC2"/>
            <w:tabs>
              <w:tab w:val="right" w:leader="dot" w:pos="9016"/>
            </w:tabs>
            <w:rPr>
              <w:rFonts w:eastAsiaTheme="minorEastAsia" w:cstheme="minorBidi"/>
              <w:b w:val="0"/>
              <w:bCs w:val="0"/>
              <w:noProof/>
              <w:lang w:eastAsia="en-AU"/>
            </w:rPr>
          </w:pPr>
          <w:hyperlink w:anchor="_Toc219380937" w:history="1">
            <w:r w:rsidRPr="007D1FAF">
              <w:rPr>
                <w:rStyle w:val="Hyperlink"/>
                <w:noProof/>
              </w:rPr>
              <w:t>Decision-making within ATEC</w:t>
            </w:r>
            <w:r>
              <w:rPr>
                <w:noProof/>
                <w:webHidden/>
              </w:rPr>
              <w:tab/>
            </w:r>
            <w:r>
              <w:rPr>
                <w:noProof/>
                <w:webHidden/>
              </w:rPr>
              <w:fldChar w:fldCharType="begin"/>
            </w:r>
            <w:r>
              <w:rPr>
                <w:noProof/>
                <w:webHidden/>
              </w:rPr>
              <w:instrText xml:space="preserve"> PAGEREF _Toc219380937 \h </w:instrText>
            </w:r>
            <w:r>
              <w:rPr>
                <w:noProof/>
                <w:webHidden/>
              </w:rPr>
            </w:r>
            <w:r>
              <w:rPr>
                <w:noProof/>
                <w:webHidden/>
              </w:rPr>
              <w:fldChar w:fldCharType="separate"/>
            </w:r>
            <w:r>
              <w:rPr>
                <w:noProof/>
                <w:webHidden/>
              </w:rPr>
              <w:t>37</w:t>
            </w:r>
            <w:r>
              <w:rPr>
                <w:noProof/>
                <w:webHidden/>
              </w:rPr>
              <w:fldChar w:fldCharType="end"/>
            </w:r>
          </w:hyperlink>
        </w:p>
        <w:p w14:paraId="4D583CB5" w14:textId="09F503AD" w:rsidR="0055214B" w:rsidRDefault="0055214B">
          <w:pPr>
            <w:pStyle w:val="TOC2"/>
            <w:tabs>
              <w:tab w:val="right" w:leader="dot" w:pos="9016"/>
            </w:tabs>
            <w:rPr>
              <w:rFonts w:eastAsiaTheme="minorEastAsia" w:cstheme="minorBidi"/>
              <w:b w:val="0"/>
              <w:bCs w:val="0"/>
              <w:noProof/>
              <w:lang w:eastAsia="en-AU"/>
            </w:rPr>
          </w:pPr>
          <w:hyperlink w:anchor="_Toc219380938" w:history="1">
            <w:r w:rsidRPr="007D1FAF">
              <w:rPr>
                <w:rStyle w:val="Hyperlink"/>
                <w:noProof/>
              </w:rPr>
              <w:t>Increasing the number of commissioners</w:t>
            </w:r>
            <w:r>
              <w:rPr>
                <w:noProof/>
                <w:webHidden/>
              </w:rPr>
              <w:tab/>
            </w:r>
            <w:r>
              <w:rPr>
                <w:noProof/>
                <w:webHidden/>
              </w:rPr>
              <w:fldChar w:fldCharType="begin"/>
            </w:r>
            <w:r>
              <w:rPr>
                <w:noProof/>
                <w:webHidden/>
              </w:rPr>
              <w:instrText xml:space="preserve"> PAGEREF _Toc219380938 \h </w:instrText>
            </w:r>
            <w:r>
              <w:rPr>
                <w:noProof/>
                <w:webHidden/>
              </w:rPr>
            </w:r>
            <w:r>
              <w:rPr>
                <w:noProof/>
                <w:webHidden/>
              </w:rPr>
              <w:fldChar w:fldCharType="separate"/>
            </w:r>
            <w:r>
              <w:rPr>
                <w:noProof/>
                <w:webHidden/>
              </w:rPr>
              <w:t>37</w:t>
            </w:r>
            <w:r>
              <w:rPr>
                <w:noProof/>
                <w:webHidden/>
              </w:rPr>
              <w:fldChar w:fldCharType="end"/>
            </w:r>
          </w:hyperlink>
        </w:p>
        <w:p w14:paraId="4D1DDCBF" w14:textId="2571FD16" w:rsidR="0055214B" w:rsidRDefault="0055214B">
          <w:pPr>
            <w:pStyle w:val="TOC1"/>
            <w:tabs>
              <w:tab w:val="left" w:pos="480"/>
              <w:tab w:val="right" w:leader="dot" w:pos="9016"/>
            </w:tabs>
            <w:rPr>
              <w:rFonts w:eastAsiaTheme="minorEastAsia" w:cstheme="minorBidi"/>
              <w:b w:val="0"/>
              <w:bCs w:val="0"/>
              <w:i w:val="0"/>
              <w:iCs w:val="0"/>
              <w:noProof/>
              <w:sz w:val="22"/>
              <w:szCs w:val="22"/>
              <w:lang w:eastAsia="en-AU"/>
            </w:rPr>
          </w:pPr>
          <w:hyperlink w:anchor="_Toc219380939" w:history="1">
            <w:r w:rsidRPr="007D1FAF">
              <w:rPr>
                <w:rStyle w:val="Hyperlink"/>
                <w:rFonts w:ascii="Aptos" w:hAnsi="Aptos"/>
                <w:noProof/>
              </w:rPr>
              <w:t>9.</w:t>
            </w:r>
            <w:r>
              <w:rPr>
                <w:rFonts w:eastAsiaTheme="minorEastAsia" w:cstheme="minorBidi"/>
                <w:b w:val="0"/>
                <w:bCs w:val="0"/>
                <w:i w:val="0"/>
                <w:iCs w:val="0"/>
                <w:noProof/>
                <w:sz w:val="22"/>
                <w:szCs w:val="22"/>
                <w:lang w:eastAsia="en-AU"/>
              </w:rPr>
              <w:tab/>
            </w:r>
            <w:r w:rsidRPr="007D1FAF">
              <w:rPr>
                <w:rStyle w:val="Hyperlink"/>
                <w:rFonts w:ascii="Aptos" w:hAnsi="Aptos"/>
                <w:noProof/>
              </w:rPr>
              <w:t>ATEC’s advisory role and independence</w:t>
            </w:r>
            <w:r>
              <w:rPr>
                <w:noProof/>
                <w:webHidden/>
              </w:rPr>
              <w:tab/>
            </w:r>
            <w:r>
              <w:rPr>
                <w:noProof/>
                <w:webHidden/>
              </w:rPr>
              <w:fldChar w:fldCharType="begin"/>
            </w:r>
            <w:r>
              <w:rPr>
                <w:noProof/>
                <w:webHidden/>
              </w:rPr>
              <w:instrText xml:space="preserve"> PAGEREF _Toc219380939 \h </w:instrText>
            </w:r>
            <w:r>
              <w:rPr>
                <w:noProof/>
                <w:webHidden/>
              </w:rPr>
            </w:r>
            <w:r>
              <w:rPr>
                <w:noProof/>
                <w:webHidden/>
              </w:rPr>
              <w:fldChar w:fldCharType="separate"/>
            </w:r>
            <w:r>
              <w:rPr>
                <w:noProof/>
                <w:webHidden/>
              </w:rPr>
              <w:t>39</w:t>
            </w:r>
            <w:r>
              <w:rPr>
                <w:noProof/>
                <w:webHidden/>
              </w:rPr>
              <w:fldChar w:fldCharType="end"/>
            </w:r>
          </w:hyperlink>
        </w:p>
        <w:p w14:paraId="0DAA6F92" w14:textId="223C07D1" w:rsidR="0055214B" w:rsidRDefault="0055214B">
          <w:pPr>
            <w:pStyle w:val="TOC2"/>
            <w:tabs>
              <w:tab w:val="right" w:leader="dot" w:pos="9016"/>
            </w:tabs>
            <w:rPr>
              <w:rFonts w:eastAsiaTheme="minorEastAsia" w:cstheme="minorBidi"/>
              <w:b w:val="0"/>
              <w:bCs w:val="0"/>
              <w:noProof/>
              <w:lang w:eastAsia="en-AU"/>
            </w:rPr>
          </w:pPr>
          <w:hyperlink w:anchor="_Toc219380940" w:history="1">
            <w:r w:rsidRPr="007D1FAF">
              <w:rPr>
                <w:rStyle w:val="Hyperlink"/>
                <w:noProof/>
              </w:rPr>
              <w:t>ATEC’s direct advice to government</w:t>
            </w:r>
            <w:r>
              <w:rPr>
                <w:noProof/>
                <w:webHidden/>
              </w:rPr>
              <w:tab/>
            </w:r>
            <w:r>
              <w:rPr>
                <w:noProof/>
                <w:webHidden/>
              </w:rPr>
              <w:fldChar w:fldCharType="begin"/>
            </w:r>
            <w:r>
              <w:rPr>
                <w:noProof/>
                <w:webHidden/>
              </w:rPr>
              <w:instrText xml:space="preserve"> PAGEREF _Toc219380940 \h </w:instrText>
            </w:r>
            <w:r>
              <w:rPr>
                <w:noProof/>
                <w:webHidden/>
              </w:rPr>
            </w:r>
            <w:r>
              <w:rPr>
                <w:noProof/>
                <w:webHidden/>
              </w:rPr>
              <w:fldChar w:fldCharType="separate"/>
            </w:r>
            <w:r>
              <w:rPr>
                <w:noProof/>
                <w:webHidden/>
              </w:rPr>
              <w:t>39</w:t>
            </w:r>
            <w:r>
              <w:rPr>
                <w:noProof/>
                <w:webHidden/>
              </w:rPr>
              <w:fldChar w:fldCharType="end"/>
            </w:r>
          </w:hyperlink>
        </w:p>
        <w:p w14:paraId="5E86E1E5" w14:textId="72D61B07" w:rsidR="0055214B" w:rsidRDefault="0055214B">
          <w:pPr>
            <w:pStyle w:val="TOC2"/>
            <w:tabs>
              <w:tab w:val="right" w:leader="dot" w:pos="9016"/>
            </w:tabs>
            <w:rPr>
              <w:rFonts w:eastAsiaTheme="minorEastAsia" w:cstheme="minorBidi"/>
              <w:b w:val="0"/>
              <w:bCs w:val="0"/>
              <w:noProof/>
              <w:lang w:eastAsia="en-AU"/>
            </w:rPr>
          </w:pPr>
          <w:hyperlink w:anchor="_Toc219380941" w:history="1">
            <w:r w:rsidRPr="007D1FAF">
              <w:rPr>
                <w:rStyle w:val="Hyperlink"/>
                <w:noProof/>
                <w:lang w:eastAsia="en-AU"/>
              </w:rPr>
              <w:t>State of the Tertiary Education System report</w:t>
            </w:r>
            <w:r>
              <w:rPr>
                <w:noProof/>
                <w:webHidden/>
              </w:rPr>
              <w:tab/>
            </w:r>
            <w:r>
              <w:rPr>
                <w:noProof/>
                <w:webHidden/>
              </w:rPr>
              <w:fldChar w:fldCharType="begin"/>
            </w:r>
            <w:r>
              <w:rPr>
                <w:noProof/>
                <w:webHidden/>
              </w:rPr>
              <w:instrText xml:space="preserve"> PAGEREF _Toc219380941 \h </w:instrText>
            </w:r>
            <w:r>
              <w:rPr>
                <w:noProof/>
                <w:webHidden/>
              </w:rPr>
            </w:r>
            <w:r>
              <w:rPr>
                <w:noProof/>
                <w:webHidden/>
              </w:rPr>
              <w:fldChar w:fldCharType="separate"/>
            </w:r>
            <w:r>
              <w:rPr>
                <w:noProof/>
                <w:webHidden/>
              </w:rPr>
              <w:t>40</w:t>
            </w:r>
            <w:r>
              <w:rPr>
                <w:noProof/>
                <w:webHidden/>
              </w:rPr>
              <w:fldChar w:fldCharType="end"/>
            </w:r>
          </w:hyperlink>
        </w:p>
        <w:p w14:paraId="7794EE52" w14:textId="66947A71" w:rsidR="0055214B" w:rsidRDefault="0055214B">
          <w:pPr>
            <w:pStyle w:val="TOC3"/>
            <w:tabs>
              <w:tab w:val="right" w:leader="dot" w:pos="9016"/>
            </w:tabs>
            <w:rPr>
              <w:rFonts w:eastAsiaTheme="minorEastAsia" w:cstheme="minorBidi"/>
              <w:noProof/>
              <w:sz w:val="22"/>
              <w:szCs w:val="22"/>
              <w:lang w:eastAsia="en-AU"/>
            </w:rPr>
          </w:pPr>
          <w:hyperlink w:anchor="_Toc219380942" w:history="1">
            <w:r w:rsidRPr="007D1FAF">
              <w:rPr>
                <w:rStyle w:val="Hyperlink"/>
                <w:noProof/>
                <w:lang w:eastAsia="en-AU"/>
              </w:rPr>
              <w:t>Other topics in the State of the Tertiary Education System Report</w:t>
            </w:r>
            <w:r>
              <w:rPr>
                <w:noProof/>
                <w:webHidden/>
              </w:rPr>
              <w:tab/>
            </w:r>
            <w:r>
              <w:rPr>
                <w:noProof/>
                <w:webHidden/>
              </w:rPr>
              <w:fldChar w:fldCharType="begin"/>
            </w:r>
            <w:r>
              <w:rPr>
                <w:noProof/>
                <w:webHidden/>
              </w:rPr>
              <w:instrText xml:space="preserve"> PAGEREF _Toc219380942 \h </w:instrText>
            </w:r>
            <w:r>
              <w:rPr>
                <w:noProof/>
                <w:webHidden/>
              </w:rPr>
            </w:r>
            <w:r>
              <w:rPr>
                <w:noProof/>
                <w:webHidden/>
              </w:rPr>
              <w:fldChar w:fldCharType="separate"/>
            </w:r>
            <w:r>
              <w:rPr>
                <w:noProof/>
                <w:webHidden/>
              </w:rPr>
              <w:t>42</w:t>
            </w:r>
            <w:r>
              <w:rPr>
                <w:noProof/>
                <w:webHidden/>
              </w:rPr>
              <w:fldChar w:fldCharType="end"/>
            </w:r>
          </w:hyperlink>
        </w:p>
        <w:p w14:paraId="2787C1B7" w14:textId="11E2F125" w:rsidR="0055214B" w:rsidRDefault="0055214B">
          <w:pPr>
            <w:pStyle w:val="TOC3"/>
            <w:tabs>
              <w:tab w:val="right" w:leader="dot" w:pos="9016"/>
            </w:tabs>
            <w:rPr>
              <w:rFonts w:eastAsiaTheme="minorEastAsia" w:cstheme="minorBidi"/>
              <w:noProof/>
              <w:sz w:val="22"/>
              <w:szCs w:val="22"/>
              <w:lang w:eastAsia="en-AU"/>
            </w:rPr>
          </w:pPr>
          <w:hyperlink w:anchor="_Toc219380943" w:history="1">
            <w:r w:rsidRPr="007D1FAF">
              <w:rPr>
                <w:rStyle w:val="Hyperlink"/>
                <w:noProof/>
                <w:lang w:eastAsia="en-AU"/>
              </w:rPr>
              <w:t>Ad hoc reports</w:t>
            </w:r>
            <w:r>
              <w:rPr>
                <w:noProof/>
                <w:webHidden/>
              </w:rPr>
              <w:tab/>
            </w:r>
            <w:r>
              <w:rPr>
                <w:noProof/>
                <w:webHidden/>
              </w:rPr>
              <w:fldChar w:fldCharType="begin"/>
            </w:r>
            <w:r>
              <w:rPr>
                <w:noProof/>
                <w:webHidden/>
              </w:rPr>
              <w:instrText xml:space="preserve"> PAGEREF _Toc219380943 \h </w:instrText>
            </w:r>
            <w:r>
              <w:rPr>
                <w:noProof/>
                <w:webHidden/>
              </w:rPr>
            </w:r>
            <w:r>
              <w:rPr>
                <w:noProof/>
                <w:webHidden/>
              </w:rPr>
              <w:fldChar w:fldCharType="separate"/>
            </w:r>
            <w:r>
              <w:rPr>
                <w:noProof/>
                <w:webHidden/>
              </w:rPr>
              <w:t>43</w:t>
            </w:r>
            <w:r>
              <w:rPr>
                <w:noProof/>
                <w:webHidden/>
              </w:rPr>
              <w:fldChar w:fldCharType="end"/>
            </w:r>
          </w:hyperlink>
        </w:p>
        <w:p w14:paraId="1E1F621F" w14:textId="0F990016" w:rsidR="0055214B" w:rsidRDefault="0055214B">
          <w:pPr>
            <w:pStyle w:val="TOC2"/>
            <w:tabs>
              <w:tab w:val="right" w:leader="dot" w:pos="9016"/>
            </w:tabs>
            <w:rPr>
              <w:rFonts w:eastAsiaTheme="minorEastAsia" w:cstheme="minorBidi"/>
              <w:b w:val="0"/>
              <w:bCs w:val="0"/>
              <w:noProof/>
              <w:lang w:eastAsia="en-AU"/>
            </w:rPr>
          </w:pPr>
          <w:hyperlink w:anchor="_Toc219380944" w:history="1">
            <w:r w:rsidRPr="007D1FAF">
              <w:rPr>
                <w:rStyle w:val="Hyperlink"/>
                <w:noProof/>
                <w:lang w:eastAsia="en-AU"/>
              </w:rPr>
              <w:t>ATEC’s capacity to give advice</w:t>
            </w:r>
            <w:r>
              <w:rPr>
                <w:noProof/>
                <w:webHidden/>
              </w:rPr>
              <w:tab/>
            </w:r>
            <w:r>
              <w:rPr>
                <w:noProof/>
                <w:webHidden/>
              </w:rPr>
              <w:fldChar w:fldCharType="begin"/>
            </w:r>
            <w:r>
              <w:rPr>
                <w:noProof/>
                <w:webHidden/>
              </w:rPr>
              <w:instrText xml:space="preserve"> PAGEREF _Toc219380944 \h </w:instrText>
            </w:r>
            <w:r>
              <w:rPr>
                <w:noProof/>
                <w:webHidden/>
              </w:rPr>
            </w:r>
            <w:r>
              <w:rPr>
                <w:noProof/>
                <w:webHidden/>
              </w:rPr>
              <w:fldChar w:fldCharType="separate"/>
            </w:r>
            <w:r>
              <w:rPr>
                <w:noProof/>
                <w:webHidden/>
              </w:rPr>
              <w:t>43</w:t>
            </w:r>
            <w:r>
              <w:rPr>
                <w:noProof/>
                <w:webHidden/>
              </w:rPr>
              <w:fldChar w:fldCharType="end"/>
            </w:r>
          </w:hyperlink>
        </w:p>
        <w:p w14:paraId="35041488" w14:textId="02BB9DD9" w:rsidR="0055214B" w:rsidRDefault="0055214B">
          <w:pPr>
            <w:pStyle w:val="TOC3"/>
            <w:tabs>
              <w:tab w:val="right" w:leader="dot" w:pos="9016"/>
            </w:tabs>
            <w:rPr>
              <w:rFonts w:eastAsiaTheme="minorEastAsia" w:cstheme="minorBidi"/>
              <w:noProof/>
              <w:sz w:val="22"/>
              <w:szCs w:val="22"/>
              <w:lang w:eastAsia="en-AU"/>
            </w:rPr>
          </w:pPr>
          <w:hyperlink w:anchor="_Toc219380945" w:history="1">
            <w:r w:rsidRPr="007D1FAF">
              <w:rPr>
                <w:rStyle w:val="Hyperlink"/>
                <w:noProof/>
              </w:rPr>
              <w:t>Committees</w:t>
            </w:r>
            <w:r>
              <w:rPr>
                <w:noProof/>
                <w:webHidden/>
              </w:rPr>
              <w:tab/>
            </w:r>
            <w:r>
              <w:rPr>
                <w:noProof/>
                <w:webHidden/>
              </w:rPr>
              <w:fldChar w:fldCharType="begin"/>
            </w:r>
            <w:r>
              <w:rPr>
                <w:noProof/>
                <w:webHidden/>
              </w:rPr>
              <w:instrText xml:space="preserve"> PAGEREF _Toc219380945 \h </w:instrText>
            </w:r>
            <w:r>
              <w:rPr>
                <w:noProof/>
                <w:webHidden/>
              </w:rPr>
            </w:r>
            <w:r>
              <w:rPr>
                <w:noProof/>
                <w:webHidden/>
              </w:rPr>
              <w:fldChar w:fldCharType="separate"/>
            </w:r>
            <w:r>
              <w:rPr>
                <w:noProof/>
                <w:webHidden/>
              </w:rPr>
              <w:t>43</w:t>
            </w:r>
            <w:r>
              <w:rPr>
                <w:noProof/>
                <w:webHidden/>
              </w:rPr>
              <w:fldChar w:fldCharType="end"/>
            </w:r>
          </w:hyperlink>
        </w:p>
        <w:p w14:paraId="78947401" w14:textId="7D99F386" w:rsidR="0055214B" w:rsidRDefault="0055214B">
          <w:pPr>
            <w:pStyle w:val="TOC3"/>
            <w:tabs>
              <w:tab w:val="right" w:leader="dot" w:pos="9016"/>
            </w:tabs>
            <w:rPr>
              <w:rFonts w:eastAsiaTheme="minorEastAsia" w:cstheme="minorBidi"/>
              <w:noProof/>
              <w:sz w:val="22"/>
              <w:szCs w:val="22"/>
              <w:lang w:eastAsia="en-AU"/>
            </w:rPr>
          </w:pPr>
          <w:hyperlink w:anchor="_Toc219380946" w:history="1">
            <w:r w:rsidRPr="007D1FAF">
              <w:rPr>
                <w:rStyle w:val="Hyperlink"/>
                <w:noProof/>
              </w:rPr>
              <w:t>Consultation</w:t>
            </w:r>
            <w:r>
              <w:rPr>
                <w:noProof/>
                <w:webHidden/>
              </w:rPr>
              <w:tab/>
            </w:r>
            <w:r>
              <w:rPr>
                <w:noProof/>
                <w:webHidden/>
              </w:rPr>
              <w:fldChar w:fldCharType="begin"/>
            </w:r>
            <w:r>
              <w:rPr>
                <w:noProof/>
                <w:webHidden/>
              </w:rPr>
              <w:instrText xml:space="preserve"> PAGEREF _Toc219380946 \h </w:instrText>
            </w:r>
            <w:r>
              <w:rPr>
                <w:noProof/>
                <w:webHidden/>
              </w:rPr>
            </w:r>
            <w:r>
              <w:rPr>
                <w:noProof/>
                <w:webHidden/>
              </w:rPr>
              <w:fldChar w:fldCharType="separate"/>
            </w:r>
            <w:r>
              <w:rPr>
                <w:noProof/>
                <w:webHidden/>
              </w:rPr>
              <w:t>43</w:t>
            </w:r>
            <w:r>
              <w:rPr>
                <w:noProof/>
                <w:webHidden/>
              </w:rPr>
              <w:fldChar w:fldCharType="end"/>
            </w:r>
          </w:hyperlink>
        </w:p>
        <w:p w14:paraId="723338F4" w14:textId="7118CE5D" w:rsidR="0055214B" w:rsidRDefault="0055214B">
          <w:pPr>
            <w:pStyle w:val="TOC3"/>
            <w:tabs>
              <w:tab w:val="right" w:leader="dot" w:pos="9016"/>
            </w:tabs>
            <w:rPr>
              <w:rFonts w:eastAsiaTheme="minorEastAsia" w:cstheme="minorBidi"/>
              <w:noProof/>
              <w:sz w:val="22"/>
              <w:szCs w:val="22"/>
              <w:lang w:eastAsia="en-AU"/>
            </w:rPr>
          </w:pPr>
          <w:hyperlink w:anchor="_Toc219380947" w:history="1">
            <w:r w:rsidRPr="007D1FAF">
              <w:rPr>
                <w:rStyle w:val="Hyperlink"/>
                <w:noProof/>
              </w:rPr>
              <w:t>ATEC staff</w:t>
            </w:r>
            <w:r>
              <w:rPr>
                <w:noProof/>
                <w:webHidden/>
              </w:rPr>
              <w:tab/>
            </w:r>
            <w:r>
              <w:rPr>
                <w:noProof/>
                <w:webHidden/>
              </w:rPr>
              <w:fldChar w:fldCharType="begin"/>
            </w:r>
            <w:r>
              <w:rPr>
                <w:noProof/>
                <w:webHidden/>
              </w:rPr>
              <w:instrText xml:space="preserve"> PAGEREF _Toc219380947 \h </w:instrText>
            </w:r>
            <w:r>
              <w:rPr>
                <w:noProof/>
                <w:webHidden/>
              </w:rPr>
            </w:r>
            <w:r>
              <w:rPr>
                <w:noProof/>
                <w:webHidden/>
              </w:rPr>
              <w:fldChar w:fldCharType="separate"/>
            </w:r>
            <w:r>
              <w:rPr>
                <w:noProof/>
                <w:webHidden/>
              </w:rPr>
              <w:t>44</w:t>
            </w:r>
            <w:r>
              <w:rPr>
                <w:noProof/>
                <w:webHidden/>
              </w:rPr>
              <w:fldChar w:fldCharType="end"/>
            </w:r>
          </w:hyperlink>
        </w:p>
        <w:p w14:paraId="321CECBE" w14:textId="425E68B9" w:rsidR="0055214B" w:rsidRDefault="0055214B">
          <w:pPr>
            <w:pStyle w:val="TOC3"/>
            <w:tabs>
              <w:tab w:val="right" w:leader="dot" w:pos="9016"/>
            </w:tabs>
            <w:rPr>
              <w:rFonts w:eastAsiaTheme="minorEastAsia" w:cstheme="minorBidi"/>
              <w:noProof/>
              <w:sz w:val="22"/>
              <w:szCs w:val="22"/>
              <w:lang w:eastAsia="en-AU"/>
            </w:rPr>
          </w:pPr>
          <w:hyperlink w:anchor="_Toc219380948" w:history="1">
            <w:r w:rsidRPr="007D1FAF">
              <w:rPr>
                <w:rStyle w:val="Hyperlink"/>
                <w:noProof/>
              </w:rPr>
              <w:t>Consultants</w:t>
            </w:r>
            <w:r>
              <w:rPr>
                <w:noProof/>
                <w:webHidden/>
              </w:rPr>
              <w:tab/>
            </w:r>
            <w:r>
              <w:rPr>
                <w:noProof/>
                <w:webHidden/>
              </w:rPr>
              <w:fldChar w:fldCharType="begin"/>
            </w:r>
            <w:r>
              <w:rPr>
                <w:noProof/>
                <w:webHidden/>
              </w:rPr>
              <w:instrText xml:space="preserve"> PAGEREF _Toc219380948 \h </w:instrText>
            </w:r>
            <w:r>
              <w:rPr>
                <w:noProof/>
                <w:webHidden/>
              </w:rPr>
            </w:r>
            <w:r>
              <w:rPr>
                <w:noProof/>
                <w:webHidden/>
              </w:rPr>
              <w:fldChar w:fldCharType="separate"/>
            </w:r>
            <w:r>
              <w:rPr>
                <w:noProof/>
                <w:webHidden/>
              </w:rPr>
              <w:t>44</w:t>
            </w:r>
            <w:r>
              <w:rPr>
                <w:noProof/>
                <w:webHidden/>
              </w:rPr>
              <w:fldChar w:fldCharType="end"/>
            </w:r>
          </w:hyperlink>
        </w:p>
        <w:p w14:paraId="1AB2F17E" w14:textId="65A54B9B" w:rsidR="0055214B" w:rsidRDefault="0055214B">
          <w:pPr>
            <w:pStyle w:val="TOC2"/>
            <w:tabs>
              <w:tab w:val="right" w:leader="dot" w:pos="9016"/>
            </w:tabs>
            <w:rPr>
              <w:rFonts w:eastAsiaTheme="minorEastAsia" w:cstheme="minorBidi"/>
              <w:b w:val="0"/>
              <w:bCs w:val="0"/>
              <w:noProof/>
              <w:lang w:eastAsia="en-AU"/>
            </w:rPr>
          </w:pPr>
          <w:hyperlink w:anchor="_Toc219380949" w:history="1">
            <w:r w:rsidRPr="007D1FAF">
              <w:rPr>
                <w:rStyle w:val="Hyperlink"/>
                <w:noProof/>
              </w:rPr>
              <w:t>ATEC advice to TEQSA</w:t>
            </w:r>
            <w:r>
              <w:rPr>
                <w:noProof/>
                <w:webHidden/>
              </w:rPr>
              <w:tab/>
            </w:r>
            <w:r>
              <w:rPr>
                <w:noProof/>
                <w:webHidden/>
              </w:rPr>
              <w:fldChar w:fldCharType="begin"/>
            </w:r>
            <w:r>
              <w:rPr>
                <w:noProof/>
                <w:webHidden/>
              </w:rPr>
              <w:instrText xml:space="preserve"> PAGEREF _Toc219380949 \h </w:instrText>
            </w:r>
            <w:r>
              <w:rPr>
                <w:noProof/>
                <w:webHidden/>
              </w:rPr>
            </w:r>
            <w:r>
              <w:rPr>
                <w:noProof/>
                <w:webHidden/>
              </w:rPr>
              <w:fldChar w:fldCharType="separate"/>
            </w:r>
            <w:r>
              <w:rPr>
                <w:noProof/>
                <w:webHidden/>
              </w:rPr>
              <w:t>44</w:t>
            </w:r>
            <w:r>
              <w:rPr>
                <w:noProof/>
                <w:webHidden/>
              </w:rPr>
              <w:fldChar w:fldCharType="end"/>
            </w:r>
          </w:hyperlink>
        </w:p>
        <w:p w14:paraId="5DE738A7" w14:textId="22EFD511" w:rsidR="0055214B" w:rsidRDefault="0055214B">
          <w:pPr>
            <w:pStyle w:val="TOC2"/>
            <w:tabs>
              <w:tab w:val="right" w:leader="dot" w:pos="9016"/>
            </w:tabs>
            <w:rPr>
              <w:rFonts w:eastAsiaTheme="minorEastAsia" w:cstheme="minorBidi"/>
              <w:b w:val="0"/>
              <w:bCs w:val="0"/>
              <w:noProof/>
              <w:lang w:eastAsia="en-AU"/>
            </w:rPr>
          </w:pPr>
          <w:hyperlink w:anchor="_Toc219380950" w:history="1">
            <w:r w:rsidRPr="007D1FAF">
              <w:rPr>
                <w:rStyle w:val="Hyperlink"/>
                <w:noProof/>
              </w:rPr>
              <w:t>Delegation of powers</w:t>
            </w:r>
            <w:r>
              <w:rPr>
                <w:noProof/>
                <w:webHidden/>
              </w:rPr>
              <w:tab/>
            </w:r>
            <w:r>
              <w:rPr>
                <w:noProof/>
                <w:webHidden/>
              </w:rPr>
              <w:fldChar w:fldCharType="begin"/>
            </w:r>
            <w:r>
              <w:rPr>
                <w:noProof/>
                <w:webHidden/>
              </w:rPr>
              <w:instrText xml:space="preserve"> PAGEREF _Toc219380950 \h </w:instrText>
            </w:r>
            <w:r>
              <w:rPr>
                <w:noProof/>
                <w:webHidden/>
              </w:rPr>
            </w:r>
            <w:r>
              <w:rPr>
                <w:noProof/>
                <w:webHidden/>
              </w:rPr>
              <w:fldChar w:fldCharType="separate"/>
            </w:r>
            <w:r>
              <w:rPr>
                <w:noProof/>
                <w:webHidden/>
              </w:rPr>
              <w:t>45</w:t>
            </w:r>
            <w:r>
              <w:rPr>
                <w:noProof/>
                <w:webHidden/>
              </w:rPr>
              <w:fldChar w:fldCharType="end"/>
            </w:r>
          </w:hyperlink>
        </w:p>
        <w:p w14:paraId="0A753C42" w14:textId="202DEF16" w:rsidR="0055214B" w:rsidRDefault="0055214B">
          <w:pPr>
            <w:pStyle w:val="TOC1"/>
            <w:tabs>
              <w:tab w:val="right" w:leader="dot" w:pos="9016"/>
            </w:tabs>
            <w:rPr>
              <w:rFonts w:eastAsiaTheme="minorEastAsia" w:cstheme="minorBidi"/>
              <w:b w:val="0"/>
              <w:bCs w:val="0"/>
              <w:i w:val="0"/>
              <w:iCs w:val="0"/>
              <w:noProof/>
              <w:sz w:val="22"/>
              <w:szCs w:val="22"/>
              <w:lang w:eastAsia="en-AU"/>
            </w:rPr>
          </w:pPr>
          <w:hyperlink w:anchor="_Toc219380951" w:history="1">
            <w:r w:rsidRPr="007D1FAF">
              <w:rPr>
                <w:rStyle w:val="Hyperlink"/>
                <w:rFonts w:ascii="Aptos" w:hAnsi="Aptos"/>
                <w:noProof/>
              </w:rPr>
              <w:t>References</w:t>
            </w:r>
            <w:r>
              <w:rPr>
                <w:noProof/>
                <w:webHidden/>
              </w:rPr>
              <w:tab/>
            </w:r>
            <w:r>
              <w:rPr>
                <w:noProof/>
                <w:webHidden/>
              </w:rPr>
              <w:fldChar w:fldCharType="begin"/>
            </w:r>
            <w:r>
              <w:rPr>
                <w:noProof/>
                <w:webHidden/>
              </w:rPr>
              <w:instrText xml:space="preserve"> PAGEREF _Toc219380951 \h </w:instrText>
            </w:r>
            <w:r>
              <w:rPr>
                <w:noProof/>
                <w:webHidden/>
              </w:rPr>
            </w:r>
            <w:r>
              <w:rPr>
                <w:noProof/>
                <w:webHidden/>
              </w:rPr>
              <w:fldChar w:fldCharType="separate"/>
            </w:r>
            <w:r>
              <w:rPr>
                <w:noProof/>
                <w:webHidden/>
              </w:rPr>
              <w:t>46</w:t>
            </w:r>
            <w:r>
              <w:rPr>
                <w:noProof/>
                <w:webHidden/>
              </w:rPr>
              <w:fldChar w:fldCharType="end"/>
            </w:r>
          </w:hyperlink>
        </w:p>
        <w:p w14:paraId="1D14804D" w14:textId="4E955E6E" w:rsidR="00FE21DD" w:rsidRPr="00DB5E03" w:rsidRDefault="00D94A34" w:rsidP="00944D95">
          <w:pPr>
            <w:rPr>
              <w:rFonts w:ascii="Aptos" w:hAnsi="Aptos"/>
              <w:b/>
              <w:bCs/>
              <w:noProof/>
              <w:szCs w:val="24"/>
            </w:rPr>
          </w:pPr>
          <w:r w:rsidRPr="00DB5E03">
            <w:rPr>
              <w:rFonts w:ascii="Aptos" w:hAnsi="Aptos"/>
              <w:b/>
              <w:bCs/>
              <w:noProof/>
              <w:szCs w:val="24"/>
            </w:rPr>
            <w:fldChar w:fldCharType="end"/>
          </w:r>
        </w:p>
        <w:p w14:paraId="276D789F" w14:textId="7F890513" w:rsidR="00D94A34" w:rsidRPr="00DB5E03" w:rsidRDefault="00000000" w:rsidP="00944D95">
          <w:pPr>
            <w:rPr>
              <w:rFonts w:ascii="Aptos" w:hAnsi="Aptos" w:cstheme="minorHAnsi"/>
              <w:szCs w:val="24"/>
            </w:rPr>
          </w:pPr>
        </w:p>
      </w:sdtContent>
    </w:sdt>
    <w:p w14:paraId="767E76E6" w14:textId="77777777" w:rsidR="00B91718" w:rsidRDefault="00B91718">
      <w:pPr>
        <w:rPr>
          <w:rFonts w:ascii="Aptos" w:hAnsi="Aptos" w:cstheme="minorHAnsi"/>
          <w:color w:val="4F81BD" w:themeColor="accent1"/>
          <w:sz w:val="32"/>
          <w:szCs w:val="32"/>
        </w:rPr>
      </w:pPr>
      <w:r>
        <w:rPr>
          <w:rFonts w:ascii="Aptos" w:hAnsi="Aptos" w:cstheme="minorHAnsi"/>
          <w:color w:val="4F81BD" w:themeColor="accent1"/>
          <w:sz w:val="32"/>
          <w:szCs w:val="32"/>
        </w:rPr>
        <w:br w:type="page"/>
      </w:r>
    </w:p>
    <w:p w14:paraId="1916F87E" w14:textId="02779FBD" w:rsidR="00AD4757" w:rsidRDefault="0021176C" w:rsidP="00944D95">
      <w:pPr>
        <w:pStyle w:val="Heading1"/>
        <w:rPr>
          <w:rFonts w:ascii="Aptos" w:hAnsi="Aptos" w:cstheme="minorHAnsi"/>
          <w:color w:val="4F81BD" w:themeColor="accent1"/>
          <w:sz w:val="32"/>
          <w:szCs w:val="32"/>
        </w:rPr>
      </w:pPr>
      <w:bookmarkStart w:id="2" w:name="_Toc219380875"/>
      <w:r w:rsidRPr="007B3620">
        <w:rPr>
          <w:rFonts w:ascii="Aptos" w:hAnsi="Aptos" w:cstheme="minorHAnsi"/>
          <w:color w:val="4F81BD" w:themeColor="accent1"/>
          <w:sz w:val="32"/>
          <w:szCs w:val="32"/>
        </w:rPr>
        <w:lastRenderedPageBreak/>
        <w:t>Overview</w:t>
      </w:r>
      <w:bookmarkEnd w:id="2"/>
    </w:p>
    <w:p w14:paraId="5C3EA997" w14:textId="6AFCFA5E" w:rsidR="00A66AE6" w:rsidRDefault="0085793F" w:rsidP="00A66AE6">
      <w:r>
        <w:t xml:space="preserve">The </w:t>
      </w:r>
      <w:r w:rsidR="00D20E29">
        <w:t xml:space="preserve">Australian Tertiary Education Commission </w:t>
      </w:r>
      <w:r>
        <w:t xml:space="preserve">bills should be rejected. </w:t>
      </w:r>
    </w:p>
    <w:p w14:paraId="0648CEC8" w14:textId="0CCF3B7C" w:rsidR="00494644" w:rsidRDefault="00494644" w:rsidP="00494644">
      <w:pPr>
        <w:pStyle w:val="ListParagraph"/>
        <w:numPr>
          <w:ilvl w:val="0"/>
          <w:numId w:val="31"/>
        </w:numPr>
      </w:pPr>
      <w:r>
        <w:t xml:space="preserve">The ATEC bills narrow the purposes of universities, with no acknowledgement of intrinsic </w:t>
      </w:r>
      <w:r w:rsidR="00953776">
        <w:t xml:space="preserve">intellectual </w:t>
      </w:r>
      <w:r>
        <w:t>interest or courses without tight links to occupations.</w:t>
      </w:r>
    </w:p>
    <w:p w14:paraId="5887AF4C" w14:textId="2E7F5749" w:rsidR="00494644" w:rsidRDefault="00494644" w:rsidP="00494644">
      <w:pPr>
        <w:pStyle w:val="ListParagraph"/>
        <w:numPr>
          <w:ilvl w:val="0"/>
          <w:numId w:val="31"/>
        </w:numPr>
      </w:pPr>
      <w:r>
        <w:t xml:space="preserve">Despite referring to university missions, nothing in the ATEC bills gives universities any new capacity to achieve their missions, while threatening homogenising ‘strategic priorities’. </w:t>
      </w:r>
    </w:p>
    <w:p w14:paraId="4DE8655E" w14:textId="7069B6B5" w:rsidR="00494644" w:rsidRDefault="00494644" w:rsidP="00494644">
      <w:pPr>
        <w:pStyle w:val="ListParagraph"/>
        <w:numPr>
          <w:ilvl w:val="0"/>
          <w:numId w:val="31"/>
        </w:numPr>
      </w:pPr>
      <w:r>
        <w:t xml:space="preserve">Critical detail about the content of </w:t>
      </w:r>
      <w:proofErr w:type="gramStart"/>
      <w:r>
        <w:t>mission based</w:t>
      </w:r>
      <w:proofErr w:type="gramEnd"/>
      <w:r>
        <w:t xml:space="preserve"> compacts is absent from the bills, creating concern than ATEC would operate with minimal legal constraint </w:t>
      </w:r>
      <w:r w:rsidR="00953776">
        <w:t xml:space="preserve">or </w:t>
      </w:r>
      <w:r>
        <w:t xml:space="preserve">parliamentary scrutiny. </w:t>
      </w:r>
    </w:p>
    <w:p w14:paraId="64A55075" w14:textId="3688DCCA" w:rsidR="00494644" w:rsidRDefault="00494644" w:rsidP="00494644">
      <w:pPr>
        <w:pStyle w:val="ListParagraph"/>
        <w:numPr>
          <w:ilvl w:val="0"/>
          <w:numId w:val="31"/>
        </w:numPr>
      </w:pPr>
      <w:r>
        <w:t xml:space="preserve">The government has provided no persuasive explanation as to how its top-down approach to higher education would translate into better outcomes. </w:t>
      </w:r>
    </w:p>
    <w:p w14:paraId="3285D0BD" w14:textId="52A5B767" w:rsidR="00D20E29" w:rsidRDefault="00D20E29" w:rsidP="0085793F"/>
    <w:p w14:paraId="77DACAE1" w14:textId="61BFF139" w:rsidR="00D20E29" w:rsidRDefault="00146F5E" w:rsidP="0085793F">
      <w:r>
        <w:t>ATEC’s objectives, objects and functions</w:t>
      </w:r>
    </w:p>
    <w:p w14:paraId="2CDD0AAB" w14:textId="0C67941B" w:rsidR="00A66AE6" w:rsidRDefault="00A66AE6" w:rsidP="00494644">
      <w:pPr>
        <w:pStyle w:val="ListParagraph"/>
        <w:numPr>
          <w:ilvl w:val="0"/>
          <w:numId w:val="27"/>
        </w:numPr>
        <w:ind w:left="714" w:hanging="357"/>
      </w:pPr>
      <w:r>
        <w:t xml:space="preserve">The bill includes high-level objectives applying to ATEC </w:t>
      </w:r>
      <w:r w:rsidR="00953776">
        <w:t>that are</w:t>
      </w:r>
      <w:r>
        <w:t xml:space="preserve"> too vague to be helpful </w:t>
      </w:r>
      <w:r w:rsidR="00953776">
        <w:t>and should be deleted</w:t>
      </w:r>
      <w:r>
        <w:t>.</w:t>
      </w:r>
    </w:p>
    <w:p w14:paraId="578DD806" w14:textId="084CA272" w:rsidR="00A66AE6" w:rsidRDefault="00A66AE6" w:rsidP="00494644">
      <w:pPr>
        <w:pStyle w:val="ListParagraph"/>
        <w:numPr>
          <w:ilvl w:val="0"/>
          <w:numId w:val="27"/>
        </w:numPr>
        <w:ind w:left="714" w:hanging="357"/>
      </w:pPr>
      <w:r>
        <w:t>The bill contains confusing duplications of advisory functions on costing and equity matters between sections 11 and 41; these should be tidied up.</w:t>
      </w:r>
    </w:p>
    <w:p w14:paraId="55FFFBCD" w14:textId="74FCAF32" w:rsidR="00A66AE6" w:rsidRDefault="00A66AE6" w:rsidP="00494644">
      <w:pPr>
        <w:pStyle w:val="ListParagraph"/>
        <w:numPr>
          <w:ilvl w:val="0"/>
          <w:numId w:val="27"/>
        </w:numPr>
        <w:ind w:left="714" w:hanging="357"/>
      </w:pPr>
      <w:r>
        <w:t>ATEC’s functions and advisory roles have significant omissions, including teaching quality and research</w:t>
      </w:r>
      <w:r w:rsidR="003B0EEC">
        <w:t>.</w:t>
      </w:r>
    </w:p>
    <w:p w14:paraId="17C4C28A" w14:textId="77777777" w:rsidR="00A66AE6" w:rsidRDefault="00A66AE6" w:rsidP="00A66AE6"/>
    <w:p w14:paraId="18524AF0" w14:textId="7F80E35D" w:rsidR="00A66AE6" w:rsidRDefault="00A66AE6" w:rsidP="00A66AE6">
      <w:r>
        <w:t>Threshold Standards</w:t>
      </w:r>
      <w:r w:rsidR="002878BD">
        <w:t xml:space="preserve"> </w:t>
      </w:r>
    </w:p>
    <w:p w14:paraId="1E7A5465" w14:textId="2A0ED27E" w:rsidR="00A66AE6" w:rsidRDefault="00A66AE6" w:rsidP="00A66AE6">
      <w:pPr>
        <w:pStyle w:val="ListParagraph"/>
        <w:numPr>
          <w:ilvl w:val="0"/>
          <w:numId w:val="27"/>
        </w:numPr>
      </w:pPr>
      <w:r>
        <w:t xml:space="preserve">ATEC would take over the functions of the current Higher Education Standards Panel (HESP) in advising on the TEQSA-enforced Threshold Standards that set minimum requirements for all higher education providers. </w:t>
      </w:r>
    </w:p>
    <w:p w14:paraId="3D5570CF" w14:textId="5B794C83" w:rsidR="00A66AE6" w:rsidRDefault="00A66AE6" w:rsidP="00A66AE6">
      <w:pPr>
        <w:pStyle w:val="ListParagraph"/>
        <w:numPr>
          <w:ilvl w:val="0"/>
          <w:numId w:val="27"/>
        </w:numPr>
      </w:pPr>
      <w:r>
        <w:t xml:space="preserve">Despite this, none of the ATEC commissioners are required to have any experience in developing quality standards. </w:t>
      </w:r>
    </w:p>
    <w:p w14:paraId="5BE9441B" w14:textId="265CC168" w:rsidR="00A66AE6" w:rsidRDefault="00A66AE6" w:rsidP="00A66AE6">
      <w:pPr>
        <w:pStyle w:val="ListParagraph"/>
        <w:numPr>
          <w:ilvl w:val="0"/>
          <w:numId w:val="27"/>
        </w:numPr>
      </w:pPr>
      <w:r>
        <w:t>It would be better to keep the HESP and put an ATEC commissioner on it, to promote regulatory and funding coherence.</w:t>
      </w:r>
    </w:p>
    <w:p w14:paraId="40279C47" w14:textId="584D77C8" w:rsidR="00A66AE6" w:rsidRDefault="00A66AE6" w:rsidP="00A66AE6">
      <w:pPr>
        <w:pStyle w:val="ListParagraph"/>
        <w:numPr>
          <w:ilvl w:val="0"/>
          <w:numId w:val="27"/>
        </w:numPr>
      </w:pPr>
      <w:r>
        <w:t xml:space="preserve">Failing that, an ATEC advisory committee on quality standards should be included in the legislation. </w:t>
      </w:r>
    </w:p>
    <w:p w14:paraId="05F265B9" w14:textId="77777777" w:rsidR="00D20E29" w:rsidRDefault="00D20E29" w:rsidP="0085793F"/>
    <w:p w14:paraId="6DD00B77" w14:textId="0652275A" w:rsidR="00494644" w:rsidRDefault="00494644" w:rsidP="0085793F">
      <w:r>
        <w:t>Mission based compacts</w:t>
      </w:r>
    </w:p>
    <w:p w14:paraId="360F862A" w14:textId="76DABC33" w:rsidR="00494644" w:rsidRDefault="00494644" w:rsidP="00494644">
      <w:pPr>
        <w:pStyle w:val="ListParagraph"/>
        <w:numPr>
          <w:ilvl w:val="0"/>
          <w:numId w:val="27"/>
        </w:numPr>
      </w:pPr>
      <w:r>
        <w:t>Mission based compacts appear to give ATEC very broad powers to implement government priorities in universities, bypassing the Parliament and undermining university autonomy.</w:t>
      </w:r>
    </w:p>
    <w:p w14:paraId="1222E35C" w14:textId="699D6071" w:rsidR="00494644" w:rsidRDefault="00494644" w:rsidP="00494644">
      <w:pPr>
        <w:pStyle w:val="ListParagraph"/>
        <w:numPr>
          <w:ilvl w:val="0"/>
          <w:numId w:val="27"/>
        </w:numPr>
      </w:pPr>
      <w:r>
        <w:t xml:space="preserve">Despite the bill’s references to university missions ATEC has no new powers or funds that could promote goals independent of government priorities. </w:t>
      </w:r>
    </w:p>
    <w:p w14:paraId="1EB09287" w14:textId="058D8A71" w:rsidR="00E33047" w:rsidRDefault="00494644" w:rsidP="00494644">
      <w:pPr>
        <w:pStyle w:val="ListParagraph"/>
        <w:numPr>
          <w:ilvl w:val="0"/>
          <w:numId w:val="27"/>
        </w:numPr>
      </w:pPr>
      <w:r>
        <w:t xml:space="preserve">Mission based compacts apply to public universities and most private universities. As private universities have more distinctive missions than public universities and only receive low amounts of public </w:t>
      </w:r>
      <w:proofErr w:type="gramStart"/>
      <w:r>
        <w:t>funding</w:t>
      </w:r>
      <w:proofErr w:type="gramEnd"/>
      <w:r>
        <w:t xml:space="preserve"> they should be exempt from the compact process. </w:t>
      </w:r>
    </w:p>
    <w:p w14:paraId="2204D0D1" w14:textId="77777777" w:rsidR="00E33047" w:rsidRDefault="00E33047">
      <w:r>
        <w:br w:type="page"/>
      </w:r>
    </w:p>
    <w:p w14:paraId="4530C01B" w14:textId="77777777" w:rsidR="00494644" w:rsidRDefault="00494644" w:rsidP="00494644"/>
    <w:p w14:paraId="7F375DAA" w14:textId="6762EE5E" w:rsidR="00494644" w:rsidRDefault="00494644" w:rsidP="00494644">
      <w:r>
        <w:t>International student caps</w:t>
      </w:r>
    </w:p>
    <w:p w14:paraId="3FC95F30" w14:textId="00DADFD8" w:rsidR="00494644" w:rsidRDefault="0039543A" w:rsidP="00494644">
      <w:pPr>
        <w:pStyle w:val="ListParagraph"/>
        <w:numPr>
          <w:ilvl w:val="0"/>
          <w:numId w:val="27"/>
        </w:numPr>
      </w:pPr>
      <w:r>
        <w:t xml:space="preserve">The bill </w:t>
      </w:r>
      <w:r w:rsidR="004A7794">
        <w:t xml:space="preserve">if passed would let ATEC </w:t>
      </w:r>
      <w:r>
        <w:t>cap international student commencing numbers</w:t>
      </w:r>
      <w:r w:rsidR="004A7794">
        <w:t xml:space="preserve"> at higher education providers</w:t>
      </w:r>
      <w:r>
        <w:t>.</w:t>
      </w:r>
    </w:p>
    <w:p w14:paraId="1152DA34" w14:textId="746FA59A" w:rsidR="0039543A" w:rsidRDefault="004A7794" w:rsidP="00494644">
      <w:pPr>
        <w:pStyle w:val="ListParagraph"/>
        <w:numPr>
          <w:ilvl w:val="0"/>
          <w:numId w:val="27"/>
        </w:numPr>
      </w:pPr>
      <w:r>
        <w:t xml:space="preserve">The explanatory memorandum foreshadows further legislation on caps. The current cap </w:t>
      </w:r>
      <w:r w:rsidR="0004141D">
        <w:t xml:space="preserve">provision </w:t>
      </w:r>
      <w:r>
        <w:t xml:space="preserve">should be withdrawn and debated with a full set of </w:t>
      </w:r>
      <w:r w:rsidR="0004141D">
        <w:t xml:space="preserve">cap-related </w:t>
      </w:r>
      <w:r>
        <w:t xml:space="preserve">amendments. </w:t>
      </w:r>
    </w:p>
    <w:p w14:paraId="361C6D6D" w14:textId="77777777" w:rsidR="004A7794" w:rsidRDefault="004A7794" w:rsidP="004A7794">
      <w:pPr>
        <w:pStyle w:val="ListParagraph"/>
        <w:ind w:left="720" w:firstLine="0"/>
      </w:pPr>
    </w:p>
    <w:p w14:paraId="143A50D9" w14:textId="5240E68C" w:rsidR="004A7794" w:rsidRDefault="004A7794" w:rsidP="004A7794">
      <w:pPr>
        <w:pStyle w:val="ListParagraph"/>
        <w:ind w:left="119" w:firstLine="0"/>
      </w:pPr>
      <w:r>
        <w:t xml:space="preserve">Funding rates and student contributions </w:t>
      </w:r>
    </w:p>
    <w:p w14:paraId="63564EE2" w14:textId="46B0C154" w:rsidR="004A7794" w:rsidRDefault="004A7794" w:rsidP="004A7794">
      <w:pPr>
        <w:pStyle w:val="ListParagraph"/>
        <w:numPr>
          <w:ilvl w:val="0"/>
          <w:numId w:val="27"/>
        </w:numPr>
      </w:pPr>
      <w:r>
        <w:t>Despite prior indications that ATEC would advise the government on student contribution reform the bill contains no direct power to do that. This should be fixed.</w:t>
      </w:r>
    </w:p>
    <w:p w14:paraId="7F5D6A8B" w14:textId="3C0B7C5F" w:rsidR="004A7794" w:rsidRDefault="004A7794" w:rsidP="004A7794">
      <w:pPr>
        <w:pStyle w:val="ListParagraph"/>
        <w:numPr>
          <w:ilvl w:val="0"/>
          <w:numId w:val="27"/>
        </w:numPr>
      </w:pPr>
      <w:r>
        <w:t>When costing student places, ATEC should include non-academic student costs.</w:t>
      </w:r>
    </w:p>
    <w:p w14:paraId="1D949F0F" w14:textId="7059173F" w:rsidR="004A7794" w:rsidRDefault="004A7794" w:rsidP="004A7794">
      <w:pPr>
        <w:pStyle w:val="ListParagraph"/>
        <w:numPr>
          <w:ilvl w:val="0"/>
          <w:numId w:val="27"/>
        </w:numPr>
      </w:pPr>
      <w:r>
        <w:t xml:space="preserve">Costing functions should include research-related costs. </w:t>
      </w:r>
    </w:p>
    <w:p w14:paraId="6CC5D645" w14:textId="77777777" w:rsidR="004A7794" w:rsidRDefault="004A7794" w:rsidP="004A7794"/>
    <w:p w14:paraId="70CD0CE7" w14:textId="6FF2D5F3" w:rsidR="004A7794" w:rsidRDefault="004A7794" w:rsidP="004A7794">
      <w:r>
        <w:t xml:space="preserve">ATEC commissioners </w:t>
      </w:r>
    </w:p>
    <w:p w14:paraId="69D89E15" w14:textId="71901B10" w:rsidR="004A7794" w:rsidRDefault="004A7794" w:rsidP="004A7794">
      <w:pPr>
        <w:pStyle w:val="ListParagraph"/>
        <w:numPr>
          <w:ilvl w:val="0"/>
          <w:numId w:val="27"/>
        </w:numPr>
      </w:pPr>
      <w:r>
        <w:t xml:space="preserve">ATEC commissioners are not required to have expertise in important areas: quality standards, university funding, or low SES equity students. </w:t>
      </w:r>
    </w:p>
    <w:p w14:paraId="699EC610" w14:textId="22F864E5" w:rsidR="004A7794" w:rsidRDefault="004A7794" w:rsidP="004A7794">
      <w:pPr>
        <w:pStyle w:val="ListParagraph"/>
        <w:numPr>
          <w:ilvl w:val="0"/>
          <w:numId w:val="27"/>
        </w:numPr>
      </w:pPr>
      <w:r>
        <w:t xml:space="preserve">All commissioners should be required to have expertise in higher education, when for two of the three commissioners it is enough to have vocational education expertise. </w:t>
      </w:r>
    </w:p>
    <w:p w14:paraId="68AD69CA" w14:textId="2008BB5F" w:rsidR="004A7794" w:rsidRDefault="004A7794" w:rsidP="004A7794">
      <w:pPr>
        <w:pStyle w:val="ListParagraph"/>
        <w:numPr>
          <w:ilvl w:val="0"/>
          <w:numId w:val="27"/>
        </w:numPr>
      </w:pPr>
      <w:r>
        <w:t xml:space="preserve">The number of commissioners should be increased from three to four, to reduce the risk of single commissioner decision-making and to broaden the commissioner expertise base. </w:t>
      </w:r>
    </w:p>
    <w:p w14:paraId="153C3519" w14:textId="0BA2044C" w:rsidR="004A7794" w:rsidRDefault="004A7794" w:rsidP="004A7794">
      <w:pPr>
        <w:pStyle w:val="ListParagraph"/>
        <w:ind w:left="720" w:firstLine="0"/>
      </w:pPr>
    </w:p>
    <w:p w14:paraId="59F2B453" w14:textId="05C261BA" w:rsidR="004A7794" w:rsidRDefault="004A7794" w:rsidP="004A7794">
      <w:r>
        <w:t>ATEC’s public and private advice</w:t>
      </w:r>
    </w:p>
    <w:p w14:paraId="10B947A4" w14:textId="1BF84642" w:rsidR="00E33047" w:rsidRDefault="00E33047" w:rsidP="00E33047">
      <w:pPr>
        <w:pStyle w:val="ListParagraph"/>
        <w:numPr>
          <w:ilvl w:val="0"/>
          <w:numId w:val="27"/>
        </w:numPr>
      </w:pPr>
      <w:r>
        <w:t xml:space="preserve">There are significant omissions in the topics ATEC can advise on, including research, teaching quality, and international education. </w:t>
      </w:r>
    </w:p>
    <w:p w14:paraId="4CC691DC" w14:textId="5EFDB329" w:rsidR="00E33047" w:rsidRDefault="00E33047" w:rsidP="00E33047">
      <w:pPr>
        <w:pStyle w:val="ListParagraph"/>
        <w:numPr>
          <w:ilvl w:val="0"/>
          <w:numId w:val="27"/>
        </w:numPr>
      </w:pPr>
      <w:r>
        <w:t xml:space="preserve">ATEC’s capacity to give advice could be limited </w:t>
      </w:r>
      <w:r w:rsidR="0004141D">
        <w:t xml:space="preserve">by </w:t>
      </w:r>
      <w:r>
        <w:t>the Department of Education</w:t>
      </w:r>
      <w:r w:rsidR="0004141D">
        <w:t>’s</w:t>
      </w:r>
      <w:r>
        <w:t xml:space="preserve"> control over </w:t>
      </w:r>
      <w:r w:rsidR="0004141D">
        <w:t>how many staff it has and who they are</w:t>
      </w:r>
      <w:r>
        <w:t xml:space="preserve">. </w:t>
      </w:r>
    </w:p>
    <w:p w14:paraId="7763C283" w14:textId="616FD944" w:rsidR="00E33047" w:rsidRDefault="00E33047" w:rsidP="00E33047">
      <w:pPr>
        <w:pStyle w:val="ListParagraph"/>
        <w:numPr>
          <w:ilvl w:val="0"/>
          <w:numId w:val="27"/>
        </w:numPr>
      </w:pPr>
      <w:r>
        <w:t xml:space="preserve">The bill is not clear on what ATEC can include in its State of the Tertiary Education System report. </w:t>
      </w:r>
    </w:p>
    <w:p w14:paraId="5DC86935" w14:textId="60426044" w:rsidR="00E33047" w:rsidRDefault="00E33047" w:rsidP="00E33047">
      <w:pPr>
        <w:pStyle w:val="ListParagraph"/>
        <w:numPr>
          <w:ilvl w:val="0"/>
          <w:numId w:val="27"/>
        </w:numPr>
      </w:pPr>
      <w:r>
        <w:t xml:space="preserve">Despite content issues, the State of the Tertiary Education System report is </w:t>
      </w:r>
      <w:r w:rsidR="0004141D">
        <w:t>a positive part of</w:t>
      </w:r>
      <w:r>
        <w:t xml:space="preserve"> this legislation. </w:t>
      </w:r>
    </w:p>
    <w:p w14:paraId="156FB5E8" w14:textId="77777777" w:rsidR="004A7794" w:rsidRDefault="004A7794" w:rsidP="004A7794">
      <w:pPr>
        <w:pStyle w:val="ListParagraph"/>
        <w:ind w:left="119" w:firstLine="0"/>
      </w:pPr>
    </w:p>
    <w:p w14:paraId="4237D8DF" w14:textId="63384211" w:rsidR="004267BD" w:rsidRDefault="004267BD" w:rsidP="00494644">
      <w:r>
        <w:br w:type="page"/>
      </w:r>
    </w:p>
    <w:p w14:paraId="1ED53F25" w14:textId="77777777" w:rsidR="004267BD" w:rsidRDefault="004267BD" w:rsidP="00CC1F7D">
      <w:pPr>
        <w:pStyle w:val="Heading1"/>
        <w:rPr>
          <w:rFonts w:ascii="Aptos" w:hAnsi="Aptos" w:cstheme="minorHAnsi"/>
          <w:color w:val="4F81BD" w:themeColor="accent1"/>
          <w:sz w:val="32"/>
          <w:szCs w:val="32"/>
        </w:rPr>
      </w:pPr>
    </w:p>
    <w:p w14:paraId="4AAA18D7" w14:textId="4A61A3C9" w:rsidR="00CC1F7D" w:rsidRDefault="00CC1F7D" w:rsidP="00CC1F7D">
      <w:pPr>
        <w:pStyle w:val="Heading1"/>
        <w:rPr>
          <w:rFonts w:ascii="Aptos" w:hAnsi="Aptos" w:cstheme="minorHAnsi"/>
          <w:color w:val="4F81BD" w:themeColor="accent1"/>
          <w:sz w:val="32"/>
          <w:szCs w:val="32"/>
        </w:rPr>
      </w:pPr>
      <w:bookmarkStart w:id="3" w:name="_Toc219380876"/>
      <w:r>
        <w:rPr>
          <w:rFonts w:ascii="Aptos" w:hAnsi="Aptos" w:cstheme="minorHAnsi"/>
          <w:color w:val="4F81BD" w:themeColor="accent1"/>
          <w:sz w:val="32"/>
          <w:szCs w:val="32"/>
        </w:rPr>
        <w:t>Summary of recommendations</w:t>
      </w:r>
      <w:bookmarkEnd w:id="3"/>
      <w:r>
        <w:rPr>
          <w:rFonts w:ascii="Aptos" w:hAnsi="Aptos" w:cstheme="minorHAnsi"/>
          <w:color w:val="4F81BD" w:themeColor="accent1"/>
          <w:sz w:val="32"/>
          <w:szCs w:val="32"/>
        </w:rPr>
        <w:t xml:space="preserve"> </w:t>
      </w:r>
    </w:p>
    <w:p w14:paraId="24F487B0" w14:textId="64ADA3F6" w:rsidR="00DF7CC0" w:rsidRDefault="00DF7CC0" w:rsidP="004911A3">
      <w:pPr>
        <w:pStyle w:val="Heading3"/>
      </w:pPr>
      <w:bookmarkStart w:id="4" w:name="2._Reasons_why_the_Job-Ready_Graduates_b"/>
      <w:bookmarkStart w:id="5" w:name="_Toc219380877"/>
      <w:bookmarkEnd w:id="4"/>
      <w:r>
        <w:t>Principal recommendation</w:t>
      </w:r>
      <w:bookmarkEnd w:id="5"/>
    </w:p>
    <w:p w14:paraId="74780548" w14:textId="5F4C087E" w:rsidR="00DF7CC0" w:rsidRPr="00DF7CC0" w:rsidRDefault="00DF7CC0" w:rsidP="00DF7CC0">
      <w:pPr>
        <w:pStyle w:val="ListParagraph"/>
        <w:numPr>
          <w:ilvl w:val="0"/>
          <w:numId w:val="34"/>
        </w:numPr>
      </w:pPr>
      <w:r>
        <w:t xml:space="preserve">Reject the ATEC bills. </w:t>
      </w:r>
    </w:p>
    <w:p w14:paraId="5F4AC733" w14:textId="0AC0E3EC" w:rsidR="004911A3" w:rsidRDefault="004911A3" w:rsidP="004911A3">
      <w:pPr>
        <w:pStyle w:val="Heading3"/>
      </w:pPr>
      <w:bookmarkStart w:id="6" w:name="_Toc219380878"/>
      <w:r>
        <w:t>Recommendations on ATEC functions and objectives</w:t>
      </w:r>
      <w:bookmarkEnd w:id="6"/>
      <w:r>
        <w:t xml:space="preserve"> </w:t>
      </w:r>
    </w:p>
    <w:p w14:paraId="087791FE" w14:textId="39C1DAB9" w:rsidR="004911A3" w:rsidRDefault="004911A3" w:rsidP="00DF7CC0">
      <w:pPr>
        <w:pStyle w:val="NormalWeb"/>
        <w:numPr>
          <w:ilvl w:val="0"/>
          <w:numId w:val="34"/>
        </w:numPr>
        <w:shd w:val="clear" w:color="auto" w:fill="FFFFFF"/>
        <w:spacing w:before="120" w:beforeAutospacing="0" w:after="384" w:afterAutospacing="0"/>
        <w:textAlignment w:val="baseline"/>
        <w:rPr>
          <w:rFonts w:ascii="Aptos" w:hAnsi="Aptos" w:cstheme="minorHAnsi"/>
          <w:color w:val="242424"/>
        </w:rPr>
      </w:pPr>
      <w:r>
        <w:rPr>
          <w:rFonts w:ascii="Aptos" w:hAnsi="Aptos" w:cstheme="minorHAnsi"/>
          <w:color w:val="242424"/>
        </w:rPr>
        <w:t xml:space="preserve">Delete section 13 as not providing ATEC and ATEC commissioners with practical guidance on how to exercise their powers. </w:t>
      </w:r>
    </w:p>
    <w:p w14:paraId="308E473B" w14:textId="3E89DD9E" w:rsidR="000D147F" w:rsidRDefault="000D147F" w:rsidP="00DF7CC0">
      <w:pPr>
        <w:pStyle w:val="NormalWeb"/>
        <w:numPr>
          <w:ilvl w:val="0"/>
          <w:numId w:val="34"/>
        </w:numPr>
        <w:shd w:val="clear" w:color="auto" w:fill="FFFFFF"/>
        <w:spacing w:before="120" w:beforeAutospacing="0" w:after="384" w:afterAutospacing="0"/>
        <w:textAlignment w:val="baseline"/>
        <w:rPr>
          <w:rFonts w:ascii="Aptos" w:hAnsi="Aptos" w:cstheme="minorHAnsi"/>
          <w:color w:val="242424"/>
        </w:rPr>
      </w:pPr>
      <w:r>
        <w:rPr>
          <w:rFonts w:ascii="Aptos" w:hAnsi="Aptos" w:cstheme="minorHAnsi"/>
          <w:color w:val="242424"/>
        </w:rPr>
        <w:t xml:space="preserve">Add an additional object such as ‘ensure the higher education system offers courses and conducts research in a wide range of fields, including the humanities and social sciences, creative arts and natural and physical </w:t>
      </w:r>
      <w:proofErr w:type="gramStart"/>
      <w:r>
        <w:rPr>
          <w:rFonts w:ascii="Aptos" w:hAnsi="Aptos" w:cstheme="minorHAnsi"/>
          <w:color w:val="242424"/>
        </w:rPr>
        <w:t>sciences’</w:t>
      </w:r>
      <w:proofErr w:type="gramEnd"/>
      <w:r>
        <w:rPr>
          <w:rFonts w:ascii="Aptos" w:hAnsi="Aptos" w:cstheme="minorHAnsi"/>
          <w:color w:val="242424"/>
        </w:rPr>
        <w:t>.</w:t>
      </w:r>
    </w:p>
    <w:p w14:paraId="1F384904" w14:textId="2B663D53" w:rsidR="004911A3" w:rsidRDefault="004911A3" w:rsidP="00DF7CC0">
      <w:pPr>
        <w:pStyle w:val="NormalWeb"/>
        <w:shd w:val="clear" w:color="auto" w:fill="FFFFFF"/>
        <w:spacing w:before="120" w:beforeAutospacing="0" w:after="384" w:afterAutospacing="0"/>
        <w:ind w:left="680"/>
        <w:textAlignment w:val="baseline"/>
        <w:rPr>
          <w:rFonts w:ascii="Aptos" w:hAnsi="Aptos" w:cstheme="minorHAnsi"/>
          <w:color w:val="242424"/>
        </w:rPr>
      </w:pPr>
      <w:r>
        <w:rPr>
          <w:rFonts w:ascii="Aptos" w:hAnsi="Aptos" w:cstheme="minorHAnsi"/>
          <w:color w:val="242424"/>
        </w:rPr>
        <w:t>These fields have been specifically noted on the assumption that the more vocational fields are already covered by section 3(1)(c).</w:t>
      </w:r>
    </w:p>
    <w:p w14:paraId="4561EDA0" w14:textId="38098A9F" w:rsidR="004911A3" w:rsidRDefault="004911A3" w:rsidP="00DF7CC0">
      <w:pPr>
        <w:pStyle w:val="ListParagraph"/>
        <w:numPr>
          <w:ilvl w:val="0"/>
          <w:numId w:val="34"/>
        </w:numPr>
        <w:spacing w:before="120"/>
      </w:pPr>
      <w:r>
        <w:t xml:space="preserve">Add section 11 (fa): Provide advice to the sector on teaching quality </w:t>
      </w:r>
    </w:p>
    <w:p w14:paraId="211A8C5F" w14:textId="1287E10C" w:rsidR="004911A3" w:rsidRDefault="004911A3" w:rsidP="00DF7CC0">
      <w:pPr>
        <w:spacing w:before="120"/>
        <w:ind w:hanging="357"/>
      </w:pPr>
    </w:p>
    <w:p w14:paraId="57634393" w14:textId="484D0CA0" w:rsidR="0004141D" w:rsidRDefault="00E736F8" w:rsidP="00DF7CC0">
      <w:pPr>
        <w:pStyle w:val="NormalWeb"/>
        <w:numPr>
          <w:ilvl w:val="0"/>
          <w:numId w:val="34"/>
        </w:numPr>
        <w:shd w:val="clear" w:color="auto" w:fill="FFFFFF"/>
        <w:spacing w:before="120" w:beforeAutospacing="0" w:after="0" w:afterAutospacing="0"/>
        <w:textAlignment w:val="baseline"/>
        <w:rPr>
          <w:rFonts w:ascii="Aptos" w:hAnsi="Aptos"/>
        </w:rPr>
      </w:pPr>
      <w:r>
        <w:rPr>
          <w:rFonts w:ascii="Aptos" w:hAnsi="Aptos"/>
        </w:rPr>
        <w:t xml:space="preserve">a) </w:t>
      </w:r>
      <w:r w:rsidR="004911A3" w:rsidRPr="0004141D">
        <w:rPr>
          <w:rFonts w:ascii="Aptos" w:hAnsi="Aptos"/>
        </w:rPr>
        <w:t>Add section 11(d)(iv): The funding of research and research training</w:t>
      </w:r>
    </w:p>
    <w:p w14:paraId="2311C1BA" w14:textId="77777777" w:rsidR="00DF7CC0" w:rsidRDefault="00DF7CC0" w:rsidP="00DF7CC0">
      <w:pPr>
        <w:pStyle w:val="ListParagraph"/>
        <w:rPr>
          <w:rFonts w:ascii="Aptos" w:hAnsi="Aptos"/>
        </w:rPr>
      </w:pPr>
    </w:p>
    <w:p w14:paraId="4664DFA0" w14:textId="2BF965C3" w:rsidR="0004141D" w:rsidRDefault="00E736F8" w:rsidP="00E736F8">
      <w:pPr>
        <w:pStyle w:val="NormalWeb"/>
        <w:shd w:val="clear" w:color="auto" w:fill="FFFFFF"/>
        <w:spacing w:before="120" w:beforeAutospacing="0"/>
        <w:ind w:left="786"/>
        <w:contextualSpacing/>
        <w:textAlignment w:val="baseline"/>
        <w:rPr>
          <w:rFonts w:ascii="Aptos" w:hAnsi="Aptos"/>
        </w:rPr>
      </w:pPr>
      <w:r>
        <w:rPr>
          <w:rFonts w:ascii="Aptos" w:hAnsi="Aptos"/>
        </w:rPr>
        <w:t xml:space="preserve">b) </w:t>
      </w:r>
      <w:r w:rsidR="004911A3" w:rsidRPr="0004141D">
        <w:rPr>
          <w:rFonts w:ascii="Aptos" w:hAnsi="Aptos"/>
        </w:rPr>
        <w:t>Add to section 41(1): The indirect costs of research grants, research training costs including stipends, and trends in research output and topics.</w:t>
      </w:r>
    </w:p>
    <w:p w14:paraId="53F2A6E1" w14:textId="77777777" w:rsidR="0004141D" w:rsidRPr="0004141D" w:rsidRDefault="0004141D" w:rsidP="00DF7CC0">
      <w:pPr>
        <w:pStyle w:val="NormalWeb"/>
        <w:shd w:val="clear" w:color="auto" w:fill="FFFFFF"/>
        <w:spacing w:before="120" w:beforeAutospacing="0"/>
        <w:ind w:left="782"/>
        <w:contextualSpacing/>
        <w:textAlignment w:val="baseline"/>
        <w:rPr>
          <w:rFonts w:ascii="Aptos" w:hAnsi="Aptos"/>
        </w:rPr>
      </w:pPr>
    </w:p>
    <w:p w14:paraId="3D75E2B3" w14:textId="5E363FC3" w:rsidR="004911A3" w:rsidRPr="0004141D" w:rsidRDefault="00714FD9" w:rsidP="00DF7CC0">
      <w:pPr>
        <w:pStyle w:val="ListParagraph"/>
        <w:numPr>
          <w:ilvl w:val="0"/>
          <w:numId w:val="34"/>
        </w:numPr>
        <w:spacing w:before="120"/>
        <w:contextualSpacing/>
        <w:rPr>
          <w:rFonts w:ascii="Aptos" w:hAnsi="Aptos"/>
        </w:rPr>
      </w:pPr>
      <w:r>
        <w:rPr>
          <w:rFonts w:ascii="Aptos" w:hAnsi="Aptos"/>
        </w:rPr>
        <w:t xml:space="preserve">a) </w:t>
      </w:r>
      <w:r w:rsidR="0004141D">
        <w:rPr>
          <w:rFonts w:ascii="Aptos" w:hAnsi="Aptos"/>
        </w:rPr>
        <w:t>A</w:t>
      </w:r>
      <w:r w:rsidR="004911A3" w:rsidRPr="0004141D">
        <w:rPr>
          <w:rFonts w:ascii="Aptos" w:hAnsi="Aptos"/>
        </w:rPr>
        <w:t>dd section 11(d)(v) student income support including scholarships and bursaries</w:t>
      </w:r>
    </w:p>
    <w:p w14:paraId="6E86C49E" w14:textId="77777777" w:rsidR="004911A3" w:rsidRDefault="004911A3" w:rsidP="00DF7CC0">
      <w:pPr>
        <w:spacing w:before="120"/>
        <w:contextualSpacing/>
        <w:rPr>
          <w:rFonts w:ascii="Aptos" w:hAnsi="Aptos"/>
        </w:rPr>
      </w:pPr>
    </w:p>
    <w:p w14:paraId="4331C833" w14:textId="3FE4FCE7" w:rsidR="004911A3" w:rsidRPr="0004141D" w:rsidRDefault="00714FD9" w:rsidP="00714FD9">
      <w:pPr>
        <w:pStyle w:val="ListParagraph"/>
        <w:spacing w:before="120"/>
        <w:ind w:left="720" w:firstLine="0"/>
        <w:contextualSpacing/>
        <w:rPr>
          <w:rFonts w:ascii="Aptos" w:hAnsi="Aptos"/>
          <w:i/>
          <w:iCs/>
        </w:rPr>
      </w:pPr>
      <w:r>
        <w:rPr>
          <w:rFonts w:ascii="Aptos" w:hAnsi="Aptos"/>
        </w:rPr>
        <w:t>b</w:t>
      </w:r>
      <w:r w:rsidR="0004141D">
        <w:rPr>
          <w:rFonts w:ascii="Aptos" w:hAnsi="Aptos"/>
        </w:rPr>
        <w:t xml:space="preserve">) </w:t>
      </w:r>
      <w:r w:rsidR="004911A3" w:rsidRPr="0004141D">
        <w:rPr>
          <w:rFonts w:ascii="Aptos" w:hAnsi="Aptos"/>
        </w:rPr>
        <w:t xml:space="preserve">Add to section 5 definitions: </w:t>
      </w:r>
      <w:r w:rsidR="004911A3" w:rsidRPr="0004141D">
        <w:rPr>
          <w:rFonts w:ascii="Aptos" w:hAnsi="Aptos"/>
          <w:b/>
          <w:bCs/>
        </w:rPr>
        <w:t>Social Services Minister</w:t>
      </w:r>
      <w:r w:rsidR="004911A3" w:rsidRPr="0004141D">
        <w:rPr>
          <w:rFonts w:ascii="Aptos" w:hAnsi="Aptos"/>
        </w:rPr>
        <w:t xml:space="preserve"> means the minister administering the </w:t>
      </w:r>
      <w:r w:rsidR="004911A3" w:rsidRPr="0004141D">
        <w:rPr>
          <w:rFonts w:ascii="Aptos" w:hAnsi="Aptos"/>
          <w:i/>
          <w:iCs/>
        </w:rPr>
        <w:t>Social Security Act 1991.</w:t>
      </w:r>
    </w:p>
    <w:p w14:paraId="67DA2E75" w14:textId="77777777" w:rsidR="004911A3" w:rsidRDefault="004911A3" w:rsidP="00DF7CC0">
      <w:pPr>
        <w:spacing w:before="120"/>
        <w:rPr>
          <w:rFonts w:ascii="Aptos" w:hAnsi="Aptos"/>
          <w:i/>
          <w:iCs/>
        </w:rPr>
      </w:pPr>
    </w:p>
    <w:p w14:paraId="383527DB" w14:textId="437AC010" w:rsidR="004911A3" w:rsidRDefault="00714FD9" w:rsidP="00DF7CC0">
      <w:pPr>
        <w:spacing w:before="120"/>
        <w:ind w:left="680"/>
        <w:rPr>
          <w:rFonts w:ascii="Aptos" w:hAnsi="Aptos"/>
        </w:rPr>
      </w:pPr>
      <w:r>
        <w:rPr>
          <w:rFonts w:ascii="Aptos" w:hAnsi="Aptos"/>
        </w:rPr>
        <w:t>c</w:t>
      </w:r>
      <w:r w:rsidR="0004141D">
        <w:rPr>
          <w:rFonts w:ascii="Aptos" w:hAnsi="Aptos"/>
        </w:rPr>
        <w:t xml:space="preserve">) </w:t>
      </w:r>
      <w:r w:rsidR="004911A3">
        <w:rPr>
          <w:rFonts w:ascii="Aptos" w:hAnsi="Aptos"/>
        </w:rPr>
        <w:t xml:space="preserve">Add section 15(2)(c) if the priorities relate to payments administered by the Social Services Minister – consult with the Social Services Minister. </w:t>
      </w:r>
    </w:p>
    <w:p w14:paraId="6A46BEDE" w14:textId="77777777" w:rsidR="004911A3" w:rsidRDefault="004911A3" w:rsidP="00DF7CC0">
      <w:pPr>
        <w:spacing w:before="120"/>
        <w:ind w:left="680"/>
        <w:rPr>
          <w:rFonts w:ascii="Aptos" w:hAnsi="Aptos"/>
        </w:rPr>
      </w:pPr>
    </w:p>
    <w:p w14:paraId="37154156" w14:textId="0E91F6B0" w:rsidR="004911A3" w:rsidRDefault="00714FD9" w:rsidP="00DF7CC0">
      <w:pPr>
        <w:spacing w:before="120"/>
        <w:ind w:left="680"/>
        <w:rPr>
          <w:rFonts w:ascii="Aptos" w:hAnsi="Aptos"/>
        </w:rPr>
      </w:pPr>
      <w:r>
        <w:rPr>
          <w:rFonts w:ascii="Aptos" w:hAnsi="Aptos"/>
        </w:rPr>
        <w:t>d</w:t>
      </w:r>
      <w:r w:rsidR="0004141D">
        <w:rPr>
          <w:rFonts w:ascii="Aptos" w:hAnsi="Aptos"/>
        </w:rPr>
        <w:t xml:space="preserve">) </w:t>
      </w:r>
      <w:r w:rsidR="004911A3">
        <w:rPr>
          <w:rFonts w:ascii="Aptos" w:hAnsi="Aptos"/>
        </w:rPr>
        <w:t xml:space="preserve">Consequential amendments to ATEC consultations may also be needed, sections 43-46. </w:t>
      </w:r>
    </w:p>
    <w:p w14:paraId="44E589D4" w14:textId="77777777" w:rsidR="00CB0FD1" w:rsidRDefault="00CB0FD1" w:rsidP="00DF7CC0">
      <w:pPr>
        <w:pStyle w:val="BodyText"/>
        <w:spacing w:before="120"/>
      </w:pPr>
    </w:p>
    <w:p w14:paraId="44D92563" w14:textId="238D1FF2" w:rsidR="00CB0FD1" w:rsidRDefault="0004141D" w:rsidP="00DF7CC0">
      <w:pPr>
        <w:pStyle w:val="BodyText"/>
        <w:numPr>
          <w:ilvl w:val="0"/>
          <w:numId w:val="34"/>
        </w:numPr>
        <w:spacing w:before="120"/>
      </w:pPr>
      <w:r>
        <w:t xml:space="preserve">a) </w:t>
      </w:r>
      <w:r w:rsidR="00CB0FD1">
        <w:t xml:space="preserve">It would be tidier for section 11 just to have a general advisory clause that cross-references section 41, rather than having duplicated or inconsistent functions. </w:t>
      </w:r>
    </w:p>
    <w:p w14:paraId="597C17D0" w14:textId="77777777" w:rsidR="00CB0FD1" w:rsidRDefault="00CB0FD1" w:rsidP="00DF7CC0">
      <w:pPr>
        <w:pStyle w:val="BodyText"/>
        <w:spacing w:before="120"/>
      </w:pPr>
    </w:p>
    <w:p w14:paraId="0B32C1BD" w14:textId="7BB718E0" w:rsidR="00CB0FD1" w:rsidRDefault="0004141D" w:rsidP="00DF7CC0">
      <w:pPr>
        <w:pStyle w:val="BodyText"/>
        <w:spacing w:before="120" w:after="240"/>
        <w:ind w:left="680"/>
      </w:pPr>
      <w:r>
        <w:lastRenderedPageBreak/>
        <w:t xml:space="preserve">b) </w:t>
      </w:r>
      <w:r w:rsidR="00CB0FD1">
        <w:t xml:space="preserve">The government should decide what costing and funding advice it wants and state it in section 41. </w:t>
      </w:r>
    </w:p>
    <w:p w14:paraId="2A8E1DC8" w14:textId="7BA285E6" w:rsidR="00CB0FD1" w:rsidRDefault="0004141D" w:rsidP="00DF7CC0">
      <w:pPr>
        <w:pStyle w:val="BodyText"/>
        <w:spacing w:before="120"/>
        <w:ind w:left="680"/>
        <w:rPr>
          <w:rFonts w:ascii="Aptos" w:hAnsi="Aptos"/>
        </w:rPr>
      </w:pPr>
      <w:r>
        <w:t xml:space="preserve">c) </w:t>
      </w:r>
      <w:r w:rsidR="00CB0FD1">
        <w:t>Advice on ‘opportunities to streamline the regulation of higher education providers’ in section 11(d)(iii) should be moved to section 41.</w:t>
      </w:r>
    </w:p>
    <w:p w14:paraId="79EC9BB3" w14:textId="051E2CA6" w:rsidR="004911A3" w:rsidRDefault="004911A3" w:rsidP="00DF7CC0">
      <w:pPr>
        <w:spacing w:before="120"/>
        <w:rPr>
          <w:rFonts w:ascii="Aptos" w:hAnsi="Aptos"/>
        </w:rPr>
      </w:pPr>
    </w:p>
    <w:p w14:paraId="01D1363F" w14:textId="6A9A7BAE" w:rsidR="004911A3" w:rsidRDefault="004911A3" w:rsidP="004911A3">
      <w:pPr>
        <w:pStyle w:val="Heading3"/>
      </w:pPr>
      <w:bookmarkStart w:id="7" w:name="_Toc219380879"/>
      <w:r>
        <w:t>Recommendations on setting the Threshold Standards</w:t>
      </w:r>
      <w:bookmarkEnd w:id="7"/>
    </w:p>
    <w:p w14:paraId="77097AF3" w14:textId="1406E37C" w:rsidR="004911A3" w:rsidRPr="0004141D" w:rsidRDefault="004C48DF" w:rsidP="00DF7CC0">
      <w:pPr>
        <w:pStyle w:val="ListParagraph"/>
        <w:numPr>
          <w:ilvl w:val="0"/>
          <w:numId w:val="34"/>
        </w:numPr>
        <w:rPr>
          <w:rFonts w:ascii="Aptos" w:hAnsi="Aptos"/>
        </w:rPr>
      </w:pPr>
      <w:r>
        <w:rPr>
          <w:rFonts w:ascii="Aptos" w:hAnsi="Aptos"/>
        </w:rPr>
        <w:t xml:space="preserve">a) </w:t>
      </w:r>
      <w:r w:rsidR="004911A3" w:rsidRPr="0004141D">
        <w:rPr>
          <w:rFonts w:ascii="Aptos" w:hAnsi="Aptos"/>
        </w:rPr>
        <w:t>Amend section 167 of the TEQSA Act 2011 to read, with changes in bold and strikethrough:</w:t>
      </w:r>
    </w:p>
    <w:p w14:paraId="41BEB30A" w14:textId="77777777" w:rsidR="004911A3" w:rsidRDefault="004911A3" w:rsidP="004911A3">
      <w:pPr>
        <w:rPr>
          <w:rFonts w:ascii="Aptos" w:hAnsi="Aptos"/>
        </w:rPr>
      </w:pPr>
    </w:p>
    <w:p w14:paraId="4BE75CBA" w14:textId="77777777" w:rsidR="004911A3" w:rsidRDefault="004911A3" w:rsidP="004911A3">
      <w:pPr>
        <w:pStyle w:val="ListParagraph"/>
        <w:numPr>
          <w:ilvl w:val="0"/>
          <w:numId w:val="25"/>
        </w:numPr>
        <w:rPr>
          <w:rFonts w:ascii="Aptos" w:hAnsi="Aptos"/>
        </w:rPr>
      </w:pPr>
      <w:r>
        <w:rPr>
          <w:rFonts w:ascii="Aptos" w:hAnsi="Aptos"/>
        </w:rPr>
        <w:t>The Panel consists of:</w:t>
      </w:r>
    </w:p>
    <w:p w14:paraId="05DD1A19" w14:textId="77777777" w:rsidR="004911A3" w:rsidRDefault="004911A3" w:rsidP="004911A3">
      <w:pPr>
        <w:pStyle w:val="ListParagraph"/>
        <w:numPr>
          <w:ilvl w:val="0"/>
          <w:numId w:val="26"/>
        </w:numPr>
        <w:rPr>
          <w:rFonts w:ascii="Aptos" w:hAnsi="Aptos"/>
        </w:rPr>
      </w:pPr>
      <w:r>
        <w:rPr>
          <w:rFonts w:ascii="Aptos" w:hAnsi="Aptos"/>
        </w:rPr>
        <w:t>A Panel Chair; and</w:t>
      </w:r>
    </w:p>
    <w:p w14:paraId="0E3EF259" w14:textId="77777777" w:rsidR="004911A3" w:rsidRDefault="004911A3" w:rsidP="004911A3">
      <w:pPr>
        <w:pStyle w:val="ListParagraph"/>
        <w:numPr>
          <w:ilvl w:val="0"/>
          <w:numId w:val="26"/>
        </w:numPr>
        <w:rPr>
          <w:rFonts w:ascii="Aptos" w:hAnsi="Aptos"/>
        </w:rPr>
      </w:pPr>
      <w:r>
        <w:rPr>
          <w:rFonts w:ascii="Aptos" w:hAnsi="Aptos"/>
        </w:rPr>
        <w:t xml:space="preserve">A </w:t>
      </w:r>
      <w:r w:rsidRPr="00D34D20">
        <w:rPr>
          <w:rFonts w:ascii="Aptos" w:hAnsi="Aptos"/>
          <w:b/>
          <w:bCs/>
        </w:rPr>
        <w:t xml:space="preserve">member </w:t>
      </w:r>
      <w:r>
        <w:rPr>
          <w:rFonts w:ascii="Aptos" w:hAnsi="Aptos"/>
          <w:b/>
          <w:bCs/>
        </w:rPr>
        <w:t>who is a Commissioner of</w:t>
      </w:r>
      <w:r w:rsidRPr="00D34D20">
        <w:rPr>
          <w:rFonts w:ascii="Aptos" w:hAnsi="Aptos"/>
          <w:b/>
          <w:bCs/>
        </w:rPr>
        <w:t xml:space="preserve"> the Australian Tertiary Education Commission</w:t>
      </w:r>
      <w:r>
        <w:rPr>
          <w:rFonts w:ascii="Aptos" w:hAnsi="Aptos"/>
        </w:rPr>
        <w:t>; and</w:t>
      </w:r>
    </w:p>
    <w:p w14:paraId="1FE3FBD4" w14:textId="77777777" w:rsidR="004911A3" w:rsidRDefault="004911A3" w:rsidP="004911A3">
      <w:pPr>
        <w:pStyle w:val="ListParagraph"/>
        <w:numPr>
          <w:ilvl w:val="0"/>
          <w:numId w:val="26"/>
        </w:numPr>
        <w:rPr>
          <w:rFonts w:ascii="Aptos" w:hAnsi="Aptos"/>
        </w:rPr>
      </w:pPr>
      <w:r>
        <w:rPr>
          <w:rFonts w:ascii="Aptos" w:hAnsi="Aptos"/>
        </w:rPr>
        <w:t xml:space="preserve">At least </w:t>
      </w:r>
      <w:r w:rsidRPr="00D34D20">
        <w:rPr>
          <w:rFonts w:ascii="Aptos" w:hAnsi="Aptos"/>
          <w:strike/>
        </w:rPr>
        <w:t>fou</w:t>
      </w:r>
      <w:r>
        <w:rPr>
          <w:rFonts w:ascii="Aptos" w:hAnsi="Aptos"/>
          <w:strike/>
        </w:rPr>
        <w:t xml:space="preserve">r </w:t>
      </w:r>
      <w:r w:rsidRPr="00D34D20">
        <w:rPr>
          <w:rFonts w:ascii="Aptos" w:hAnsi="Aptos"/>
          <w:b/>
          <w:bCs/>
        </w:rPr>
        <w:t>three,</w:t>
      </w:r>
      <w:r>
        <w:rPr>
          <w:rFonts w:ascii="Aptos" w:hAnsi="Aptos"/>
        </w:rPr>
        <w:t xml:space="preserve"> and up to </w:t>
      </w:r>
      <w:r w:rsidRPr="00D34D20">
        <w:rPr>
          <w:rFonts w:ascii="Aptos" w:hAnsi="Aptos"/>
          <w:strike/>
        </w:rPr>
        <w:t>ten</w:t>
      </w:r>
      <w:r>
        <w:rPr>
          <w:rFonts w:ascii="Aptos" w:hAnsi="Aptos"/>
        </w:rPr>
        <w:t xml:space="preserve"> </w:t>
      </w:r>
      <w:r w:rsidRPr="00D34D20">
        <w:rPr>
          <w:rFonts w:ascii="Aptos" w:hAnsi="Aptos"/>
          <w:b/>
          <w:bCs/>
        </w:rPr>
        <w:t>nine</w:t>
      </w:r>
      <w:r>
        <w:rPr>
          <w:rFonts w:ascii="Aptos" w:hAnsi="Aptos"/>
        </w:rPr>
        <w:t xml:space="preserve"> other members. </w:t>
      </w:r>
    </w:p>
    <w:p w14:paraId="0840B009" w14:textId="77777777" w:rsidR="004911A3" w:rsidRDefault="004911A3" w:rsidP="004911A3">
      <w:pPr>
        <w:rPr>
          <w:rFonts w:ascii="Aptos" w:hAnsi="Aptos"/>
        </w:rPr>
      </w:pPr>
    </w:p>
    <w:p w14:paraId="0C4B7205" w14:textId="2F61B571" w:rsidR="004911A3" w:rsidRDefault="004C48DF" w:rsidP="0004141D">
      <w:pPr>
        <w:ind w:left="680"/>
        <w:rPr>
          <w:rStyle w:val="Emphasis"/>
          <w:i w:val="0"/>
          <w:iCs w:val="0"/>
        </w:rPr>
      </w:pPr>
      <w:r>
        <w:rPr>
          <w:rFonts w:ascii="Aptos" w:hAnsi="Aptos"/>
        </w:rPr>
        <w:t xml:space="preserve">b)  </w:t>
      </w:r>
      <w:r w:rsidR="004911A3">
        <w:rPr>
          <w:rFonts w:ascii="Aptos" w:hAnsi="Aptos"/>
        </w:rPr>
        <w:t xml:space="preserve">Remove from the </w:t>
      </w:r>
      <w:r w:rsidR="004911A3">
        <w:rPr>
          <w:rStyle w:val="Emphasis"/>
        </w:rPr>
        <w:t xml:space="preserve">Universities Accord (Australian Tertiary Education Commission) (Consequential and Transitional Provisions) Bill 2025 </w:t>
      </w:r>
      <w:r w:rsidR="004911A3">
        <w:rPr>
          <w:rStyle w:val="Emphasis"/>
          <w:i w:val="0"/>
          <w:iCs w:val="0"/>
        </w:rPr>
        <w:t>all current amendments under ‘</w:t>
      </w:r>
      <w:r w:rsidR="004911A3" w:rsidRPr="007C3A64">
        <w:rPr>
          <w:rStyle w:val="Emphasis"/>
        </w:rPr>
        <w:t>Tertiary Education Quality and Standards Agency Act 2011’</w:t>
      </w:r>
      <w:r w:rsidR="004911A3">
        <w:rPr>
          <w:rStyle w:val="Emphasis"/>
          <w:i w:val="0"/>
          <w:iCs w:val="0"/>
        </w:rPr>
        <w:t xml:space="preserve">. </w:t>
      </w:r>
    </w:p>
    <w:p w14:paraId="7DA3B84A" w14:textId="77777777" w:rsidR="00E92771" w:rsidRDefault="00E92771" w:rsidP="0004141D">
      <w:pPr>
        <w:ind w:left="680"/>
        <w:rPr>
          <w:rStyle w:val="Emphasis"/>
          <w:i w:val="0"/>
          <w:iCs w:val="0"/>
        </w:rPr>
      </w:pPr>
    </w:p>
    <w:p w14:paraId="335E3976" w14:textId="097AD270" w:rsidR="00E92771" w:rsidRDefault="004C48DF" w:rsidP="0004141D">
      <w:pPr>
        <w:ind w:left="680"/>
        <w:rPr>
          <w:rStyle w:val="Emphasis"/>
          <w:i w:val="0"/>
          <w:iCs w:val="0"/>
        </w:rPr>
      </w:pPr>
      <w:r>
        <w:rPr>
          <w:rStyle w:val="Emphasis"/>
          <w:i w:val="0"/>
          <w:iCs w:val="0"/>
        </w:rPr>
        <w:t xml:space="preserve">c) </w:t>
      </w:r>
      <w:r w:rsidR="00E92771">
        <w:rPr>
          <w:rStyle w:val="Emphasis"/>
          <w:i w:val="0"/>
          <w:iCs w:val="0"/>
        </w:rPr>
        <w:t xml:space="preserve">In Part 5, Division 3 of the </w:t>
      </w:r>
      <w:r w:rsidR="00E92771" w:rsidRPr="00E8311D">
        <w:rPr>
          <w:rStyle w:val="Emphasis"/>
          <w:rFonts w:ascii="Aptos" w:hAnsi="Aptos"/>
        </w:rPr>
        <w:t>Universities Accord (Australian Tertiary Education Commission) Bill 2025</w:t>
      </w:r>
      <w:r w:rsidR="00E92771">
        <w:rPr>
          <w:rStyle w:val="Emphasis"/>
          <w:rFonts w:ascii="Aptos" w:hAnsi="Aptos"/>
          <w:i w:val="0"/>
          <w:iCs w:val="0"/>
        </w:rPr>
        <w:t xml:space="preserve"> add provisions for the commissioners to appoint one of their number to the Higher Education Standards Panel.</w:t>
      </w:r>
    </w:p>
    <w:p w14:paraId="6DB91597" w14:textId="77777777" w:rsidR="004911A3" w:rsidRDefault="004911A3" w:rsidP="004911A3">
      <w:pPr>
        <w:rPr>
          <w:rFonts w:ascii="Aptos" w:hAnsi="Aptos" w:cstheme="minorHAnsi"/>
          <w:color w:val="242424"/>
        </w:rPr>
      </w:pPr>
    </w:p>
    <w:p w14:paraId="13E403F2" w14:textId="77777777" w:rsidR="004911A3" w:rsidRDefault="004911A3" w:rsidP="004911A3">
      <w:pPr>
        <w:pStyle w:val="Heading3"/>
      </w:pPr>
      <w:bookmarkStart w:id="8" w:name="_Toc219380880"/>
      <w:r>
        <w:t xml:space="preserve">Recommendations on </w:t>
      </w:r>
      <w:proofErr w:type="gramStart"/>
      <w:r>
        <w:t>mission based</w:t>
      </w:r>
      <w:proofErr w:type="gramEnd"/>
      <w:r>
        <w:t xml:space="preserve"> compacts</w:t>
      </w:r>
      <w:bookmarkEnd w:id="8"/>
      <w:r>
        <w:t xml:space="preserve"> </w:t>
      </w:r>
    </w:p>
    <w:p w14:paraId="030AF92A" w14:textId="617BBC1E" w:rsidR="00714FD9" w:rsidRDefault="00337E1D" w:rsidP="00223B70">
      <w:pPr>
        <w:pStyle w:val="NormalWeb"/>
        <w:numPr>
          <w:ilvl w:val="0"/>
          <w:numId w:val="34"/>
        </w:numPr>
        <w:spacing w:after="0" w:afterAutospacing="0"/>
        <w:ind w:left="720"/>
        <w:rPr>
          <w:rFonts w:ascii="Aptos" w:hAnsi="Aptos"/>
        </w:rPr>
      </w:pPr>
      <w:r w:rsidRPr="00714FD9">
        <w:rPr>
          <w:rFonts w:ascii="Aptos" w:hAnsi="Aptos"/>
        </w:rPr>
        <w:t xml:space="preserve">A constitutional lawyer should be asked to give evidence on what limits the Constitution imposes on ATEC. </w:t>
      </w:r>
    </w:p>
    <w:p w14:paraId="62ECAEC7" w14:textId="77777777" w:rsidR="00714FD9" w:rsidRPr="00714FD9" w:rsidRDefault="00714FD9" w:rsidP="00714FD9">
      <w:pPr>
        <w:pStyle w:val="NormalWeb"/>
        <w:spacing w:before="0" w:beforeAutospacing="0" w:after="0" w:afterAutospacing="0"/>
        <w:ind w:left="720"/>
        <w:rPr>
          <w:rFonts w:ascii="Aptos" w:hAnsi="Aptos"/>
        </w:rPr>
      </w:pPr>
    </w:p>
    <w:p w14:paraId="5C5D23F1" w14:textId="416D7FB7" w:rsidR="00F0677E" w:rsidRDefault="00DF7CC0" w:rsidP="00714FD9">
      <w:pPr>
        <w:pStyle w:val="NormalWeb"/>
        <w:numPr>
          <w:ilvl w:val="0"/>
          <w:numId w:val="34"/>
        </w:numPr>
        <w:spacing w:before="0" w:beforeAutospacing="0" w:after="0" w:afterAutospacing="0"/>
        <w:rPr>
          <w:rFonts w:ascii="Aptos" w:hAnsi="Aptos"/>
        </w:rPr>
      </w:pPr>
      <w:r>
        <w:rPr>
          <w:rFonts w:ascii="Aptos" w:hAnsi="Aptos"/>
        </w:rPr>
        <w:t xml:space="preserve"> </w:t>
      </w:r>
      <w:r w:rsidR="00F0677E">
        <w:rPr>
          <w:rFonts w:ascii="Aptos" w:hAnsi="Aptos"/>
        </w:rPr>
        <w:t>The Parliament should retain broad control by including a list of subjects that can</w:t>
      </w:r>
    </w:p>
    <w:p w14:paraId="7C38B787" w14:textId="77777777" w:rsidR="00F0677E" w:rsidRDefault="00F0677E" w:rsidP="00DF7CC0">
      <w:pPr>
        <w:pStyle w:val="NormalWeb"/>
        <w:numPr>
          <w:ilvl w:val="0"/>
          <w:numId w:val="28"/>
        </w:numPr>
        <w:spacing w:after="0" w:afterAutospacing="0"/>
        <w:ind w:left="1037" w:hanging="357"/>
        <w:rPr>
          <w:rFonts w:ascii="Aptos" w:hAnsi="Aptos"/>
        </w:rPr>
      </w:pPr>
      <w:r>
        <w:rPr>
          <w:rFonts w:ascii="Aptos" w:hAnsi="Aptos"/>
        </w:rPr>
        <w:t>be the subject of the minister’s section 15 statement of strategic priorities, and</w:t>
      </w:r>
    </w:p>
    <w:p w14:paraId="26E5B439" w14:textId="77777777" w:rsidR="00F0677E" w:rsidRDefault="00F0677E" w:rsidP="00DF7CC0">
      <w:pPr>
        <w:pStyle w:val="NormalWeb"/>
        <w:numPr>
          <w:ilvl w:val="0"/>
          <w:numId w:val="28"/>
        </w:numPr>
        <w:spacing w:after="0" w:afterAutospacing="0"/>
        <w:ind w:left="1037" w:hanging="357"/>
        <w:rPr>
          <w:rFonts w:ascii="Aptos" w:hAnsi="Aptos"/>
        </w:rPr>
      </w:pPr>
      <w:r>
        <w:rPr>
          <w:rFonts w:ascii="Aptos" w:hAnsi="Aptos"/>
        </w:rPr>
        <w:t xml:space="preserve">be the subject of ATEC’s section 43 statement of strategic priorities. </w:t>
      </w:r>
    </w:p>
    <w:p w14:paraId="5E16F8F2" w14:textId="6DEB32EA" w:rsidR="00DF7CC0" w:rsidRDefault="004911A3" w:rsidP="0080281E">
      <w:pPr>
        <w:pStyle w:val="NormalWeb"/>
        <w:numPr>
          <w:ilvl w:val="0"/>
          <w:numId w:val="34"/>
        </w:numPr>
        <w:spacing w:after="0" w:afterAutospacing="0"/>
        <w:ind w:left="720"/>
        <w:rPr>
          <w:rFonts w:ascii="Aptos" w:hAnsi="Aptos"/>
        </w:rPr>
      </w:pPr>
      <w:r w:rsidRPr="00DF7CC0">
        <w:rPr>
          <w:rFonts w:ascii="Aptos" w:hAnsi="Aptos"/>
        </w:rPr>
        <w:t>ATEC should be prevented from adding</w:t>
      </w:r>
      <w:r w:rsidR="00693598" w:rsidRPr="00DF7CC0">
        <w:rPr>
          <w:rFonts w:ascii="Aptos" w:hAnsi="Aptos"/>
        </w:rPr>
        <w:t xml:space="preserve"> compact</w:t>
      </w:r>
      <w:r w:rsidRPr="00DF7CC0">
        <w:rPr>
          <w:rFonts w:ascii="Aptos" w:hAnsi="Aptos"/>
        </w:rPr>
        <w:t xml:space="preserve"> conditions of a specified nature, such as those that already apply in other higher education legislation. </w:t>
      </w:r>
    </w:p>
    <w:p w14:paraId="730D2088" w14:textId="77777777" w:rsidR="00714FD9" w:rsidRPr="00DF7CC0" w:rsidRDefault="00714FD9" w:rsidP="00714FD9">
      <w:pPr>
        <w:pStyle w:val="NormalWeb"/>
        <w:spacing w:before="0" w:beforeAutospacing="0" w:after="0" w:afterAutospacing="0"/>
        <w:ind w:left="720"/>
        <w:rPr>
          <w:rFonts w:ascii="Aptos" w:hAnsi="Aptos"/>
        </w:rPr>
      </w:pPr>
    </w:p>
    <w:p w14:paraId="563F19B0" w14:textId="3470DCBA" w:rsidR="004911A3" w:rsidRDefault="00714FD9" w:rsidP="00DF7CC0">
      <w:pPr>
        <w:pStyle w:val="NormalWeb"/>
        <w:numPr>
          <w:ilvl w:val="0"/>
          <w:numId w:val="34"/>
        </w:numPr>
        <w:spacing w:after="0" w:afterAutospacing="0"/>
        <w:rPr>
          <w:rStyle w:val="Emphasis"/>
          <w:rFonts w:ascii="Aptos" w:hAnsi="Aptos"/>
          <w:i w:val="0"/>
          <w:iCs w:val="0"/>
        </w:rPr>
      </w:pPr>
      <w:r>
        <w:rPr>
          <w:rFonts w:ascii="Aptos" w:hAnsi="Aptos"/>
        </w:rPr>
        <w:t xml:space="preserve"> </w:t>
      </w:r>
      <w:r w:rsidR="004911A3">
        <w:rPr>
          <w:rFonts w:ascii="Aptos" w:hAnsi="Aptos"/>
        </w:rPr>
        <w:t xml:space="preserve">Mission based compacts apply to Table A universities only. This would require an amendment to </w:t>
      </w:r>
      <w:r w:rsidR="004911A3">
        <w:rPr>
          <w:rStyle w:val="Emphasis"/>
          <w:rFonts w:ascii="Aptos" w:hAnsi="Aptos"/>
          <w:i w:val="0"/>
          <w:iCs w:val="0"/>
        </w:rPr>
        <w:t xml:space="preserve">section 19-110 in schedule 1, item 1 in the </w:t>
      </w:r>
      <w:r w:rsidR="004911A3" w:rsidRPr="003D2549">
        <w:rPr>
          <w:rStyle w:val="Emphasis"/>
          <w:rFonts w:ascii="Aptos" w:hAnsi="Aptos"/>
        </w:rPr>
        <w:t>Universities Accord (Australian Tertiary Education Commission) (Consequential and Transitional Provisions) Bill 2025.</w:t>
      </w:r>
      <w:r w:rsidR="004911A3">
        <w:rPr>
          <w:rStyle w:val="Emphasis"/>
          <w:rFonts w:ascii="Aptos" w:hAnsi="Aptos"/>
          <w:i w:val="0"/>
          <w:iCs w:val="0"/>
        </w:rPr>
        <w:t xml:space="preserve"> </w:t>
      </w:r>
    </w:p>
    <w:p w14:paraId="234D4E06" w14:textId="77777777" w:rsidR="00FB35FD" w:rsidRDefault="00FB35FD" w:rsidP="00FB35FD">
      <w:pPr>
        <w:pStyle w:val="ListParagraph"/>
        <w:rPr>
          <w:rStyle w:val="Emphasis"/>
          <w:rFonts w:ascii="Aptos" w:hAnsi="Aptos"/>
          <w:i w:val="0"/>
          <w:iCs w:val="0"/>
        </w:rPr>
      </w:pPr>
    </w:p>
    <w:p w14:paraId="3870572E" w14:textId="7AB48CF6" w:rsidR="0045714F" w:rsidRDefault="0045714F" w:rsidP="00FB35FD">
      <w:pPr>
        <w:pStyle w:val="ListParagraph"/>
        <w:numPr>
          <w:ilvl w:val="0"/>
          <w:numId w:val="34"/>
        </w:numPr>
      </w:pPr>
      <w:r>
        <w:t xml:space="preserve">Table B universities continue to receive funds from the Commonwealth Grant Scheme and rule-driven programs according to their criteria. </w:t>
      </w:r>
    </w:p>
    <w:p w14:paraId="19A26A4A" w14:textId="77777777" w:rsidR="0045714F" w:rsidRDefault="0045714F" w:rsidP="00DF7CC0"/>
    <w:p w14:paraId="3278AF64" w14:textId="211186E2" w:rsidR="004911A3" w:rsidRDefault="004911A3" w:rsidP="004911A3">
      <w:pPr>
        <w:pStyle w:val="Heading3"/>
      </w:pPr>
      <w:bookmarkStart w:id="9" w:name="_Toc219380881"/>
      <w:r>
        <w:lastRenderedPageBreak/>
        <w:t>Recommendation on international education</w:t>
      </w:r>
      <w:bookmarkEnd w:id="9"/>
    </w:p>
    <w:p w14:paraId="5AED5263" w14:textId="2D27AB00" w:rsidR="004911A3" w:rsidRDefault="004911A3" w:rsidP="00FB35FD">
      <w:pPr>
        <w:pStyle w:val="BodyText"/>
        <w:numPr>
          <w:ilvl w:val="0"/>
          <w:numId w:val="34"/>
        </w:numPr>
        <w:rPr>
          <w:rFonts w:ascii="Aptos" w:hAnsi="Aptos" w:cstheme="minorHAnsi"/>
          <w:color w:val="242424"/>
          <w:szCs w:val="24"/>
        </w:rPr>
      </w:pPr>
      <w:r>
        <w:rPr>
          <w:rFonts w:ascii="Aptos" w:hAnsi="Aptos"/>
        </w:rPr>
        <w:t xml:space="preserve">Remove section 11(h) from the </w:t>
      </w:r>
      <w:r w:rsidRPr="003477B6">
        <w:rPr>
          <w:rFonts w:ascii="Aptos" w:hAnsi="Aptos" w:cstheme="minorHAnsi"/>
          <w:i/>
          <w:iCs/>
          <w:color w:val="242424"/>
          <w:szCs w:val="24"/>
        </w:rPr>
        <w:t>Universities Accord (Australian Tertiary Education Commission) Bill 2025</w:t>
      </w:r>
      <w:r>
        <w:rPr>
          <w:rFonts w:ascii="Aptos" w:hAnsi="Aptos" w:cstheme="minorHAnsi"/>
          <w:i/>
          <w:iCs/>
          <w:color w:val="242424"/>
          <w:szCs w:val="24"/>
        </w:rPr>
        <w:t xml:space="preserve">. </w:t>
      </w:r>
    </w:p>
    <w:p w14:paraId="6A2D173A" w14:textId="77777777" w:rsidR="004911A3" w:rsidRDefault="004911A3" w:rsidP="004911A3">
      <w:pPr>
        <w:pStyle w:val="BodyText"/>
      </w:pPr>
    </w:p>
    <w:p w14:paraId="18B0D1C8" w14:textId="77777777" w:rsidR="004911A3" w:rsidRDefault="004911A3" w:rsidP="004911A3">
      <w:pPr>
        <w:pStyle w:val="Heading3"/>
      </w:pPr>
      <w:bookmarkStart w:id="10" w:name="_Toc219380882"/>
      <w:r>
        <w:t>Recommendations on funding rates and student contributions</w:t>
      </w:r>
      <w:bookmarkEnd w:id="10"/>
    </w:p>
    <w:p w14:paraId="526CA3FF" w14:textId="05FD22FA" w:rsidR="004911A3" w:rsidRPr="0004141D" w:rsidRDefault="00FB35FD" w:rsidP="00FB35FD">
      <w:pPr>
        <w:pStyle w:val="ListParagraph"/>
        <w:numPr>
          <w:ilvl w:val="0"/>
          <w:numId w:val="34"/>
        </w:numPr>
        <w:rPr>
          <w:rFonts w:ascii="Aptos" w:hAnsi="Aptos"/>
          <w:szCs w:val="24"/>
        </w:rPr>
      </w:pPr>
      <w:r>
        <w:rPr>
          <w:rFonts w:ascii="Aptos" w:hAnsi="Aptos"/>
          <w:szCs w:val="24"/>
        </w:rPr>
        <w:t xml:space="preserve">a) </w:t>
      </w:r>
      <w:r w:rsidR="004911A3" w:rsidRPr="0004141D">
        <w:rPr>
          <w:rFonts w:ascii="Aptos" w:hAnsi="Aptos"/>
          <w:szCs w:val="24"/>
        </w:rPr>
        <w:t>Make the following amendment in bold to section 11(d)(ii):</w:t>
      </w:r>
    </w:p>
    <w:p w14:paraId="2CDC4C46" w14:textId="77777777" w:rsidR="004911A3" w:rsidRDefault="004911A3" w:rsidP="004911A3">
      <w:pPr>
        <w:rPr>
          <w:rFonts w:ascii="Aptos" w:hAnsi="Aptos"/>
          <w:szCs w:val="24"/>
        </w:rPr>
      </w:pPr>
    </w:p>
    <w:p w14:paraId="1A66DCB8" w14:textId="77777777" w:rsidR="004911A3" w:rsidRDefault="004911A3" w:rsidP="0004141D">
      <w:pPr>
        <w:ind w:left="680"/>
        <w:rPr>
          <w:rFonts w:ascii="Aptos" w:hAnsi="Aptos"/>
          <w:szCs w:val="24"/>
        </w:rPr>
      </w:pPr>
      <w:r w:rsidRPr="00226637">
        <w:rPr>
          <w:rFonts w:ascii="Aptos" w:eastAsia="Times New Roman" w:hAnsi="Aptos" w:cs="Times New Roman"/>
          <w:szCs w:val="24"/>
          <w:lang w:eastAsia="en-AU"/>
        </w:rPr>
        <w:t xml:space="preserve">The efficient cost of higher education across disciplines and student cohorts and in relation to the Commonwealth </w:t>
      </w:r>
      <w:r w:rsidRPr="008765B1">
        <w:rPr>
          <w:rFonts w:ascii="Aptos" w:eastAsia="Times New Roman" w:hAnsi="Aptos" w:cs="Times New Roman"/>
          <w:b/>
          <w:bCs/>
          <w:szCs w:val="24"/>
          <w:lang w:eastAsia="en-AU"/>
        </w:rPr>
        <w:t>and student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contribution amounts for places in funding clusters.</w:t>
      </w:r>
    </w:p>
    <w:p w14:paraId="53B85EC6" w14:textId="77777777" w:rsidR="004911A3" w:rsidRDefault="004911A3" w:rsidP="004911A3">
      <w:pPr>
        <w:pStyle w:val="BodyText"/>
      </w:pPr>
    </w:p>
    <w:p w14:paraId="6318AB3E" w14:textId="34FCC2DC" w:rsidR="004911A3" w:rsidRPr="00FB35FD" w:rsidRDefault="004911A3" w:rsidP="00FB35FD">
      <w:pPr>
        <w:pStyle w:val="ListParagraph"/>
        <w:numPr>
          <w:ilvl w:val="0"/>
          <w:numId w:val="34"/>
        </w:numPr>
        <w:shd w:val="clear" w:color="auto" w:fill="FFFFFF"/>
        <w:spacing w:after="384"/>
        <w:ind w:right="0"/>
        <w:textAlignment w:val="baseline"/>
        <w:rPr>
          <w:rFonts w:ascii="Aptos" w:eastAsia="Times New Roman" w:hAnsi="Aptos" w:cs="Times New Roman"/>
          <w:szCs w:val="24"/>
          <w:lang w:eastAsia="en-AU"/>
        </w:rPr>
      </w:pPr>
      <w:r w:rsidRPr="00FB35FD">
        <w:rPr>
          <w:rFonts w:ascii="Aptos" w:hAnsi="Aptos"/>
          <w:szCs w:val="24"/>
        </w:rPr>
        <w:t xml:space="preserve">Make the following amendment in strikethrough and bold to </w:t>
      </w:r>
      <w:r w:rsidRPr="00FB35FD">
        <w:rPr>
          <w:rFonts w:ascii="Aptos" w:eastAsia="Times New Roman" w:hAnsi="Aptos" w:cs="Times New Roman"/>
          <w:szCs w:val="24"/>
          <w:lang w:eastAsia="en-AU"/>
        </w:rPr>
        <w:t>section 41(1)(b):</w:t>
      </w:r>
    </w:p>
    <w:p w14:paraId="446E5725" w14:textId="7AE1F684" w:rsidR="004911A3" w:rsidRDefault="004911A3" w:rsidP="0004141D">
      <w:pPr>
        <w:shd w:val="clear" w:color="auto" w:fill="FFFFFF"/>
        <w:spacing w:after="384"/>
        <w:ind w:left="680"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Pr="00226637">
        <w:rPr>
          <w:rFonts w:ascii="Aptos" w:eastAsia="Times New Roman" w:hAnsi="Aptos" w:cs="Times New Roman"/>
          <w:szCs w:val="24"/>
          <w:lang w:eastAsia="en-AU"/>
        </w:rPr>
        <w:t xml:space="preserve">The costs of teaching and </w:t>
      </w:r>
      <w:r w:rsidRPr="009E3AF0">
        <w:rPr>
          <w:rFonts w:ascii="Aptos" w:eastAsia="Times New Roman" w:hAnsi="Aptos" w:cs="Times New Roman"/>
          <w:strike/>
          <w:szCs w:val="24"/>
          <w:lang w:eastAsia="en-AU"/>
        </w:rPr>
        <w:t>learning</w:t>
      </w:r>
      <w:r w:rsidRPr="00226637">
        <w:rPr>
          <w:rFonts w:ascii="Aptos" w:eastAsia="Times New Roman" w:hAnsi="Aptos" w:cs="Times New Roman"/>
          <w:szCs w:val="24"/>
          <w:lang w:eastAsia="en-AU"/>
        </w:rPr>
        <w:t xml:space="preserve"> </w:t>
      </w:r>
      <w:r w:rsidRPr="009E3AF0">
        <w:rPr>
          <w:rFonts w:ascii="Aptos" w:eastAsia="Times New Roman" w:hAnsi="Aptos" w:cs="Times New Roman"/>
          <w:b/>
          <w:bCs/>
          <w:szCs w:val="24"/>
          <w:lang w:eastAsia="en-AU"/>
        </w:rPr>
        <w:t>student support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in higher education and overall higher education funding amounts, including on a per student basis.</w:t>
      </w:r>
      <w:r>
        <w:rPr>
          <w:rFonts w:ascii="Aptos" w:eastAsia="Times New Roman" w:hAnsi="Aptos" w:cs="Times New Roman"/>
          <w:szCs w:val="24"/>
          <w:lang w:eastAsia="en-AU"/>
        </w:rPr>
        <w:t>’</w:t>
      </w:r>
    </w:p>
    <w:p w14:paraId="49BB160C" w14:textId="13DFDBF6" w:rsidR="004911A3" w:rsidRDefault="004911A3" w:rsidP="004911A3">
      <w:pPr>
        <w:pStyle w:val="Heading3"/>
        <w:rPr>
          <w:lang w:eastAsia="en-AU"/>
        </w:rPr>
      </w:pPr>
      <w:bookmarkStart w:id="11" w:name="_Toc219380883"/>
      <w:r>
        <w:rPr>
          <w:lang w:eastAsia="en-AU"/>
        </w:rPr>
        <w:t xml:space="preserve">Recommendations on ATEC </w:t>
      </w:r>
      <w:r w:rsidR="00953776">
        <w:rPr>
          <w:lang w:eastAsia="en-AU"/>
        </w:rPr>
        <w:t>c</w:t>
      </w:r>
      <w:r>
        <w:rPr>
          <w:lang w:eastAsia="en-AU"/>
        </w:rPr>
        <w:t>ommissioners</w:t>
      </w:r>
      <w:bookmarkEnd w:id="11"/>
    </w:p>
    <w:p w14:paraId="5F47C32A" w14:textId="77777777" w:rsidR="004911A3" w:rsidRPr="00C7352B" w:rsidRDefault="004911A3" w:rsidP="004911A3"/>
    <w:p w14:paraId="152808E6" w14:textId="24DBDA06" w:rsidR="004911A3" w:rsidRDefault="00FB35FD" w:rsidP="00FB35FD">
      <w:pPr>
        <w:pStyle w:val="ListParagraph"/>
        <w:numPr>
          <w:ilvl w:val="0"/>
          <w:numId w:val="34"/>
        </w:numPr>
      </w:pPr>
      <w:r>
        <w:t xml:space="preserve">  I</w:t>
      </w:r>
      <w:r w:rsidR="004911A3">
        <w:t>ncrease the number of ATEC commissioners to four (amendment to section 58).</w:t>
      </w:r>
    </w:p>
    <w:p w14:paraId="2147CD88" w14:textId="77777777" w:rsidR="004556C3" w:rsidRDefault="004556C3" w:rsidP="004556C3">
      <w:pPr>
        <w:pStyle w:val="ListParagraph"/>
        <w:ind w:left="786" w:firstLine="0"/>
      </w:pPr>
    </w:p>
    <w:p w14:paraId="23C64CF7" w14:textId="5AA49A78" w:rsidR="004556C3" w:rsidRDefault="004556C3" w:rsidP="004556C3">
      <w:pPr>
        <w:pStyle w:val="ListParagraph"/>
        <w:numPr>
          <w:ilvl w:val="0"/>
          <w:numId w:val="34"/>
        </w:numPr>
      </w:pPr>
      <w:r>
        <w:t>Allow commissioners to be employed on a full-time or a part-time basis (amendment to section 58(1)).</w:t>
      </w:r>
    </w:p>
    <w:p w14:paraId="3BEA1E32" w14:textId="77777777" w:rsidR="004911A3" w:rsidRDefault="004911A3" w:rsidP="004911A3"/>
    <w:p w14:paraId="1F953850" w14:textId="340B56A5" w:rsidR="004911A3" w:rsidRDefault="004911A3" w:rsidP="00FB35FD">
      <w:pPr>
        <w:pStyle w:val="ListParagraph"/>
        <w:numPr>
          <w:ilvl w:val="0"/>
          <w:numId w:val="34"/>
        </w:numPr>
      </w:pPr>
      <w:r>
        <w:t xml:space="preserve">Require all ATEC commissioners to have expertise in higher education (changes needed to </w:t>
      </w:r>
      <w:proofErr w:type="gramStart"/>
      <w:r>
        <w:t>sections</w:t>
      </w:r>
      <w:proofErr w:type="gramEnd"/>
      <w:r>
        <w:t xml:space="preserve"> 57(3)(e) and 58(3)(c)).</w:t>
      </w:r>
    </w:p>
    <w:p w14:paraId="3A9E07DD" w14:textId="77777777" w:rsidR="004911A3" w:rsidRDefault="004911A3" w:rsidP="004911A3"/>
    <w:p w14:paraId="5BA088F8" w14:textId="3C0F1E2F" w:rsidR="004911A3" w:rsidRDefault="004911A3" w:rsidP="00FB35FD">
      <w:pPr>
        <w:pStyle w:val="ListParagraph"/>
        <w:numPr>
          <w:ilvl w:val="0"/>
          <w:numId w:val="34"/>
        </w:numPr>
      </w:pPr>
      <w:r>
        <w:t xml:space="preserve">Remove the requirement for VET expertise (changes needed to </w:t>
      </w:r>
      <w:proofErr w:type="gramStart"/>
      <w:r>
        <w:t>sections</w:t>
      </w:r>
      <w:proofErr w:type="gramEnd"/>
      <w:r>
        <w:t xml:space="preserve"> 57(3)(e) and 58(3)(c)).</w:t>
      </w:r>
    </w:p>
    <w:p w14:paraId="38B36A36" w14:textId="77777777" w:rsidR="004911A3" w:rsidRDefault="004911A3" w:rsidP="004911A3"/>
    <w:p w14:paraId="55FE6478" w14:textId="44118E32" w:rsidR="004911A3" w:rsidRDefault="004911A3" w:rsidP="00FB35FD">
      <w:pPr>
        <w:pStyle w:val="ListParagraph"/>
        <w:numPr>
          <w:ilvl w:val="0"/>
          <w:numId w:val="34"/>
        </w:numPr>
      </w:pPr>
      <w:r>
        <w:t>Require at least one ATEC commissioner to have expertise in research (change needed to section 59).</w:t>
      </w:r>
    </w:p>
    <w:p w14:paraId="1B613B0B" w14:textId="77777777" w:rsidR="004911A3" w:rsidRDefault="004911A3" w:rsidP="004911A3"/>
    <w:p w14:paraId="649F9728" w14:textId="36BA2BAB" w:rsidR="004911A3" w:rsidRPr="0004141D" w:rsidRDefault="004911A3" w:rsidP="00FB35FD">
      <w:pPr>
        <w:pStyle w:val="ListParagraph"/>
        <w:numPr>
          <w:ilvl w:val="0"/>
          <w:numId w:val="34"/>
        </w:numPr>
        <w:rPr>
          <w:rFonts w:ascii="Aptos" w:eastAsia="Times New Roman" w:hAnsi="Aptos" w:cs="Times New Roman"/>
          <w:szCs w:val="24"/>
          <w:lang w:eastAsia="en-AU"/>
        </w:rPr>
      </w:pPr>
      <w:r>
        <w:t>Require at least one ATEC commissioner to have expertise in equity (change needed to section 59).</w:t>
      </w:r>
    </w:p>
    <w:p w14:paraId="5B649B4B" w14:textId="3BB7A8B5" w:rsidR="009C5963" w:rsidRDefault="009C5963" w:rsidP="009C5963">
      <w:r>
        <w:t xml:space="preserve"> </w:t>
      </w:r>
    </w:p>
    <w:p w14:paraId="106A29D3" w14:textId="2FB241A4" w:rsidR="00954F37" w:rsidRPr="00226637" w:rsidRDefault="00954F37" w:rsidP="00954F37">
      <w:pPr>
        <w:pStyle w:val="Heading3"/>
        <w:rPr>
          <w:lang w:eastAsia="en-AU"/>
        </w:rPr>
      </w:pPr>
      <w:bookmarkStart w:id="12" w:name="_Toc219380884"/>
      <w:r>
        <w:rPr>
          <w:lang w:eastAsia="en-AU"/>
        </w:rPr>
        <w:t>Recommendation on the state of the system report</w:t>
      </w:r>
      <w:bookmarkEnd w:id="12"/>
    </w:p>
    <w:p w14:paraId="1F5CB3F4" w14:textId="77777777" w:rsidR="00721F69" w:rsidRDefault="00721F69" w:rsidP="00721F69">
      <w:pPr>
        <w:rPr>
          <w:lang w:eastAsia="en-AU"/>
        </w:rPr>
      </w:pPr>
    </w:p>
    <w:p w14:paraId="42706617" w14:textId="086345C3" w:rsidR="00721F69" w:rsidRDefault="00721F69" w:rsidP="00FB35FD">
      <w:pPr>
        <w:pStyle w:val="ListParagraph"/>
        <w:numPr>
          <w:ilvl w:val="0"/>
          <w:numId w:val="34"/>
        </w:numPr>
        <w:rPr>
          <w:lang w:eastAsia="en-AU"/>
        </w:rPr>
      </w:pPr>
      <w:r>
        <w:rPr>
          <w:lang w:eastAsia="en-AU"/>
        </w:rPr>
        <w:t xml:space="preserve">The drafting of section 42, relating to the state of the tertiary education system report, should be improved to make clear what can and cannot be included. </w:t>
      </w:r>
    </w:p>
    <w:p w14:paraId="422AFC65" w14:textId="77777777" w:rsidR="002917C3" w:rsidRDefault="002917C3" w:rsidP="00721F69">
      <w:pPr>
        <w:rPr>
          <w:lang w:eastAsia="en-AU"/>
        </w:rPr>
      </w:pPr>
    </w:p>
    <w:p w14:paraId="4B484517" w14:textId="2108DEF5" w:rsidR="002917C3" w:rsidRDefault="002917C3" w:rsidP="002917C3">
      <w:pPr>
        <w:pStyle w:val="Heading3"/>
        <w:rPr>
          <w:lang w:eastAsia="en-AU"/>
        </w:rPr>
      </w:pPr>
      <w:bookmarkStart w:id="13" w:name="_Toc219380885"/>
      <w:r>
        <w:rPr>
          <w:lang w:eastAsia="en-AU"/>
        </w:rPr>
        <w:t>Recommendation on delegation of powers</w:t>
      </w:r>
      <w:bookmarkEnd w:id="13"/>
    </w:p>
    <w:p w14:paraId="33236376" w14:textId="5B46E19E" w:rsidR="000F4097" w:rsidRDefault="002917C3" w:rsidP="00FB35FD">
      <w:pPr>
        <w:pStyle w:val="BodyText"/>
        <w:numPr>
          <w:ilvl w:val="0"/>
          <w:numId w:val="34"/>
        </w:numPr>
      </w:pPr>
      <w:r>
        <w:t xml:space="preserve">Amend section 73(2) so that the minister cannot delegate the power to set the list of strategic priorities for ATEC. </w:t>
      </w:r>
      <w:r w:rsidR="000F4097">
        <w:br w:type="page"/>
      </w:r>
    </w:p>
    <w:p w14:paraId="68C3D9A1" w14:textId="7CCCEA39" w:rsidR="00043A5B" w:rsidRPr="00DB5E03" w:rsidRDefault="003477B6" w:rsidP="00944D95">
      <w:pPr>
        <w:pStyle w:val="Heading1"/>
        <w:numPr>
          <w:ilvl w:val="0"/>
          <w:numId w:val="7"/>
        </w:numPr>
        <w:ind w:left="357" w:hanging="357"/>
        <w:rPr>
          <w:rFonts w:ascii="Aptos" w:hAnsi="Aptos" w:cstheme="minorHAnsi"/>
          <w:sz w:val="32"/>
          <w:szCs w:val="32"/>
        </w:rPr>
      </w:pPr>
      <w:bookmarkStart w:id="14" w:name="_Ref216270893"/>
      <w:bookmarkStart w:id="15" w:name="_Toc219380886"/>
      <w:r>
        <w:rPr>
          <w:rFonts w:ascii="Aptos" w:hAnsi="Aptos" w:cstheme="minorHAnsi"/>
          <w:color w:val="4F81BD" w:themeColor="accent1"/>
          <w:sz w:val="32"/>
          <w:szCs w:val="32"/>
        </w:rPr>
        <w:lastRenderedPageBreak/>
        <w:t>Should an Australian Tertiary Education Commission be created?</w:t>
      </w:r>
      <w:bookmarkEnd w:id="14"/>
      <w:bookmarkEnd w:id="15"/>
    </w:p>
    <w:p w14:paraId="01388BFB" w14:textId="255683EE" w:rsidR="003477B6" w:rsidRDefault="003477B6" w:rsidP="00D76C71">
      <w:pPr>
        <w:pStyle w:val="NormalWeb"/>
        <w:rPr>
          <w:rFonts w:ascii="Aptos" w:hAnsi="Aptos" w:cstheme="minorHAnsi"/>
          <w:color w:val="242424"/>
        </w:rPr>
      </w:pPr>
      <w:r>
        <w:rPr>
          <w:rFonts w:ascii="Aptos" w:hAnsi="Aptos"/>
        </w:rPr>
        <w:t xml:space="preserve">The </w:t>
      </w:r>
      <w:r w:rsidR="00F42FA9">
        <w:rPr>
          <w:rFonts w:ascii="Aptos" w:hAnsi="Aptos"/>
        </w:rPr>
        <w:t>big</w:t>
      </w:r>
      <w:r>
        <w:rPr>
          <w:rFonts w:ascii="Aptos" w:hAnsi="Aptos"/>
        </w:rPr>
        <w:t xml:space="preserve"> question of whether an Australian Tertiary Education Commission should be created cannot be answered just from the provisions of the </w:t>
      </w:r>
      <w:r w:rsidR="00C84A3A">
        <w:rPr>
          <w:rFonts w:ascii="Aptos" w:hAnsi="Aptos" w:cstheme="minorHAnsi"/>
          <w:color w:val="242424"/>
        </w:rPr>
        <w:t xml:space="preserve">formal subjects of this inquiry, the </w:t>
      </w:r>
      <w:r w:rsidRPr="003477B6">
        <w:rPr>
          <w:rFonts w:ascii="Aptos" w:hAnsi="Aptos" w:cstheme="minorHAnsi"/>
          <w:i/>
          <w:iCs/>
          <w:color w:val="242424"/>
        </w:rPr>
        <w:t>Universities Accord (Australian Tertiary Education Commission) Bill 2025</w:t>
      </w:r>
      <w:r w:rsidRPr="003477B6">
        <w:rPr>
          <w:rFonts w:ascii="Aptos" w:hAnsi="Aptos" w:cstheme="minorHAnsi"/>
          <w:color w:val="242424"/>
        </w:rPr>
        <w:t xml:space="preserve"> and the </w:t>
      </w:r>
      <w:r w:rsidRPr="003477B6">
        <w:rPr>
          <w:rFonts w:ascii="Aptos" w:hAnsi="Aptos" w:cstheme="minorHAnsi"/>
          <w:i/>
          <w:iCs/>
          <w:color w:val="242424"/>
        </w:rPr>
        <w:t>Universities Accord (Australian Tertiary Education Commission (Consequential and Transitional Provisions Bill</w:t>
      </w:r>
      <w:r w:rsidR="00B80B51">
        <w:rPr>
          <w:rFonts w:ascii="Aptos" w:hAnsi="Aptos" w:cstheme="minorHAnsi"/>
          <w:i/>
          <w:iCs/>
          <w:color w:val="242424"/>
        </w:rPr>
        <w:t>)</w:t>
      </w:r>
      <w:r w:rsidRPr="003477B6">
        <w:rPr>
          <w:rFonts w:ascii="Aptos" w:hAnsi="Aptos" w:cstheme="minorHAnsi"/>
          <w:i/>
          <w:iCs/>
          <w:color w:val="242424"/>
        </w:rPr>
        <w:t xml:space="preserve"> 2025</w:t>
      </w:r>
      <w:r>
        <w:rPr>
          <w:rFonts w:ascii="Aptos" w:hAnsi="Aptos" w:cstheme="minorHAnsi"/>
          <w:color w:val="242424"/>
        </w:rPr>
        <w:t>.</w:t>
      </w:r>
      <w:r w:rsidR="00682A39">
        <w:rPr>
          <w:rFonts w:ascii="Aptos" w:hAnsi="Aptos" w:cstheme="minorHAnsi"/>
          <w:color w:val="242424"/>
        </w:rPr>
        <w:t xml:space="preserve"> There is important context in the </w:t>
      </w:r>
      <w:r w:rsidR="00682A39" w:rsidRPr="00682A39">
        <w:rPr>
          <w:rFonts w:ascii="Aptos" w:hAnsi="Aptos" w:cstheme="minorHAnsi"/>
          <w:i/>
          <w:iCs/>
          <w:color w:val="242424"/>
        </w:rPr>
        <w:t>Universities Accord Final Report</w:t>
      </w:r>
      <w:r w:rsidR="00682A39">
        <w:rPr>
          <w:rFonts w:ascii="Aptos" w:hAnsi="Aptos" w:cstheme="minorHAnsi"/>
          <w:color w:val="242424"/>
        </w:rPr>
        <w:t xml:space="preserve">, the government’s response to date to that report, its broader legislative agenda including on international students, </w:t>
      </w:r>
      <w:r w:rsidR="00693598">
        <w:rPr>
          <w:rFonts w:ascii="Aptos" w:hAnsi="Aptos" w:cstheme="minorHAnsi"/>
          <w:color w:val="242424"/>
        </w:rPr>
        <w:t xml:space="preserve">and </w:t>
      </w:r>
      <w:r w:rsidR="00955637">
        <w:rPr>
          <w:rFonts w:ascii="Aptos" w:hAnsi="Aptos" w:cstheme="minorHAnsi"/>
          <w:color w:val="242424"/>
        </w:rPr>
        <w:t>its Strategic Examination of Research and Development</w:t>
      </w:r>
      <w:r w:rsidR="00682A39">
        <w:rPr>
          <w:rFonts w:ascii="Aptos" w:hAnsi="Aptos" w:cstheme="minorHAnsi"/>
          <w:color w:val="242424"/>
        </w:rPr>
        <w:t xml:space="preserve">. </w:t>
      </w:r>
    </w:p>
    <w:p w14:paraId="7095C301" w14:textId="50993984" w:rsidR="007F40EF" w:rsidRDefault="007F40EF" w:rsidP="007F40EF">
      <w:pPr>
        <w:pStyle w:val="Heading2"/>
      </w:pPr>
      <w:bookmarkStart w:id="16" w:name="_Toc219380887"/>
      <w:r>
        <w:t xml:space="preserve">The </w:t>
      </w:r>
      <w:r w:rsidR="00B221C6">
        <w:t>purposes</w:t>
      </w:r>
      <w:r>
        <w:t xml:space="preserve"> of higher education</w:t>
      </w:r>
      <w:bookmarkEnd w:id="16"/>
      <w:r>
        <w:t xml:space="preserve"> </w:t>
      </w:r>
    </w:p>
    <w:p w14:paraId="4266134B" w14:textId="69B3D83F" w:rsidR="00767E6C" w:rsidRDefault="00B221C6" w:rsidP="00D76C71">
      <w:pPr>
        <w:pStyle w:val="NormalWeb"/>
        <w:rPr>
          <w:rFonts w:ascii="Aptos" w:hAnsi="Aptos" w:cstheme="minorHAnsi"/>
          <w:color w:val="242424"/>
        </w:rPr>
      </w:pPr>
      <w:r>
        <w:rPr>
          <w:rFonts w:ascii="Aptos" w:hAnsi="Aptos" w:cstheme="minorHAnsi"/>
          <w:color w:val="242424"/>
        </w:rPr>
        <w:t>T</w:t>
      </w:r>
      <w:r w:rsidR="004A5D44">
        <w:rPr>
          <w:rFonts w:ascii="Aptos" w:hAnsi="Aptos" w:cstheme="minorHAnsi"/>
          <w:color w:val="242424"/>
        </w:rPr>
        <w:t>he government takes a narrow</w:t>
      </w:r>
      <w:r w:rsidR="00767E6C">
        <w:rPr>
          <w:rFonts w:ascii="Aptos" w:hAnsi="Aptos" w:cstheme="minorHAnsi"/>
          <w:color w:val="242424"/>
        </w:rPr>
        <w:t>, i</w:t>
      </w:r>
      <w:r w:rsidR="004A5D44">
        <w:rPr>
          <w:rFonts w:ascii="Aptos" w:hAnsi="Aptos" w:cstheme="minorHAnsi"/>
          <w:color w:val="242424"/>
        </w:rPr>
        <w:t>nstrumental</w:t>
      </w:r>
      <w:r w:rsidR="00767E6C">
        <w:rPr>
          <w:rFonts w:ascii="Aptos" w:hAnsi="Aptos" w:cstheme="minorHAnsi"/>
          <w:color w:val="242424"/>
        </w:rPr>
        <w:t>, and technocratic</w:t>
      </w:r>
      <w:r w:rsidR="004A5D44">
        <w:rPr>
          <w:rFonts w:ascii="Aptos" w:hAnsi="Aptos" w:cstheme="minorHAnsi"/>
          <w:color w:val="242424"/>
        </w:rPr>
        <w:t xml:space="preserve"> view</w:t>
      </w:r>
      <w:r>
        <w:rPr>
          <w:rFonts w:ascii="Aptos" w:hAnsi="Aptos" w:cstheme="minorHAnsi"/>
          <w:color w:val="242424"/>
        </w:rPr>
        <w:t xml:space="preserve"> of the purposes of the higher education system.</w:t>
      </w:r>
      <w:r w:rsidR="002878BD">
        <w:rPr>
          <w:rFonts w:ascii="Aptos" w:hAnsi="Aptos" w:cstheme="minorHAnsi"/>
          <w:color w:val="242424"/>
        </w:rPr>
        <w:t xml:space="preserve"> </w:t>
      </w:r>
      <w:r w:rsidR="004A5D44">
        <w:rPr>
          <w:rFonts w:ascii="Aptos" w:hAnsi="Aptos" w:cstheme="minorHAnsi"/>
          <w:color w:val="242424"/>
        </w:rPr>
        <w:t xml:space="preserve">On the student side, </w:t>
      </w:r>
      <w:r w:rsidR="00F42FA9">
        <w:rPr>
          <w:rFonts w:ascii="Aptos" w:hAnsi="Aptos" w:cstheme="minorHAnsi"/>
          <w:color w:val="242424"/>
        </w:rPr>
        <w:t xml:space="preserve">the system is to </w:t>
      </w:r>
      <w:r w:rsidR="00206A2A">
        <w:rPr>
          <w:rFonts w:ascii="Aptos" w:hAnsi="Aptos" w:cstheme="minorHAnsi"/>
          <w:color w:val="242424"/>
        </w:rPr>
        <w:t>meet</w:t>
      </w:r>
      <w:r w:rsidR="00F42FA9">
        <w:rPr>
          <w:rFonts w:ascii="Aptos" w:hAnsi="Aptos" w:cstheme="minorHAnsi"/>
          <w:color w:val="242424"/>
        </w:rPr>
        <w:t xml:space="preserve"> skills needs as revealed in labour market </w:t>
      </w:r>
      <w:r w:rsidR="00251889">
        <w:rPr>
          <w:rFonts w:ascii="Aptos" w:hAnsi="Aptos" w:cstheme="minorHAnsi"/>
          <w:color w:val="242424"/>
        </w:rPr>
        <w:t>forecasts</w:t>
      </w:r>
      <w:r w:rsidR="00076E33">
        <w:rPr>
          <w:rStyle w:val="FootnoteReference"/>
          <w:rFonts w:ascii="Aptos" w:hAnsi="Aptos" w:cstheme="minorHAnsi"/>
          <w:color w:val="242424"/>
        </w:rPr>
        <w:footnoteReference w:id="1"/>
      </w:r>
      <w:r w:rsidR="00F42FA9">
        <w:rPr>
          <w:rFonts w:ascii="Aptos" w:hAnsi="Aptos" w:cstheme="minorHAnsi"/>
          <w:color w:val="242424"/>
        </w:rPr>
        <w:t xml:space="preserve"> and </w:t>
      </w:r>
      <w:r w:rsidR="00ED06F6">
        <w:rPr>
          <w:rFonts w:ascii="Aptos" w:hAnsi="Aptos" w:cstheme="minorHAnsi"/>
          <w:color w:val="242424"/>
        </w:rPr>
        <w:t xml:space="preserve">to achieve </w:t>
      </w:r>
      <w:r w:rsidR="00F42FA9">
        <w:rPr>
          <w:rFonts w:ascii="Aptos" w:hAnsi="Aptos" w:cstheme="minorHAnsi"/>
          <w:color w:val="242424"/>
        </w:rPr>
        <w:t xml:space="preserve">equity goals </w:t>
      </w:r>
      <w:r w:rsidR="00767E6C">
        <w:rPr>
          <w:rFonts w:ascii="Aptos" w:hAnsi="Aptos" w:cstheme="minorHAnsi"/>
          <w:color w:val="242424"/>
        </w:rPr>
        <w:t>set in a top-down way</w:t>
      </w:r>
      <w:r w:rsidR="00184258">
        <w:rPr>
          <w:rFonts w:ascii="Aptos" w:hAnsi="Aptos" w:cstheme="minorHAnsi"/>
          <w:color w:val="242424"/>
        </w:rPr>
        <w:t>.</w:t>
      </w:r>
      <w:r w:rsidR="00184258">
        <w:rPr>
          <w:rStyle w:val="FootnoteReference"/>
          <w:rFonts w:ascii="Aptos" w:hAnsi="Aptos" w:cstheme="minorHAnsi"/>
          <w:color w:val="242424"/>
        </w:rPr>
        <w:footnoteReference w:id="2"/>
      </w:r>
      <w:r w:rsidR="00184258">
        <w:rPr>
          <w:rFonts w:ascii="Aptos" w:hAnsi="Aptos" w:cstheme="minorHAnsi"/>
          <w:color w:val="242424"/>
        </w:rPr>
        <w:t xml:space="preserve"> </w:t>
      </w:r>
      <w:r w:rsidR="00767E6C">
        <w:rPr>
          <w:rFonts w:ascii="Aptos" w:hAnsi="Aptos" w:cstheme="minorHAnsi"/>
          <w:color w:val="242424"/>
        </w:rPr>
        <w:t xml:space="preserve">On the research side, </w:t>
      </w:r>
      <w:r w:rsidR="00206A2A">
        <w:rPr>
          <w:rFonts w:ascii="Aptos" w:hAnsi="Aptos" w:cstheme="minorHAnsi"/>
          <w:color w:val="242424"/>
        </w:rPr>
        <w:t>the system</w:t>
      </w:r>
      <w:r w:rsidR="00767E6C">
        <w:rPr>
          <w:rFonts w:ascii="Aptos" w:hAnsi="Aptos" w:cstheme="minorHAnsi"/>
          <w:color w:val="242424"/>
        </w:rPr>
        <w:t xml:space="preserve"> is to </w:t>
      </w:r>
      <w:r w:rsidR="00206A2A">
        <w:rPr>
          <w:rFonts w:ascii="Aptos" w:hAnsi="Aptos" w:cstheme="minorHAnsi"/>
          <w:color w:val="242424"/>
        </w:rPr>
        <w:t xml:space="preserve">further </w:t>
      </w:r>
      <w:r w:rsidR="00767E6C">
        <w:rPr>
          <w:rFonts w:ascii="Aptos" w:hAnsi="Aptos" w:cstheme="minorHAnsi"/>
          <w:color w:val="242424"/>
        </w:rPr>
        <w:t xml:space="preserve">narrow </w:t>
      </w:r>
      <w:r w:rsidR="00780EFC">
        <w:rPr>
          <w:rFonts w:ascii="Aptos" w:hAnsi="Aptos" w:cstheme="minorHAnsi"/>
          <w:color w:val="242424"/>
        </w:rPr>
        <w:t>research activity</w:t>
      </w:r>
      <w:r w:rsidR="00767E6C">
        <w:rPr>
          <w:rFonts w:ascii="Aptos" w:hAnsi="Aptos" w:cstheme="minorHAnsi"/>
          <w:color w:val="242424"/>
        </w:rPr>
        <w:t xml:space="preserve"> towards government priority areas</w:t>
      </w:r>
      <w:r w:rsidR="00201905">
        <w:rPr>
          <w:rFonts w:ascii="Aptos" w:hAnsi="Aptos" w:cstheme="minorHAnsi"/>
          <w:color w:val="242424"/>
        </w:rPr>
        <w:t>.</w:t>
      </w:r>
      <w:r w:rsidR="004903AA">
        <w:rPr>
          <w:rStyle w:val="FootnoteReference"/>
          <w:rFonts w:ascii="Aptos" w:hAnsi="Aptos" w:cstheme="minorHAnsi"/>
          <w:color w:val="242424"/>
        </w:rPr>
        <w:footnoteReference w:id="3"/>
      </w:r>
      <w:r w:rsidR="00E8311D">
        <w:rPr>
          <w:rFonts w:ascii="Aptos" w:hAnsi="Aptos" w:cstheme="minorHAnsi"/>
          <w:color w:val="242424"/>
        </w:rPr>
        <w:t xml:space="preserve"> </w:t>
      </w:r>
    </w:p>
    <w:p w14:paraId="4447DA3C" w14:textId="5C872C18" w:rsidR="00767E6C" w:rsidRDefault="00767E6C" w:rsidP="00D76C71">
      <w:pPr>
        <w:pStyle w:val="NormalWeb"/>
        <w:rPr>
          <w:rFonts w:ascii="Aptos" w:hAnsi="Aptos" w:cstheme="minorHAnsi"/>
          <w:color w:val="242424"/>
        </w:rPr>
      </w:pPr>
      <w:r>
        <w:rPr>
          <w:rFonts w:ascii="Aptos" w:hAnsi="Aptos" w:cstheme="minorHAnsi"/>
          <w:color w:val="242424"/>
        </w:rPr>
        <w:t xml:space="preserve">Higher education objectives </w:t>
      </w:r>
      <w:r w:rsidR="00201905">
        <w:rPr>
          <w:rFonts w:ascii="Aptos" w:hAnsi="Aptos" w:cstheme="minorHAnsi"/>
          <w:color w:val="242424"/>
        </w:rPr>
        <w:t xml:space="preserve">such as contributing to the ‘development of cultural and intellectual life in Australia’ (section 2-1 of the </w:t>
      </w:r>
      <w:r w:rsidR="00201905">
        <w:rPr>
          <w:rFonts w:ascii="Aptos" w:hAnsi="Aptos" w:cstheme="minorHAnsi"/>
          <w:i/>
          <w:iCs/>
          <w:color w:val="242424"/>
        </w:rPr>
        <w:t>Higher Education Support Act 2003</w:t>
      </w:r>
      <w:r w:rsidR="00201905">
        <w:rPr>
          <w:rFonts w:ascii="Aptos" w:hAnsi="Aptos" w:cstheme="minorHAnsi"/>
          <w:color w:val="242424"/>
        </w:rPr>
        <w:t xml:space="preserve">) </w:t>
      </w:r>
      <w:r w:rsidR="00780EFC">
        <w:rPr>
          <w:rFonts w:ascii="Aptos" w:hAnsi="Aptos" w:cstheme="minorHAnsi"/>
          <w:color w:val="242424"/>
        </w:rPr>
        <w:t xml:space="preserve">are conspicuously absent from the objects of the </w:t>
      </w:r>
      <w:r w:rsidR="00780EFC" w:rsidRPr="003477B6">
        <w:rPr>
          <w:rFonts w:ascii="Aptos" w:hAnsi="Aptos" w:cstheme="minorHAnsi"/>
          <w:i/>
          <w:iCs/>
          <w:color w:val="242424"/>
        </w:rPr>
        <w:t>Universities Accord (Australian Tertiary Education Commission) Bill 2025</w:t>
      </w:r>
      <w:r w:rsidR="00780EFC">
        <w:rPr>
          <w:rFonts w:ascii="Aptos" w:hAnsi="Aptos" w:cstheme="minorHAnsi"/>
          <w:i/>
          <w:iCs/>
          <w:color w:val="242424"/>
        </w:rPr>
        <w:t>.</w:t>
      </w:r>
      <w:r w:rsidR="00C84A3A">
        <w:rPr>
          <w:rFonts w:ascii="Aptos" w:hAnsi="Aptos" w:cstheme="minorHAnsi"/>
          <w:i/>
          <w:iCs/>
          <w:color w:val="242424"/>
        </w:rPr>
        <w:t xml:space="preserve"> </w:t>
      </w:r>
      <w:r w:rsidR="00C84A3A">
        <w:rPr>
          <w:rFonts w:ascii="Aptos" w:hAnsi="Aptos" w:cstheme="minorHAnsi"/>
          <w:color w:val="242424"/>
        </w:rPr>
        <w:t>The</w:t>
      </w:r>
      <w:r w:rsidR="00A82643">
        <w:rPr>
          <w:rFonts w:ascii="Aptos" w:hAnsi="Aptos" w:cstheme="minorHAnsi"/>
          <w:i/>
          <w:iCs/>
          <w:color w:val="242424"/>
        </w:rPr>
        <w:t xml:space="preserve"> </w:t>
      </w:r>
      <w:r w:rsidR="00ED06F6">
        <w:rPr>
          <w:rFonts w:ascii="Aptos" w:hAnsi="Aptos" w:cstheme="minorHAnsi"/>
          <w:color w:val="242424"/>
        </w:rPr>
        <w:t xml:space="preserve">ATEC </w:t>
      </w:r>
      <w:r w:rsidR="00076E33">
        <w:rPr>
          <w:rFonts w:ascii="Aptos" w:hAnsi="Aptos" w:cstheme="minorHAnsi"/>
          <w:color w:val="242424"/>
        </w:rPr>
        <w:t>bill</w:t>
      </w:r>
      <w:r w:rsidR="00C84A3A">
        <w:rPr>
          <w:rFonts w:ascii="Aptos" w:hAnsi="Aptos" w:cstheme="minorHAnsi"/>
          <w:color w:val="242424"/>
        </w:rPr>
        <w:t xml:space="preserve">’s </w:t>
      </w:r>
      <w:r w:rsidR="00ED06F6">
        <w:rPr>
          <w:rFonts w:ascii="Aptos" w:hAnsi="Aptos" w:cstheme="minorHAnsi"/>
          <w:color w:val="242424"/>
        </w:rPr>
        <w:t xml:space="preserve">silence on ‘cultural and intellectual life’ does not </w:t>
      </w:r>
      <w:r w:rsidR="00954F37">
        <w:rPr>
          <w:rFonts w:ascii="Aptos" w:hAnsi="Aptos" w:cstheme="minorHAnsi"/>
          <w:color w:val="242424"/>
        </w:rPr>
        <w:t>mean no place at all for these activities</w:t>
      </w:r>
      <w:r w:rsidR="00ED06F6">
        <w:rPr>
          <w:rFonts w:ascii="Aptos" w:hAnsi="Aptos" w:cstheme="minorHAnsi"/>
          <w:color w:val="242424"/>
        </w:rPr>
        <w:t xml:space="preserve">, but </w:t>
      </w:r>
      <w:r w:rsidR="000A1996">
        <w:rPr>
          <w:rFonts w:ascii="Aptos" w:hAnsi="Aptos" w:cstheme="minorHAnsi"/>
          <w:color w:val="242424"/>
        </w:rPr>
        <w:t>the</w:t>
      </w:r>
      <w:r w:rsidR="00ED06F6">
        <w:rPr>
          <w:rFonts w:ascii="Aptos" w:hAnsi="Aptos" w:cstheme="minorHAnsi"/>
          <w:color w:val="242424"/>
        </w:rPr>
        <w:t xml:space="preserve"> space left to pursue them</w:t>
      </w:r>
      <w:r w:rsidR="000A1996">
        <w:rPr>
          <w:rFonts w:ascii="Aptos" w:hAnsi="Aptos" w:cstheme="minorHAnsi"/>
          <w:color w:val="242424"/>
        </w:rPr>
        <w:t xml:space="preserve"> may be small. </w:t>
      </w:r>
    </w:p>
    <w:p w14:paraId="2777324F" w14:textId="778E5D58" w:rsidR="00B221C6" w:rsidRPr="00ED06F6" w:rsidRDefault="00B221C6" w:rsidP="00B221C6">
      <w:pPr>
        <w:pStyle w:val="Heading2"/>
      </w:pPr>
      <w:bookmarkStart w:id="17" w:name="_Toc219380888"/>
      <w:r>
        <w:t>The instruments of higher education policy</w:t>
      </w:r>
      <w:bookmarkEnd w:id="17"/>
    </w:p>
    <w:p w14:paraId="1675AE77" w14:textId="2E383F8F" w:rsidR="00236D3B" w:rsidRDefault="00206A2A" w:rsidP="005D75DF">
      <w:pPr>
        <w:pStyle w:val="NormalWeb"/>
        <w:rPr>
          <w:rFonts w:ascii="Aptos" w:hAnsi="Aptos" w:cstheme="minorHAnsi"/>
          <w:color w:val="242424"/>
        </w:rPr>
      </w:pPr>
      <w:r>
        <w:rPr>
          <w:rFonts w:ascii="Aptos" w:hAnsi="Aptos" w:cstheme="minorHAnsi"/>
          <w:color w:val="242424"/>
        </w:rPr>
        <w:t xml:space="preserve">The detailed means by which the </w:t>
      </w:r>
      <w:r w:rsidR="00ED06F6">
        <w:rPr>
          <w:rFonts w:ascii="Aptos" w:hAnsi="Aptos" w:cstheme="minorHAnsi"/>
          <w:color w:val="242424"/>
        </w:rPr>
        <w:t>government’s ATEC</w:t>
      </w:r>
      <w:r>
        <w:rPr>
          <w:rFonts w:ascii="Aptos" w:hAnsi="Aptos" w:cstheme="minorHAnsi"/>
          <w:color w:val="242424"/>
        </w:rPr>
        <w:t xml:space="preserve"> agenda will be introduced has yet to be announced. But we know from the </w:t>
      </w:r>
      <w:r w:rsidRPr="007F40EF">
        <w:rPr>
          <w:rFonts w:ascii="Aptos" w:hAnsi="Aptos" w:cstheme="minorHAnsi"/>
          <w:color w:val="242424"/>
        </w:rPr>
        <w:t>ATEC bill</w:t>
      </w:r>
      <w:r w:rsidR="007F40EF" w:rsidRPr="007F40EF">
        <w:rPr>
          <w:rFonts w:ascii="Aptos" w:hAnsi="Aptos" w:cstheme="minorHAnsi"/>
          <w:color w:val="242424"/>
        </w:rPr>
        <w:t>s</w:t>
      </w:r>
      <w:r>
        <w:rPr>
          <w:rFonts w:ascii="Aptos" w:hAnsi="Aptos" w:cstheme="minorHAnsi"/>
          <w:color w:val="242424"/>
        </w:rPr>
        <w:t xml:space="preserve"> and other statements that mission-based compacts will play a large role.</w:t>
      </w:r>
      <w:r w:rsidR="006C3D92">
        <w:rPr>
          <w:rFonts w:ascii="Aptos" w:hAnsi="Aptos" w:cstheme="minorHAnsi"/>
          <w:color w:val="242424"/>
        </w:rPr>
        <w:t xml:space="preserve"> As chapter </w:t>
      </w:r>
      <w:r w:rsidR="006C3D92">
        <w:rPr>
          <w:rFonts w:ascii="Aptos" w:hAnsi="Aptos" w:cstheme="minorHAnsi"/>
          <w:color w:val="242424"/>
        </w:rPr>
        <w:fldChar w:fldCharType="begin"/>
      </w:r>
      <w:r w:rsidR="006C3D92">
        <w:rPr>
          <w:rFonts w:ascii="Aptos" w:hAnsi="Aptos" w:cstheme="minorHAnsi"/>
          <w:color w:val="242424"/>
        </w:rPr>
        <w:instrText xml:space="preserve"> REF _Ref216282209 \r \h </w:instrText>
      </w:r>
      <w:r w:rsidR="006C3D92">
        <w:rPr>
          <w:rFonts w:ascii="Aptos" w:hAnsi="Aptos" w:cstheme="minorHAnsi"/>
          <w:color w:val="242424"/>
        </w:rPr>
      </w:r>
      <w:r w:rsidR="006C3D92">
        <w:rPr>
          <w:rFonts w:ascii="Aptos" w:hAnsi="Aptos" w:cstheme="minorHAnsi"/>
          <w:color w:val="242424"/>
        </w:rPr>
        <w:fldChar w:fldCharType="separate"/>
      </w:r>
      <w:r w:rsidR="0055214B">
        <w:rPr>
          <w:rFonts w:ascii="Aptos" w:hAnsi="Aptos" w:cstheme="minorHAnsi"/>
          <w:color w:val="242424"/>
        </w:rPr>
        <w:t>4</w:t>
      </w:r>
      <w:r w:rsidR="006C3D92">
        <w:rPr>
          <w:rFonts w:ascii="Aptos" w:hAnsi="Aptos" w:cstheme="minorHAnsi"/>
          <w:color w:val="242424"/>
        </w:rPr>
        <w:fldChar w:fldCharType="end"/>
      </w:r>
      <w:r w:rsidR="006C3D92">
        <w:rPr>
          <w:rFonts w:ascii="Aptos" w:hAnsi="Aptos" w:cstheme="minorHAnsi"/>
          <w:color w:val="242424"/>
        </w:rPr>
        <w:t xml:space="preserve"> of this submission outlines, </w:t>
      </w:r>
      <w:r w:rsidR="00DF7CC0">
        <w:rPr>
          <w:rFonts w:ascii="Aptos" w:hAnsi="Aptos" w:cstheme="minorHAnsi"/>
          <w:color w:val="242424"/>
        </w:rPr>
        <w:t>these could be used to require universities to implement</w:t>
      </w:r>
      <w:r w:rsidR="006C3D92">
        <w:rPr>
          <w:rFonts w:ascii="Aptos" w:hAnsi="Aptos" w:cstheme="minorHAnsi"/>
          <w:color w:val="242424"/>
        </w:rPr>
        <w:t xml:space="preserve"> government</w:t>
      </w:r>
      <w:r w:rsidR="00EF3436">
        <w:rPr>
          <w:rFonts w:ascii="Aptos" w:hAnsi="Aptos" w:cstheme="minorHAnsi"/>
          <w:color w:val="242424"/>
        </w:rPr>
        <w:t xml:space="preserve"> priorities</w:t>
      </w:r>
      <w:r w:rsidR="006C3D92">
        <w:rPr>
          <w:rFonts w:ascii="Aptos" w:hAnsi="Aptos" w:cstheme="minorHAnsi"/>
          <w:color w:val="242424"/>
        </w:rPr>
        <w:t xml:space="preserve">. </w:t>
      </w:r>
      <w:r w:rsidR="00236D3B">
        <w:rPr>
          <w:rFonts w:ascii="Aptos" w:hAnsi="Aptos" w:cstheme="minorHAnsi"/>
          <w:color w:val="242424"/>
        </w:rPr>
        <w:t xml:space="preserve">The proposed chain of command is a ministerial statement of strategic priorities, followed by an ATEC set of strategic priorities </w:t>
      </w:r>
      <w:r w:rsidR="00EF3436">
        <w:rPr>
          <w:rFonts w:ascii="Aptos" w:hAnsi="Aptos" w:cstheme="minorHAnsi"/>
          <w:color w:val="242424"/>
        </w:rPr>
        <w:t xml:space="preserve">that </w:t>
      </w:r>
      <w:proofErr w:type="gramStart"/>
      <w:r w:rsidR="00EF3436">
        <w:rPr>
          <w:rFonts w:ascii="Aptos" w:hAnsi="Aptos" w:cstheme="minorHAnsi"/>
          <w:color w:val="242424"/>
        </w:rPr>
        <w:t>takes</w:t>
      </w:r>
      <w:r w:rsidR="00236D3B">
        <w:rPr>
          <w:rFonts w:ascii="Aptos" w:hAnsi="Aptos" w:cstheme="minorHAnsi"/>
          <w:color w:val="242424"/>
        </w:rPr>
        <w:t xml:space="preserve"> into account</w:t>
      </w:r>
      <w:proofErr w:type="gramEnd"/>
      <w:r w:rsidR="00236D3B">
        <w:rPr>
          <w:rFonts w:ascii="Aptos" w:hAnsi="Aptos" w:cstheme="minorHAnsi"/>
          <w:color w:val="242424"/>
        </w:rPr>
        <w:t xml:space="preserve"> the minister’</w:t>
      </w:r>
      <w:r w:rsidR="00953776">
        <w:rPr>
          <w:rFonts w:ascii="Aptos" w:hAnsi="Aptos" w:cstheme="minorHAnsi"/>
          <w:color w:val="242424"/>
        </w:rPr>
        <w:t>s</w:t>
      </w:r>
      <w:r w:rsidR="00236D3B">
        <w:rPr>
          <w:rFonts w:ascii="Aptos" w:hAnsi="Aptos" w:cstheme="minorHAnsi"/>
          <w:color w:val="242424"/>
        </w:rPr>
        <w:t xml:space="preserve"> statement, and the mission-based </w:t>
      </w:r>
      <w:r w:rsidR="00236D3B">
        <w:rPr>
          <w:rFonts w:ascii="Aptos" w:hAnsi="Aptos" w:cstheme="minorHAnsi"/>
          <w:color w:val="242424"/>
        </w:rPr>
        <w:lastRenderedPageBreak/>
        <w:t xml:space="preserve">compacts as the instrument to implement these priorities. </w:t>
      </w:r>
      <w:r w:rsidR="00EF3436">
        <w:rPr>
          <w:rFonts w:ascii="Aptos" w:hAnsi="Aptos" w:cstheme="minorHAnsi"/>
          <w:color w:val="242424"/>
        </w:rPr>
        <w:t>On current bill drafting,</w:t>
      </w:r>
      <w:r w:rsidR="005D75DF">
        <w:rPr>
          <w:rFonts w:ascii="Aptos" w:hAnsi="Aptos" w:cstheme="minorHAnsi"/>
          <w:color w:val="242424"/>
        </w:rPr>
        <w:t xml:space="preserve"> this process effectively gives the minister and ATEC </w:t>
      </w:r>
      <w:r w:rsidR="00DF7CC0">
        <w:rPr>
          <w:rFonts w:ascii="Aptos" w:hAnsi="Aptos" w:cstheme="minorHAnsi"/>
          <w:color w:val="242424"/>
        </w:rPr>
        <w:t>broad power</w:t>
      </w:r>
      <w:r w:rsidR="005D75DF">
        <w:rPr>
          <w:rFonts w:ascii="Aptos" w:hAnsi="Aptos" w:cstheme="minorHAnsi"/>
          <w:color w:val="242424"/>
        </w:rPr>
        <w:t xml:space="preserve"> to </w:t>
      </w:r>
      <w:r w:rsidR="00693598">
        <w:rPr>
          <w:rFonts w:ascii="Aptos" w:hAnsi="Aptos" w:cstheme="minorHAnsi"/>
          <w:color w:val="242424"/>
        </w:rPr>
        <w:t xml:space="preserve">do </w:t>
      </w:r>
      <w:r w:rsidR="005D75DF">
        <w:rPr>
          <w:rFonts w:ascii="Aptos" w:hAnsi="Aptos" w:cstheme="minorHAnsi"/>
          <w:color w:val="242424"/>
        </w:rPr>
        <w:t>what they want in the university sector.</w:t>
      </w:r>
      <w:r w:rsidR="00DF7CC0">
        <w:rPr>
          <w:rFonts w:ascii="Aptos" w:hAnsi="Aptos" w:cstheme="minorHAnsi"/>
          <w:color w:val="242424"/>
        </w:rPr>
        <w:t xml:space="preserve"> The bill requires that ATEC</w:t>
      </w:r>
      <w:r w:rsidR="00236D3B">
        <w:rPr>
          <w:rFonts w:ascii="Aptos" w:hAnsi="Aptos" w:cstheme="minorHAnsi"/>
          <w:color w:val="242424"/>
        </w:rPr>
        <w:t xml:space="preserve"> consider </w:t>
      </w:r>
      <w:r w:rsidR="00EF3436">
        <w:rPr>
          <w:rFonts w:ascii="Aptos" w:hAnsi="Aptos" w:cstheme="minorHAnsi"/>
          <w:color w:val="242424"/>
        </w:rPr>
        <w:t>each</w:t>
      </w:r>
      <w:r w:rsidR="005D75DF">
        <w:rPr>
          <w:rFonts w:ascii="Aptos" w:hAnsi="Aptos" w:cstheme="minorHAnsi"/>
          <w:color w:val="242424"/>
        </w:rPr>
        <w:t xml:space="preserve"> university’s </w:t>
      </w:r>
      <w:r w:rsidR="00DF7CC0">
        <w:rPr>
          <w:rFonts w:ascii="Aptos" w:hAnsi="Aptos" w:cstheme="minorHAnsi"/>
          <w:color w:val="242424"/>
        </w:rPr>
        <w:t xml:space="preserve">mission and </w:t>
      </w:r>
      <w:r w:rsidR="00236D3B">
        <w:rPr>
          <w:rFonts w:ascii="Aptos" w:hAnsi="Aptos" w:cstheme="minorHAnsi"/>
          <w:color w:val="242424"/>
        </w:rPr>
        <w:t xml:space="preserve">academic </w:t>
      </w:r>
      <w:proofErr w:type="gramStart"/>
      <w:r w:rsidR="00236D3B">
        <w:rPr>
          <w:rFonts w:ascii="Aptos" w:hAnsi="Aptos" w:cstheme="minorHAnsi"/>
          <w:color w:val="242424"/>
        </w:rPr>
        <w:t>freedom</w:t>
      </w:r>
      <w:r w:rsidR="00DF7CC0">
        <w:rPr>
          <w:rFonts w:ascii="Aptos" w:hAnsi="Aptos" w:cstheme="minorHAnsi"/>
          <w:color w:val="242424"/>
        </w:rPr>
        <w:t>,</w:t>
      </w:r>
      <w:r w:rsidR="00236D3B">
        <w:rPr>
          <w:rFonts w:ascii="Aptos" w:hAnsi="Aptos" w:cstheme="minorHAnsi"/>
          <w:color w:val="242424"/>
        </w:rPr>
        <w:t xml:space="preserve"> </w:t>
      </w:r>
      <w:r w:rsidR="00DF7CC0">
        <w:rPr>
          <w:rFonts w:ascii="Aptos" w:hAnsi="Aptos" w:cstheme="minorHAnsi"/>
          <w:color w:val="242424"/>
        </w:rPr>
        <w:t>but</w:t>
      </w:r>
      <w:proofErr w:type="gramEnd"/>
      <w:r w:rsidR="00DF7CC0">
        <w:rPr>
          <w:rFonts w:ascii="Aptos" w:hAnsi="Aptos" w:cstheme="minorHAnsi"/>
          <w:color w:val="242424"/>
        </w:rPr>
        <w:t xml:space="preserve"> does not put any specific limits on compact content. </w:t>
      </w:r>
    </w:p>
    <w:p w14:paraId="37F5E2FD" w14:textId="5AF24686" w:rsidR="006C3D92" w:rsidRDefault="00EF3436" w:rsidP="00D76C71">
      <w:pPr>
        <w:pStyle w:val="NormalWeb"/>
        <w:rPr>
          <w:rFonts w:ascii="Aptos" w:hAnsi="Aptos" w:cstheme="minorHAnsi"/>
          <w:color w:val="242424"/>
        </w:rPr>
      </w:pPr>
      <w:r>
        <w:rPr>
          <w:rFonts w:ascii="Aptos" w:hAnsi="Aptos" w:cstheme="minorHAnsi"/>
          <w:color w:val="242424"/>
        </w:rPr>
        <w:t>T</w:t>
      </w:r>
      <w:r w:rsidR="00236D3B">
        <w:rPr>
          <w:rFonts w:ascii="Aptos" w:hAnsi="Aptos" w:cstheme="minorHAnsi"/>
          <w:color w:val="242424"/>
        </w:rPr>
        <w:t>he bill’s explanatory memorandum leaves an impression that the ‘unique mission’ of a university is important</w:t>
      </w:r>
      <w:r>
        <w:rPr>
          <w:rFonts w:ascii="Aptos" w:hAnsi="Aptos" w:cstheme="minorHAnsi"/>
          <w:color w:val="242424"/>
        </w:rPr>
        <w:t xml:space="preserve">. But the </w:t>
      </w:r>
      <w:r w:rsidR="00236D3B">
        <w:rPr>
          <w:rFonts w:ascii="Aptos" w:hAnsi="Aptos" w:cstheme="minorHAnsi"/>
          <w:color w:val="242424"/>
        </w:rPr>
        <w:t>bills contain no new programs or powers to support specific mission goals that a university might have.</w:t>
      </w:r>
      <w:r>
        <w:rPr>
          <w:rFonts w:ascii="Aptos" w:hAnsi="Aptos" w:cstheme="minorHAnsi"/>
          <w:color w:val="242424"/>
        </w:rPr>
        <w:t xml:space="preserve"> As drafted, the only new powers are to put additional controls on universities.</w:t>
      </w:r>
      <w:r w:rsidR="002878BD">
        <w:rPr>
          <w:rFonts w:ascii="Aptos" w:hAnsi="Aptos" w:cstheme="minorHAnsi"/>
          <w:color w:val="242424"/>
        </w:rPr>
        <w:t xml:space="preserve"> </w:t>
      </w:r>
      <w:r w:rsidR="00236D3B">
        <w:rPr>
          <w:rFonts w:ascii="Aptos" w:hAnsi="Aptos" w:cstheme="minorHAnsi"/>
          <w:color w:val="242424"/>
        </w:rPr>
        <w:t xml:space="preserve">Any </w:t>
      </w:r>
      <w:r>
        <w:rPr>
          <w:rFonts w:ascii="Aptos" w:hAnsi="Aptos" w:cstheme="minorHAnsi"/>
          <w:color w:val="242424"/>
        </w:rPr>
        <w:t xml:space="preserve">university </w:t>
      </w:r>
      <w:r w:rsidR="00236D3B">
        <w:rPr>
          <w:rFonts w:ascii="Aptos" w:hAnsi="Aptos" w:cstheme="minorHAnsi"/>
          <w:color w:val="242424"/>
        </w:rPr>
        <w:t xml:space="preserve">mission other than those </w:t>
      </w:r>
      <w:r>
        <w:rPr>
          <w:rFonts w:ascii="Aptos" w:hAnsi="Aptos" w:cstheme="minorHAnsi"/>
          <w:color w:val="242424"/>
        </w:rPr>
        <w:t>a</w:t>
      </w:r>
      <w:r w:rsidR="00236D3B">
        <w:rPr>
          <w:rFonts w:ascii="Aptos" w:hAnsi="Aptos" w:cstheme="minorHAnsi"/>
          <w:color w:val="242424"/>
        </w:rPr>
        <w:t>lign</w:t>
      </w:r>
      <w:r>
        <w:rPr>
          <w:rFonts w:ascii="Aptos" w:hAnsi="Aptos" w:cstheme="minorHAnsi"/>
          <w:color w:val="242424"/>
        </w:rPr>
        <w:t>ed</w:t>
      </w:r>
      <w:r w:rsidR="00236D3B">
        <w:rPr>
          <w:rFonts w:ascii="Aptos" w:hAnsi="Aptos" w:cstheme="minorHAnsi"/>
          <w:color w:val="242424"/>
        </w:rPr>
        <w:t xml:space="preserve"> </w:t>
      </w:r>
      <w:r>
        <w:rPr>
          <w:rFonts w:ascii="Aptos" w:hAnsi="Aptos" w:cstheme="minorHAnsi"/>
          <w:color w:val="242424"/>
        </w:rPr>
        <w:t xml:space="preserve">with government priorities </w:t>
      </w:r>
      <w:r w:rsidR="00515B16">
        <w:rPr>
          <w:rFonts w:ascii="Aptos" w:hAnsi="Aptos" w:cstheme="minorHAnsi"/>
          <w:color w:val="242424"/>
        </w:rPr>
        <w:t>can only be achieved</w:t>
      </w:r>
      <w:r w:rsidR="00236D3B">
        <w:rPr>
          <w:rFonts w:ascii="Aptos" w:hAnsi="Aptos" w:cstheme="minorHAnsi"/>
          <w:color w:val="242424"/>
        </w:rPr>
        <w:t xml:space="preserve"> with whatever time and money is left after meeting objectives</w:t>
      </w:r>
      <w:r>
        <w:rPr>
          <w:rFonts w:ascii="Aptos" w:hAnsi="Aptos" w:cstheme="minorHAnsi"/>
          <w:color w:val="242424"/>
        </w:rPr>
        <w:t xml:space="preserve"> imposed by its compact</w:t>
      </w:r>
      <w:r w:rsidR="00236D3B">
        <w:rPr>
          <w:rFonts w:ascii="Aptos" w:hAnsi="Aptos" w:cstheme="minorHAnsi"/>
          <w:color w:val="242424"/>
        </w:rPr>
        <w:t xml:space="preserve">. </w:t>
      </w:r>
    </w:p>
    <w:p w14:paraId="3F6E6CFD" w14:textId="6D08E398" w:rsidR="005D75DF" w:rsidRDefault="005D75DF" w:rsidP="00D76C71">
      <w:pPr>
        <w:pStyle w:val="NormalWeb"/>
        <w:rPr>
          <w:rFonts w:ascii="Aptos" w:hAnsi="Aptos" w:cstheme="minorHAnsi"/>
          <w:color w:val="242424"/>
        </w:rPr>
      </w:pPr>
      <w:r>
        <w:rPr>
          <w:rFonts w:ascii="Aptos" w:hAnsi="Aptos" w:cstheme="minorHAnsi"/>
          <w:color w:val="242424"/>
        </w:rPr>
        <w:t xml:space="preserve">Putting the university sector under the discretionary power of government in this way would have been near-unthinkable until recent years. Although inevitably grey areas exist between matters of university autonomy and matters of legitimate public control, historically governments have accepted </w:t>
      </w:r>
      <w:r w:rsidR="00515B16">
        <w:rPr>
          <w:rFonts w:ascii="Aptos" w:hAnsi="Aptos" w:cstheme="minorHAnsi"/>
          <w:color w:val="242424"/>
        </w:rPr>
        <w:t xml:space="preserve">a small-c constitutional divide between the two. </w:t>
      </w:r>
      <w:r w:rsidR="001C090A">
        <w:rPr>
          <w:rFonts w:ascii="Aptos" w:hAnsi="Aptos" w:cstheme="minorHAnsi"/>
          <w:color w:val="242424"/>
        </w:rPr>
        <w:t xml:space="preserve">Many public policy devices have tried to maintain this line: block grants that don’t specify exactly how they should be used, project grants selected by academic peers, and numerous rule-driven programs that reward certain activities and outcomes but leave universities free not to pursue them (in practice, most try to maximise their grants). </w:t>
      </w:r>
    </w:p>
    <w:p w14:paraId="6EBBA63F" w14:textId="254BCF51" w:rsidR="005D75DF" w:rsidRDefault="00732834" w:rsidP="00D76C71">
      <w:pPr>
        <w:pStyle w:val="NormalWeb"/>
        <w:rPr>
          <w:rFonts w:ascii="Aptos" w:hAnsi="Aptos" w:cstheme="minorHAnsi"/>
          <w:color w:val="242424"/>
        </w:rPr>
      </w:pPr>
      <w:r>
        <w:rPr>
          <w:rFonts w:ascii="Aptos" w:hAnsi="Aptos" w:cstheme="minorHAnsi"/>
          <w:color w:val="242424"/>
        </w:rPr>
        <w:t>But since the late 2010s policymakers in Canberra have lost confidence in university governance and management</w:t>
      </w:r>
      <w:r w:rsidR="004C2B42">
        <w:rPr>
          <w:rFonts w:ascii="Aptos" w:hAnsi="Aptos" w:cstheme="minorHAnsi"/>
          <w:color w:val="242424"/>
        </w:rPr>
        <w:t xml:space="preserve"> and impliedly increased their confidence in bureaucratic solutions, their chosen policy response</w:t>
      </w:r>
      <w:r>
        <w:rPr>
          <w:rFonts w:ascii="Aptos" w:hAnsi="Aptos" w:cstheme="minorHAnsi"/>
          <w:color w:val="242424"/>
        </w:rPr>
        <w:t xml:space="preserve"> </w:t>
      </w:r>
      <w:sdt>
        <w:sdtPr>
          <w:rPr>
            <w:rFonts w:ascii="Aptos" w:hAnsi="Aptos" w:cstheme="minorHAnsi"/>
            <w:color w:val="242424"/>
          </w:rPr>
          <w:tag w:val="MENDELEY_CITATION_v3_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"/>
          <w:id w:val="-1212418010"/>
          <w:placeholder>
            <w:docPart w:val="DefaultPlaceholder_-1854013440"/>
          </w:placeholder>
        </w:sdtPr>
        <w:sdtContent>
          <w:r w:rsidR="00094A58" w:rsidRPr="00094A58">
            <w:rPr>
              <w:rFonts w:ascii="Aptos" w:hAnsi="Aptos" w:cstheme="minorHAnsi"/>
              <w:color w:val="242424"/>
            </w:rPr>
            <w:t>(Norton, 2025a)</w:t>
          </w:r>
        </w:sdtContent>
      </w:sdt>
      <w:r w:rsidR="004C2B42">
        <w:rPr>
          <w:rFonts w:ascii="Aptos" w:hAnsi="Aptos" w:cstheme="minorHAnsi"/>
          <w:color w:val="242424"/>
        </w:rPr>
        <w:t xml:space="preserve">. The compacts, however, would take this to a new level, both in imposing few limitations on what compacts can include and by excluding the Parliament from the process after these bills pass. Neither the minister’s nor ATEC’s priorities will be legislative instruments that can be disallowed by the Senate or the House of Representatives. </w:t>
      </w:r>
    </w:p>
    <w:p w14:paraId="574C097F" w14:textId="1EBDC25A" w:rsidR="004C2B42" w:rsidRDefault="004C2B42" w:rsidP="00D76C71">
      <w:pPr>
        <w:pStyle w:val="NormalWeb"/>
        <w:rPr>
          <w:rFonts w:ascii="Aptos" w:hAnsi="Aptos" w:cstheme="minorHAnsi"/>
          <w:color w:val="242424"/>
        </w:rPr>
      </w:pPr>
      <w:r>
        <w:rPr>
          <w:rFonts w:ascii="Aptos" w:hAnsi="Aptos" w:cstheme="minorHAnsi"/>
          <w:color w:val="242424"/>
        </w:rPr>
        <w:t>If the compacts proceed, they should only be on matters specified by the Parliament. Their content should be restricted to matters that reasonably lend themselves to university-by-university decision-making, such as an allocation of Commonwealth supported places. All other control of universities should be via clear rules approved by the Parliament</w:t>
      </w:r>
      <w:r w:rsidR="00EF3436">
        <w:rPr>
          <w:rFonts w:ascii="Aptos" w:hAnsi="Aptos" w:cstheme="minorHAnsi"/>
          <w:color w:val="242424"/>
        </w:rPr>
        <w:t>.</w:t>
      </w:r>
    </w:p>
    <w:p w14:paraId="07C4D7F1" w14:textId="183D9490" w:rsidR="00153AC5" w:rsidRDefault="00153AC5" w:rsidP="00153AC5">
      <w:pPr>
        <w:pStyle w:val="Heading2"/>
      </w:pPr>
      <w:bookmarkStart w:id="18" w:name="_Toc219380889"/>
      <w:r>
        <w:t>ATEC’s effectiveness</w:t>
      </w:r>
      <w:bookmarkEnd w:id="18"/>
    </w:p>
    <w:p w14:paraId="255E25F8" w14:textId="4E5CFF6A" w:rsidR="004C2B42" w:rsidRDefault="009F1FB2" w:rsidP="007F40EF">
      <w:pPr>
        <w:pStyle w:val="NormalWeb"/>
        <w:rPr>
          <w:rFonts w:ascii="Aptos" w:hAnsi="Aptos" w:cstheme="minorHAnsi"/>
          <w:color w:val="242424"/>
        </w:rPr>
      </w:pPr>
      <w:r>
        <w:rPr>
          <w:rFonts w:ascii="Aptos" w:hAnsi="Aptos" w:cstheme="minorHAnsi"/>
          <w:color w:val="242424"/>
        </w:rPr>
        <w:t>T</w:t>
      </w:r>
      <w:r w:rsidR="004C2B42">
        <w:rPr>
          <w:rFonts w:ascii="Aptos" w:hAnsi="Aptos" w:cstheme="minorHAnsi"/>
          <w:color w:val="242424"/>
        </w:rPr>
        <w:t xml:space="preserve">he government’s policies </w:t>
      </w:r>
      <w:r>
        <w:rPr>
          <w:rFonts w:ascii="Aptos" w:hAnsi="Aptos" w:cstheme="minorHAnsi"/>
          <w:color w:val="242424"/>
        </w:rPr>
        <w:t>imply a belief</w:t>
      </w:r>
      <w:r w:rsidR="004C2B42">
        <w:rPr>
          <w:rFonts w:ascii="Aptos" w:hAnsi="Aptos" w:cstheme="minorHAnsi"/>
          <w:color w:val="242424"/>
        </w:rPr>
        <w:t xml:space="preserve"> that a more bureaucratic approach will improve higher education outcomes. </w:t>
      </w:r>
      <w:r>
        <w:rPr>
          <w:rFonts w:ascii="Aptos" w:hAnsi="Aptos" w:cstheme="minorHAnsi"/>
          <w:color w:val="242424"/>
        </w:rPr>
        <w:t>E</w:t>
      </w:r>
      <w:r w:rsidR="004C2B42">
        <w:rPr>
          <w:rFonts w:ascii="Aptos" w:hAnsi="Aptos" w:cstheme="minorHAnsi"/>
          <w:color w:val="242424"/>
        </w:rPr>
        <w:t>ven if we accept this assumption, it is not clear that ATEC will improve matters significantly compared to current Department of Education arrangements.</w:t>
      </w:r>
    </w:p>
    <w:p w14:paraId="185A45FD" w14:textId="71D1C92C" w:rsidR="004C2B42" w:rsidRDefault="004C2B42" w:rsidP="007F40EF">
      <w:pPr>
        <w:pStyle w:val="NormalWeb"/>
        <w:rPr>
          <w:rFonts w:ascii="Aptos" w:hAnsi="Aptos" w:cstheme="minorHAnsi"/>
          <w:color w:val="242424"/>
        </w:rPr>
      </w:pPr>
      <w:r>
        <w:rPr>
          <w:rFonts w:ascii="Aptos" w:hAnsi="Aptos" w:cstheme="minorHAnsi"/>
          <w:color w:val="242424"/>
        </w:rPr>
        <w:t xml:space="preserve">A major reason for doubt about ATEC’s </w:t>
      </w:r>
      <w:r w:rsidR="00AA2A62">
        <w:rPr>
          <w:rFonts w:ascii="Aptos" w:hAnsi="Aptos" w:cstheme="minorHAnsi"/>
          <w:color w:val="242424"/>
        </w:rPr>
        <w:t>scope for improvement</w:t>
      </w:r>
      <w:r>
        <w:rPr>
          <w:rFonts w:ascii="Aptos" w:hAnsi="Aptos" w:cstheme="minorHAnsi"/>
          <w:color w:val="242424"/>
        </w:rPr>
        <w:t xml:space="preserve"> is </w:t>
      </w:r>
      <w:r w:rsidR="00AA2A62">
        <w:rPr>
          <w:rFonts w:ascii="Aptos" w:hAnsi="Aptos" w:cstheme="minorHAnsi"/>
          <w:color w:val="242424"/>
        </w:rPr>
        <w:t>its lack of</w:t>
      </w:r>
      <w:r w:rsidR="00292E7B">
        <w:rPr>
          <w:rFonts w:ascii="Aptos" w:hAnsi="Aptos" w:cstheme="minorHAnsi"/>
          <w:color w:val="242424"/>
        </w:rPr>
        <w:t xml:space="preserve"> power to hire and fire staff. They will all be supplied by the Department of Education. ATEC cannot even contract out research</w:t>
      </w:r>
      <w:r w:rsidR="00AA2A62">
        <w:rPr>
          <w:rFonts w:ascii="Aptos" w:hAnsi="Aptos" w:cstheme="minorHAnsi"/>
          <w:color w:val="242424"/>
        </w:rPr>
        <w:t xml:space="preserve"> without the Department’s approval</w:t>
      </w:r>
      <w:r w:rsidR="00292E7B">
        <w:rPr>
          <w:rFonts w:ascii="Aptos" w:hAnsi="Aptos" w:cstheme="minorHAnsi"/>
          <w:color w:val="242424"/>
        </w:rPr>
        <w:t xml:space="preserve"> (see chapter </w:t>
      </w:r>
      <w:r w:rsidR="00292E7B">
        <w:rPr>
          <w:rFonts w:ascii="Aptos" w:hAnsi="Aptos" w:cstheme="minorHAnsi"/>
          <w:color w:val="242424"/>
        </w:rPr>
        <w:fldChar w:fldCharType="begin"/>
      </w:r>
      <w:r w:rsidR="00292E7B">
        <w:rPr>
          <w:rFonts w:ascii="Aptos" w:hAnsi="Aptos" w:cstheme="minorHAnsi"/>
          <w:color w:val="242424"/>
        </w:rPr>
        <w:instrText xml:space="preserve"> REF _Ref218603899 \r \h </w:instrText>
      </w:r>
      <w:r w:rsidR="00292E7B">
        <w:rPr>
          <w:rFonts w:ascii="Aptos" w:hAnsi="Aptos" w:cstheme="minorHAnsi"/>
          <w:color w:val="242424"/>
        </w:rPr>
      </w:r>
      <w:r w:rsidR="00292E7B">
        <w:rPr>
          <w:rFonts w:ascii="Aptos" w:hAnsi="Aptos" w:cstheme="minorHAnsi"/>
          <w:color w:val="242424"/>
        </w:rPr>
        <w:fldChar w:fldCharType="separate"/>
      </w:r>
      <w:r w:rsidR="0055214B">
        <w:rPr>
          <w:rFonts w:ascii="Aptos" w:hAnsi="Aptos" w:cstheme="minorHAnsi"/>
          <w:color w:val="242424"/>
        </w:rPr>
        <w:t>9</w:t>
      </w:r>
      <w:r w:rsidR="00292E7B">
        <w:rPr>
          <w:rFonts w:ascii="Aptos" w:hAnsi="Aptos" w:cstheme="minorHAnsi"/>
          <w:color w:val="242424"/>
        </w:rPr>
        <w:fldChar w:fldCharType="end"/>
      </w:r>
      <w:r w:rsidR="00AA2A62">
        <w:rPr>
          <w:rFonts w:ascii="Aptos" w:hAnsi="Aptos" w:cstheme="minorHAnsi"/>
          <w:color w:val="242424"/>
        </w:rPr>
        <w:t xml:space="preserve"> of this submission</w:t>
      </w:r>
      <w:r w:rsidR="00292E7B">
        <w:rPr>
          <w:rFonts w:ascii="Aptos" w:hAnsi="Aptos" w:cstheme="minorHAnsi"/>
          <w:color w:val="242424"/>
        </w:rPr>
        <w:t xml:space="preserve">). </w:t>
      </w:r>
    </w:p>
    <w:p w14:paraId="055B21FF" w14:textId="464847A6" w:rsidR="00292E7B" w:rsidRDefault="00292E7B" w:rsidP="007F40EF">
      <w:pPr>
        <w:pStyle w:val="NormalWeb"/>
        <w:rPr>
          <w:rFonts w:ascii="Aptos" w:hAnsi="Aptos" w:cstheme="minorHAnsi"/>
          <w:color w:val="242424"/>
        </w:rPr>
      </w:pPr>
      <w:r>
        <w:rPr>
          <w:rFonts w:ascii="Aptos" w:hAnsi="Aptos" w:cstheme="minorHAnsi"/>
          <w:color w:val="242424"/>
        </w:rPr>
        <w:t xml:space="preserve">ATEC commissioners are not required to have expertise </w:t>
      </w:r>
      <w:r w:rsidR="00DF7CC0">
        <w:rPr>
          <w:rFonts w:ascii="Aptos" w:hAnsi="Aptos" w:cstheme="minorHAnsi"/>
          <w:color w:val="242424"/>
        </w:rPr>
        <w:t>i</w:t>
      </w:r>
      <w:r>
        <w:rPr>
          <w:rFonts w:ascii="Aptos" w:hAnsi="Aptos" w:cstheme="minorHAnsi"/>
          <w:color w:val="242424"/>
        </w:rPr>
        <w:t>n a wide range of areas in which they will make decision</w:t>
      </w:r>
      <w:r w:rsidR="00DF7CC0">
        <w:rPr>
          <w:rFonts w:ascii="Aptos" w:hAnsi="Aptos" w:cstheme="minorHAnsi"/>
          <w:color w:val="242424"/>
        </w:rPr>
        <w:t>s</w:t>
      </w:r>
      <w:r>
        <w:rPr>
          <w:rFonts w:ascii="Aptos" w:hAnsi="Aptos" w:cstheme="minorHAnsi"/>
          <w:color w:val="242424"/>
        </w:rPr>
        <w:t xml:space="preserve"> and offer advice. </w:t>
      </w:r>
      <w:r w:rsidR="009F1FB2">
        <w:rPr>
          <w:rFonts w:ascii="Aptos" w:hAnsi="Aptos" w:cstheme="minorHAnsi"/>
          <w:color w:val="242424"/>
        </w:rPr>
        <w:t>ATEC will</w:t>
      </w:r>
      <w:r>
        <w:rPr>
          <w:rFonts w:ascii="Aptos" w:hAnsi="Aptos" w:cstheme="minorHAnsi"/>
          <w:color w:val="242424"/>
        </w:rPr>
        <w:t xml:space="preserve"> replace the current Higher Education Standards Panel as the minister’s adviser on the Threshold Standards that govern all higher </w:t>
      </w:r>
      <w:r>
        <w:rPr>
          <w:rFonts w:ascii="Aptos" w:hAnsi="Aptos" w:cstheme="minorHAnsi"/>
          <w:color w:val="242424"/>
        </w:rPr>
        <w:lastRenderedPageBreak/>
        <w:t>education providers</w:t>
      </w:r>
      <w:r w:rsidR="009F1FB2">
        <w:rPr>
          <w:rFonts w:ascii="Aptos" w:hAnsi="Aptos" w:cstheme="minorHAnsi"/>
          <w:color w:val="242424"/>
        </w:rPr>
        <w:t xml:space="preserve">. Yet none of the commissioners are required to have any expertise in quality standards (see chapter </w:t>
      </w:r>
      <w:r w:rsidR="009F1FB2">
        <w:rPr>
          <w:rFonts w:ascii="Aptos" w:hAnsi="Aptos" w:cstheme="minorHAnsi"/>
          <w:color w:val="242424"/>
        </w:rPr>
        <w:fldChar w:fldCharType="begin"/>
      </w:r>
      <w:r w:rsidR="009F1FB2">
        <w:rPr>
          <w:rFonts w:ascii="Aptos" w:hAnsi="Aptos" w:cstheme="minorHAnsi"/>
          <w:color w:val="242424"/>
        </w:rPr>
        <w:instrText xml:space="preserve"> REF _Ref216885768 \r \h </w:instrText>
      </w:r>
      <w:r w:rsidR="009F1FB2">
        <w:rPr>
          <w:rFonts w:ascii="Aptos" w:hAnsi="Aptos" w:cstheme="minorHAnsi"/>
          <w:color w:val="242424"/>
        </w:rPr>
      </w:r>
      <w:r w:rsidR="009F1FB2">
        <w:rPr>
          <w:rFonts w:ascii="Aptos" w:hAnsi="Aptos" w:cstheme="minorHAnsi"/>
          <w:color w:val="242424"/>
        </w:rPr>
        <w:fldChar w:fldCharType="separate"/>
      </w:r>
      <w:r w:rsidR="0055214B">
        <w:rPr>
          <w:rFonts w:ascii="Aptos" w:hAnsi="Aptos" w:cstheme="minorHAnsi"/>
          <w:color w:val="242424"/>
        </w:rPr>
        <w:t>3</w:t>
      </w:r>
      <w:r w:rsidR="009F1FB2">
        <w:rPr>
          <w:rFonts w:ascii="Aptos" w:hAnsi="Aptos" w:cstheme="minorHAnsi"/>
          <w:color w:val="242424"/>
        </w:rPr>
        <w:fldChar w:fldCharType="end"/>
      </w:r>
      <w:r w:rsidR="00953776">
        <w:rPr>
          <w:rFonts w:ascii="Aptos" w:hAnsi="Aptos" w:cstheme="minorHAnsi"/>
          <w:color w:val="242424"/>
        </w:rPr>
        <w:t xml:space="preserve"> of this submission</w:t>
      </w:r>
      <w:r w:rsidR="009F1FB2">
        <w:rPr>
          <w:rFonts w:ascii="Aptos" w:hAnsi="Aptos" w:cstheme="minorHAnsi"/>
          <w:color w:val="242424"/>
        </w:rPr>
        <w:t>). Nor are the commissioners required to have any expertise in research, equity, or university funding (</w:t>
      </w:r>
      <w:r w:rsidR="00953776">
        <w:rPr>
          <w:rFonts w:ascii="Aptos" w:hAnsi="Aptos" w:cstheme="minorHAnsi"/>
          <w:color w:val="242424"/>
        </w:rPr>
        <w:t xml:space="preserve">see </w:t>
      </w:r>
      <w:r w:rsidR="009F1FB2">
        <w:rPr>
          <w:rFonts w:ascii="Aptos" w:hAnsi="Aptos" w:cstheme="minorHAnsi"/>
          <w:color w:val="242424"/>
        </w:rPr>
        <w:t xml:space="preserve">chapter </w:t>
      </w:r>
      <w:r w:rsidR="009F1FB2">
        <w:rPr>
          <w:rFonts w:ascii="Aptos" w:hAnsi="Aptos" w:cstheme="minorHAnsi"/>
          <w:color w:val="242424"/>
        </w:rPr>
        <w:fldChar w:fldCharType="begin"/>
      </w:r>
      <w:r w:rsidR="009F1FB2">
        <w:rPr>
          <w:rFonts w:ascii="Aptos" w:hAnsi="Aptos" w:cstheme="minorHAnsi"/>
          <w:color w:val="242424"/>
        </w:rPr>
        <w:instrText xml:space="preserve"> REF _Ref217042283 \r \h </w:instrText>
      </w:r>
      <w:r w:rsidR="009F1FB2">
        <w:rPr>
          <w:rFonts w:ascii="Aptos" w:hAnsi="Aptos" w:cstheme="minorHAnsi"/>
          <w:color w:val="242424"/>
        </w:rPr>
      </w:r>
      <w:r w:rsidR="009F1FB2">
        <w:rPr>
          <w:rFonts w:ascii="Aptos" w:hAnsi="Aptos" w:cstheme="minorHAnsi"/>
          <w:color w:val="242424"/>
        </w:rPr>
        <w:fldChar w:fldCharType="separate"/>
      </w:r>
      <w:r w:rsidR="0055214B">
        <w:rPr>
          <w:rFonts w:ascii="Aptos" w:hAnsi="Aptos" w:cstheme="minorHAnsi"/>
          <w:color w:val="242424"/>
        </w:rPr>
        <w:t>8</w:t>
      </w:r>
      <w:r w:rsidR="009F1FB2">
        <w:rPr>
          <w:rFonts w:ascii="Aptos" w:hAnsi="Aptos" w:cstheme="minorHAnsi"/>
          <w:color w:val="242424"/>
        </w:rPr>
        <w:fldChar w:fldCharType="end"/>
      </w:r>
      <w:r w:rsidR="009F1FB2">
        <w:rPr>
          <w:rFonts w:ascii="Aptos" w:hAnsi="Aptos" w:cstheme="minorHAnsi"/>
          <w:color w:val="242424"/>
        </w:rPr>
        <w:t xml:space="preserve">). </w:t>
      </w:r>
    </w:p>
    <w:p w14:paraId="7BBCC225" w14:textId="205B4959" w:rsidR="009F1FB2" w:rsidRDefault="00DF7CC0" w:rsidP="007F40EF">
      <w:pPr>
        <w:pStyle w:val="NormalWeb"/>
        <w:rPr>
          <w:rFonts w:ascii="Aptos" w:hAnsi="Aptos" w:cstheme="minorHAnsi"/>
          <w:color w:val="242424"/>
        </w:rPr>
      </w:pPr>
      <w:r>
        <w:rPr>
          <w:rFonts w:ascii="Aptos" w:hAnsi="Aptos" w:cstheme="minorHAnsi"/>
          <w:color w:val="242424"/>
        </w:rPr>
        <w:t xml:space="preserve">In practice, </w:t>
      </w:r>
      <w:r w:rsidR="009F1FB2">
        <w:rPr>
          <w:rFonts w:ascii="Aptos" w:hAnsi="Aptos" w:cstheme="minorHAnsi"/>
          <w:color w:val="242424"/>
        </w:rPr>
        <w:t xml:space="preserve">the </w:t>
      </w:r>
      <w:r w:rsidR="00AA2A62">
        <w:rPr>
          <w:rFonts w:ascii="Aptos" w:hAnsi="Aptos" w:cstheme="minorHAnsi"/>
          <w:color w:val="242424"/>
        </w:rPr>
        <w:t xml:space="preserve">appointed </w:t>
      </w:r>
      <w:r w:rsidR="009F1FB2">
        <w:rPr>
          <w:rFonts w:ascii="Aptos" w:hAnsi="Aptos" w:cstheme="minorHAnsi"/>
          <w:color w:val="242424"/>
        </w:rPr>
        <w:t xml:space="preserve">commissioners </w:t>
      </w:r>
      <w:r w:rsidR="00693598">
        <w:rPr>
          <w:rFonts w:ascii="Aptos" w:hAnsi="Aptos" w:cstheme="minorHAnsi"/>
          <w:color w:val="242424"/>
        </w:rPr>
        <w:t xml:space="preserve">will </w:t>
      </w:r>
      <w:r w:rsidR="009F1FB2">
        <w:rPr>
          <w:rFonts w:ascii="Aptos" w:hAnsi="Aptos" w:cstheme="minorHAnsi"/>
          <w:color w:val="242424"/>
        </w:rPr>
        <w:t xml:space="preserve">have </w:t>
      </w:r>
      <w:r>
        <w:rPr>
          <w:rFonts w:ascii="Aptos" w:hAnsi="Aptos" w:cstheme="minorHAnsi"/>
          <w:color w:val="242424"/>
        </w:rPr>
        <w:t xml:space="preserve">areas of specific </w:t>
      </w:r>
      <w:r w:rsidR="00693598">
        <w:rPr>
          <w:rFonts w:ascii="Aptos" w:hAnsi="Aptos" w:cstheme="minorHAnsi"/>
          <w:color w:val="242424"/>
        </w:rPr>
        <w:t xml:space="preserve">higher education </w:t>
      </w:r>
      <w:r w:rsidR="009F1FB2">
        <w:rPr>
          <w:rFonts w:ascii="Aptos" w:hAnsi="Aptos" w:cstheme="minorHAnsi"/>
          <w:color w:val="242424"/>
        </w:rPr>
        <w:t xml:space="preserve">expertise </w:t>
      </w:r>
      <w:r>
        <w:rPr>
          <w:rFonts w:ascii="Aptos" w:hAnsi="Aptos" w:cstheme="minorHAnsi"/>
          <w:color w:val="242424"/>
        </w:rPr>
        <w:t>beyond</w:t>
      </w:r>
      <w:r w:rsidR="009F1FB2">
        <w:rPr>
          <w:rFonts w:ascii="Aptos" w:hAnsi="Aptos" w:cstheme="minorHAnsi"/>
          <w:color w:val="242424"/>
        </w:rPr>
        <w:t xml:space="preserve"> the statutory minimum requirements, </w:t>
      </w:r>
      <w:r>
        <w:rPr>
          <w:rFonts w:ascii="Aptos" w:hAnsi="Aptos" w:cstheme="minorHAnsi"/>
          <w:color w:val="242424"/>
        </w:rPr>
        <w:t xml:space="preserve">but </w:t>
      </w:r>
      <w:r w:rsidR="009F1FB2">
        <w:rPr>
          <w:rFonts w:ascii="Aptos" w:hAnsi="Aptos" w:cstheme="minorHAnsi"/>
          <w:color w:val="242424"/>
        </w:rPr>
        <w:t xml:space="preserve">the low number of commissioners – </w:t>
      </w:r>
      <w:r>
        <w:rPr>
          <w:rFonts w:ascii="Aptos" w:hAnsi="Aptos" w:cstheme="minorHAnsi"/>
          <w:color w:val="242424"/>
        </w:rPr>
        <w:t>3</w:t>
      </w:r>
      <w:r w:rsidR="00693598">
        <w:rPr>
          <w:rFonts w:ascii="Aptos" w:hAnsi="Aptos" w:cstheme="minorHAnsi"/>
          <w:color w:val="242424"/>
        </w:rPr>
        <w:t xml:space="preserve"> by headcount, </w:t>
      </w:r>
      <w:r w:rsidR="009F1FB2">
        <w:rPr>
          <w:rFonts w:ascii="Aptos" w:hAnsi="Aptos" w:cstheme="minorHAnsi"/>
          <w:color w:val="242424"/>
        </w:rPr>
        <w:t xml:space="preserve">about 2.5 full-time equivalents due to one commissioner being part-time – restricts the range of skills and experience ATEC can draw on. </w:t>
      </w:r>
    </w:p>
    <w:p w14:paraId="6181DD86" w14:textId="17457A54" w:rsidR="009F1FB2" w:rsidRDefault="00693598" w:rsidP="007F40EF">
      <w:pPr>
        <w:pStyle w:val="NormalWeb"/>
        <w:rPr>
          <w:rFonts w:ascii="Aptos" w:hAnsi="Aptos" w:cstheme="minorHAnsi"/>
          <w:color w:val="242424"/>
        </w:rPr>
      </w:pPr>
      <w:r>
        <w:rPr>
          <w:rFonts w:ascii="Aptos" w:hAnsi="Aptos" w:cstheme="minorHAnsi"/>
          <w:color w:val="242424"/>
        </w:rPr>
        <w:t>A</w:t>
      </w:r>
      <w:r w:rsidR="009F1FB2">
        <w:rPr>
          <w:rFonts w:ascii="Aptos" w:hAnsi="Aptos" w:cstheme="minorHAnsi"/>
          <w:color w:val="242424"/>
        </w:rPr>
        <w:t xml:space="preserve"> </w:t>
      </w:r>
      <w:r w:rsidR="00DF7CC0">
        <w:rPr>
          <w:rFonts w:ascii="Aptos" w:hAnsi="Aptos" w:cstheme="minorHAnsi"/>
          <w:color w:val="242424"/>
        </w:rPr>
        <w:t>three-c</w:t>
      </w:r>
      <w:r w:rsidR="009F1FB2">
        <w:rPr>
          <w:rFonts w:ascii="Aptos" w:hAnsi="Aptos" w:cstheme="minorHAnsi"/>
          <w:color w:val="242424"/>
        </w:rPr>
        <w:t>ommissioner</w:t>
      </w:r>
      <w:r>
        <w:rPr>
          <w:rFonts w:ascii="Aptos" w:hAnsi="Aptos" w:cstheme="minorHAnsi"/>
          <w:color w:val="242424"/>
        </w:rPr>
        <w:t xml:space="preserve"> ATEC</w:t>
      </w:r>
      <w:r w:rsidR="009F1FB2">
        <w:rPr>
          <w:rFonts w:ascii="Aptos" w:hAnsi="Aptos" w:cstheme="minorHAnsi"/>
          <w:color w:val="242424"/>
        </w:rPr>
        <w:t xml:space="preserve"> risks single decision maker determinations. The quorum for decision making </w:t>
      </w:r>
      <w:r w:rsidR="00DF7CC0">
        <w:rPr>
          <w:rFonts w:ascii="Aptos" w:hAnsi="Aptos" w:cstheme="minorHAnsi"/>
          <w:color w:val="242424"/>
        </w:rPr>
        <w:t>is</w:t>
      </w:r>
      <w:r w:rsidR="009F1FB2">
        <w:rPr>
          <w:rFonts w:ascii="Aptos" w:hAnsi="Aptos" w:cstheme="minorHAnsi"/>
          <w:color w:val="242424"/>
        </w:rPr>
        <w:t xml:space="preserve"> </w:t>
      </w:r>
      <w:r w:rsidR="00DF7CC0">
        <w:rPr>
          <w:rFonts w:ascii="Aptos" w:hAnsi="Aptos" w:cstheme="minorHAnsi"/>
          <w:color w:val="242424"/>
        </w:rPr>
        <w:t xml:space="preserve">two </w:t>
      </w:r>
      <w:r w:rsidR="009F1FB2">
        <w:rPr>
          <w:rFonts w:ascii="Aptos" w:hAnsi="Aptos" w:cstheme="minorHAnsi"/>
          <w:color w:val="242424"/>
        </w:rPr>
        <w:t xml:space="preserve">of the </w:t>
      </w:r>
      <w:r w:rsidR="00DF7CC0">
        <w:rPr>
          <w:rFonts w:ascii="Aptos" w:hAnsi="Aptos" w:cstheme="minorHAnsi"/>
          <w:color w:val="242424"/>
        </w:rPr>
        <w:t>three</w:t>
      </w:r>
      <w:r>
        <w:rPr>
          <w:rFonts w:ascii="Aptos" w:hAnsi="Aptos" w:cstheme="minorHAnsi"/>
          <w:color w:val="242424"/>
        </w:rPr>
        <w:t xml:space="preserve"> </w:t>
      </w:r>
      <w:r w:rsidR="009F1FB2">
        <w:rPr>
          <w:rFonts w:ascii="Aptos" w:hAnsi="Aptos" w:cstheme="minorHAnsi"/>
          <w:color w:val="242424"/>
        </w:rPr>
        <w:t xml:space="preserve">commissioners. With the part-time commissioner not working for much of the year, and </w:t>
      </w:r>
      <w:r w:rsidR="00DF7CC0">
        <w:rPr>
          <w:rFonts w:ascii="Aptos" w:hAnsi="Aptos" w:cstheme="minorHAnsi"/>
          <w:color w:val="242424"/>
        </w:rPr>
        <w:t>the other</w:t>
      </w:r>
      <w:r w:rsidR="009F1FB2">
        <w:rPr>
          <w:rFonts w:ascii="Aptos" w:hAnsi="Aptos" w:cstheme="minorHAnsi"/>
          <w:color w:val="242424"/>
        </w:rPr>
        <w:t xml:space="preserve"> commissioners </w:t>
      </w:r>
      <w:r w:rsidR="00DF7CC0">
        <w:rPr>
          <w:rFonts w:ascii="Aptos" w:hAnsi="Aptos" w:cstheme="minorHAnsi"/>
          <w:color w:val="242424"/>
        </w:rPr>
        <w:t>potentially on holiday or sick</w:t>
      </w:r>
      <w:r w:rsidR="009F1FB2">
        <w:rPr>
          <w:rFonts w:ascii="Aptos" w:hAnsi="Aptos" w:cstheme="minorHAnsi"/>
          <w:color w:val="242424"/>
        </w:rPr>
        <w:t xml:space="preserve"> leave, </w:t>
      </w:r>
      <w:r>
        <w:rPr>
          <w:rFonts w:ascii="Aptos" w:hAnsi="Aptos" w:cstheme="minorHAnsi"/>
          <w:color w:val="242424"/>
        </w:rPr>
        <w:t>two</w:t>
      </w:r>
      <w:r w:rsidR="009F1FB2">
        <w:rPr>
          <w:rFonts w:ascii="Aptos" w:hAnsi="Aptos" w:cstheme="minorHAnsi"/>
          <w:color w:val="242424"/>
        </w:rPr>
        <w:t>-person meetings</w:t>
      </w:r>
      <w:r w:rsidR="00A26A07">
        <w:rPr>
          <w:rFonts w:ascii="Aptos" w:hAnsi="Aptos" w:cstheme="minorHAnsi"/>
          <w:color w:val="242424"/>
        </w:rPr>
        <w:t xml:space="preserve"> </w:t>
      </w:r>
      <w:r w:rsidR="00DF7CC0">
        <w:rPr>
          <w:rFonts w:ascii="Aptos" w:hAnsi="Aptos" w:cstheme="minorHAnsi"/>
          <w:color w:val="242424"/>
        </w:rPr>
        <w:t>are likely to occur</w:t>
      </w:r>
      <w:r w:rsidR="00A26A07">
        <w:rPr>
          <w:rFonts w:ascii="Aptos" w:hAnsi="Aptos" w:cstheme="minorHAnsi"/>
          <w:color w:val="242424"/>
        </w:rPr>
        <w:t xml:space="preserve">. As the chair has </w:t>
      </w:r>
      <w:r w:rsidR="00DF7CC0">
        <w:rPr>
          <w:rFonts w:ascii="Aptos" w:hAnsi="Aptos" w:cstheme="minorHAnsi"/>
          <w:color w:val="242424"/>
        </w:rPr>
        <w:t>a</w:t>
      </w:r>
      <w:r w:rsidR="00A26A07">
        <w:rPr>
          <w:rFonts w:ascii="Aptos" w:hAnsi="Aptos" w:cstheme="minorHAnsi"/>
          <w:color w:val="242424"/>
        </w:rPr>
        <w:t xml:space="preserve"> presiding vote in a tie, the chair – usually the Chief Commissioner – will be the solo decision-maker (chapter </w:t>
      </w:r>
      <w:r w:rsidR="00A26A07">
        <w:rPr>
          <w:rFonts w:ascii="Aptos" w:hAnsi="Aptos" w:cstheme="minorHAnsi"/>
          <w:color w:val="242424"/>
        </w:rPr>
        <w:fldChar w:fldCharType="begin"/>
      </w:r>
      <w:r w:rsidR="00A26A07">
        <w:rPr>
          <w:rFonts w:ascii="Aptos" w:hAnsi="Aptos" w:cstheme="minorHAnsi"/>
          <w:color w:val="242424"/>
        </w:rPr>
        <w:instrText xml:space="preserve"> REF _Ref217042283 \r \h </w:instrText>
      </w:r>
      <w:r w:rsidR="00A26A07">
        <w:rPr>
          <w:rFonts w:ascii="Aptos" w:hAnsi="Aptos" w:cstheme="minorHAnsi"/>
          <w:color w:val="242424"/>
        </w:rPr>
      </w:r>
      <w:r w:rsidR="00A26A07">
        <w:rPr>
          <w:rFonts w:ascii="Aptos" w:hAnsi="Aptos" w:cstheme="minorHAnsi"/>
          <w:color w:val="242424"/>
        </w:rPr>
        <w:fldChar w:fldCharType="separate"/>
      </w:r>
      <w:r w:rsidR="0055214B">
        <w:rPr>
          <w:rFonts w:ascii="Aptos" w:hAnsi="Aptos" w:cstheme="minorHAnsi"/>
          <w:color w:val="242424"/>
        </w:rPr>
        <w:t>8</w:t>
      </w:r>
      <w:r w:rsidR="00A26A07">
        <w:rPr>
          <w:rFonts w:ascii="Aptos" w:hAnsi="Aptos" w:cstheme="minorHAnsi"/>
          <w:color w:val="242424"/>
        </w:rPr>
        <w:fldChar w:fldCharType="end"/>
      </w:r>
      <w:r w:rsidR="00A26A07">
        <w:rPr>
          <w:rFonts w:ascii="Aptos" w:hAnsi="Aptos" w:cstheme="minorHAnsi"/>
          <w:color w:val="242424"/>
        </w:rPr>
        <w:t>).</w:t>
      </w:r>
    </w:p>
    <w:p w14:paraId="7B8BD8E8" w14:textId="43A39069" w:rsidR="00117824" w:rsidRDefault="00117824" w:rsidP="00117824">
      <w:pPr>
        <w:pStyle w:val="Heading2"/>
      </w:pPr>
      <w:bookmarkStart w:id="19" w:name="_Toc219380890"/>
      <w:r>
        <w:t xml:space="preserve">Reject the </w:t>
      </w:r>
      <w:r w:rsidR="000615F8">
        <w:t xml:space="preserve">ATEC </w:t>
      </w:r>
      <w:r>
        <w:t>bill</w:t>
      </w:r>
      <w:r w:rsidR="000615F8">
        <w:t>s</w:t>
      </w:r>
      <w:bookmarkEnd w:id="19"/>
      <w:r>
        <w:t xml:space="preserve"> </w:t>
      </w:r>
    </w:p>
    <w:p w14:paraId="4B7544EB" w14:textId="39621ED8" w:rsidR="000615F8" w:rsidRDefault="000615F8" w:rsidP="00117824">
      <w:r>
        <w:t>The following chapters identify numerous flaws in the ATEC proposal. They include recommendations to improve the bill</w:t>
      </w:r>
      <w:r w:rsidR="00693598">
        <w:t>s</w:t>
      </w:r>
      <w:r w:rsidR="00AA2A62">
        <w:t>,</w:t>
      </w:r>
      <w:r w:rsidR="00A26A07">
        <w:t xml:space="preserve"> should </w:t>
      </w:r>
      <w:r w:rsidR="00693598">
        <w:t>they</w:t>
      </w:r>
      <w:r w:rsidR="00A26A07">
        <w:t xml:space="preserve"> have </w:t>
      </w:r>
      <w:r w:rsidR="00AA2A62">
        <w:t xml:space="preserve">in-principle </w:t>
      </w:r>
      <w:r w:rsidR="00A26A07">
        <w:t>parliamentary support</w:t>
      </w:r>
      <w:r>
        <w:t xml:space="preserve">. But the ATEC bills should be rejected. </w:t>
      </w:r>
      <w:r w:rsidR="00AA2A62">
        <w:t>They would</w:t>
      </w:r>
      <w:r>
        <w:t xml:space="preserve"> narrow higher education’s purposes. </w:t>
      </w:r>
      <w:r w:rsidR="00DF7CC0">
        <w:t>As they stand, t</w:t>
      </w:r>
      <w:r w:rsidR="00AA2A62">
        <w:t>hey</w:t>
      </w:r>
      <w:r>
        <w:t xml:space="preserve"> offer </w:t>
      </w:r>
      <w:r w:rsidR="00DF7CC0">
        <w:t>universities</w:t>
      </w:r>
      <w:r>
        <w:t xml:space="preserve"> </w:t>
      </w:r>
      <w:r w:rsidR="00DF7CC0">
        <w:t>nothing</w:t>
      </w:r>
      <w:r>
        <w:t xml:space="preserve"> but additional </w:t>
      </w:r>
      <w:r w:rsidR="00AA2A62">
        <w:t xml:space="preserve">government </w:t>
      </w:r>
      <w:r>
        <w:t>control and bureaucracy</w:t>
      </w:r>
      <w:r w:rsidR="00A26A07">
        <w:t xml:space="preserve">. Due to ATEC’s design flaws, we can have little confidence that it will </w:t>
      </w:r>
      <w:r w:rsidR="00953776">
        <w:t xml:space="preserve">improve on the current policy framework. </w:t>
      </w:r>
    </w:p>
    <w:p w14:paraId="2B3DC6F7" w14:textId="1C6BB18C" w:rsidR="000615F8" w:rsidRDefault="000615F8">
      <w:r>
        <w:br w:type="page"/>
      </w:r>
    </w:p>
    <w:p w14:paraId="6B20A25C" w14:textId="75008497" w:rsidR="00251889" w:rsidRPr="00DC4828" w:rsidRDefault="00251889" w:rsidP="00076E33">
      <w:pPr>
        <w:pStyle w:val="Heading1"/>
        <w:numPr>
          <w:ilvl w:val="0"/>
          <w:numId w:val="7"/>
        </w:numPr>
        <w:ind w:left="357" w:hanging="357"/>
        <w:rPr>
          <w:rFonts w:ascii="Aptos" w:hAnsi="Aptos" w:cstheme="minorHAnsi"/>
          <w:sz w:val="32"/>
          <w:szCs w:val="32"/>
        </w:rPr>
      </w:pPr>
      <w:bookmarkStart w:id="20" w:name="_Ref216188711"/>
      <w:bookmarkStart w:id="21" w:name="_Toc219380891"/>
      <w:r w:rsidRPr="00226637">
        <w:rPr>
          <w:rFonts w:ascii="Aptos" w:hAnsi="Aptos" w:cstheme="minorHAnsi"/>
          <w:color w:val="4F81BD" w:themeColor="accent1"/>
          <w:sz w:val="32"/>
          <w:szCs w:val="32"/>
        </w:rPr>
        <w:lastRenderedPageBreak/>
        <w:t>The objectives</w:t>
      </w:r>
      <w:r w:rsidR="00614DE8">
        <w:rPr>
          <w:rFonts w:ascii="Aptos" w:hAnsi="Aptos" w:cstheme="minorHAnsi"/>
          <w:color w:val="4F81BD" w:themeColor="accent1"/>
          <w:sz w:val="32"/>
          <w:szCs w:val="32"/>
        </w:rPr>
        <w:t>, objects</w:t>
      </w:r>
      <w:r w:rsidRPr="00226637">
        <w:rPr>
          <w:rFonts w:ascii="Aptos" w:hAnsi="Aptos" w:cstheme="minorHAnsi"/>
          <w:color w:val="4F81BD" w:themeColor="accent1"/>
          <w:sz w:val="32"/>
          <w:szCs w:val="32"/>
        </w:rPr>
        <w:t xml:space="preserve"> </w:t>
      </w:r>
      <w:r w:rsidR="000D147F">
        <w:rPr>
          <w:rFonts w:ascii="Aptos" w:hAnsi="Aptos" w:cstheme="minorHAnsi"/>
          <w:color w:val="4F81BD" w:themeColor="accent1"/>
          <w:sz w:val="32"/>
          <w:szCs w:val="32"/>
        </w:rPr>
        <w:t xml:space="preserve">and functions </w:t>
      </w:r>
      <w:r w:rsidRPr="00226637">
        <w:rPr>
          <w:rFonts w:ascii="Aptos" w:hAnsi="Aptos" w:cstheme="minorHAnsi"/>
          <w:color w:val="4F81BD" w:themeColor="accent1"/>
          <w:sz w:val="32"/>
          <w:szCs w:val="32"/>
        </w:rPr>
        <w:t>of ATEC</w:t>
      </w:r>
      <w:bookmarkEnd w:id="20"/>
      <w:bookmarkEnd w:id="21"/>
    </w:p>
    <w:p w14:paraId="6BB223EE" w14:textId="0D3DE462" w:rsidR="00DC4828" w:rsidRDefault="00DC4828" w:rsidP="00DC4828">
      <w:pPr>
        <w:pStyle w:val="BodyText"/>
      </w:pPr>
      <w:r>
        <w:t xml:space="preserve">The </w:t>
      </w:r>
      <w:r w:rsidRPr="00DC4828">
        <w:rPr>
          <w:i/>
          <w:iCs/>
        </w:rPr>
        <w:t>Universities Accord (Australian Tertiary Education Commission) Bill 2025</w:t>
      </w:r>
      <w:r>
        <w:t xml:space="preserve"> has an unusual format. It list</w:t>
      </w:r>
      <w:r w:rsidR="006864BB">
        <w:t xml:space="preserve">s </w:t>
      </w:r>
      <w:r>
        <w:t xml:space="preserve">objects of the Act at section 3, which is a </w:t>
      </w:r>
      <w:r w:rsidR="007C0A8D">
        <w:t xml:space="preserve">common </w:t>
      </w:r>
      <w:r>
        <w:t xml:space="preserve">feature of legislation, but </w:t>
      </w:r>
      <w:r w:rsidR="006864BB">
        <w:t>adds</w:t>
      </w:r>
      <w:r>
        <w:t xml:space="preserve"> </w:t>
      </w:r>
      <w:r w:rsidR="007C0A8D">
        <w:t xml:space="preserve">additional </w:t>
      </w:r>
      <w:r>
        <w:t xml:space="preserve">high-level objectives at sections 13 and 14, which </w:t>
      </w:r>
      <w:r w:rsidR="007C0A8D">
        <w:t xml:space="preserve">is unusual, and then </w:t>
      </w:r>
      <w:r w:rsidR="00E92771">
        <w:t xml:space="preserve">lists </w:t>
      </w:r>
      <w:r w:rsidR="007C0A8D">
        <w:t>functions of ATEC at section 11, which like objects is common.</w:t>
      </w:r>
      <w:r w:rsidR="007C0A8D">
        <w:rPr>
          <w:rStyle w:val="FootnoteReference"/>
        </w:rPr>
        <w:footnoteReference w:id="4"/>
      </w:r>
      <w:r w:rsidR="007C0A8D">
        <w:t xml:space="preserve"> </w:t>
      </w:r>
    </w:p>
    <w:p w14:paraId="79247AE4" w14:textId="77777777" w:rsidR="007C0A8D" w:rsidRPr="00076E33" w:rsidRDefault="007C0A8D" w:rsidP="00DC4828">
      <w:pPr>
        <w:pStyle w:val="BodyText"/>
        <w:rPr>
          <w:sz w:val="32"/>
          <w:szCs w:val="32"/>
        </w:rPr>
      </w:pPr>
    </w:p>
    <w:p w14:paraId="55D209CA" w14:textId="265699DE" w:rsidR="00251889" w:rsidRPr="00226637" w:rsidRDefault="00251889" w:rsidP="00251889">
      <w:pPr>
        <w:pStyle w:val="Heading2"/>
        <w:rPr>
          <w:rFonts w:ascii="Aptos" w:hAnsi="Aptos"/>
        </w:rPr>
      </w:pPr>
      <w:bookmarkStart w:id="22" w:name="_Toc219380892"/>
      <w:r w:rsidRPr="00226637">
        <w:rPr>
          <w:rFonts w:ascii="Aptos" w:hAnsi="Aptos"/>
        </w:rPr>
        <w:t>High-level objectives</w:t>
      </w:r>
      <w:bookmarkEnd w:id="22"/>
      <w:r w:rsidRPr="00226637">
        <w:rPr>
          <w:rFonts w:ascii="Aptos" w:hAnsi="Aptos"/>
        </w:rPr>
        <w:t xml:space="preserve"> </w:t>
      </w:r>
    </w:p>
    <w:p w14:paraId="31C575AB" w14:textId="0939F3DC" w:rsidR="009973A6" w:rsidRDefault="009973A6" w:rsidP="00251889">
      <w:pPr>
        <w:pStyle w:val="NormalWeb"/>
        <w:shd w:val="clear" w:color="auto" w:fill="FFFFFF"/>
        <w:spacing w:before="0" w:beforeAutospacing="0" w:after="384" w:afterAutospacing="0"/>
        <w:textAlignment w:val="baseline"/>
        <w:rPr>
          <w:rFonts w:ascii="Aptos" w:hAnsi="Aptos"/>
        </w:rPr>
      </w:pPr>
      <w:r>
        <w:rPr>
          <w:rFonts w:ascii="Aptos" w:hAnsi="Aptos"/>
        </w:rPr>
        <w:t xml:space="preserve">Sections 13 and 14 of the ATEC bill </w:t>
      </w:r>
      <w:r w:rsidR="008879B5">
        <w:rPr>
          <w:rFonts w:ascii="Aptos" w:hAnsi="Aptos"/>
        </w:rPr>
        <w:t>are</w:t>
      </w:r>
      <w:r>
        <w:rPr>
          <w:rFonts w:ascii="Aptos" w:hAnsi="Aptos"/>
        </w:rPr>
        <w:t xml:space="preserve"> high-level objectives which ATEC and ATEC commissioners must have regard to when ‘performing functions’ or ‘exercising </w:t>
      </w:r>
      <w:proofErr w:type="gramStart"/>
      <w:r>
        <w:rPr>
          <w:rFonts w:ascii="Aptos" w:hAnsi="Aptos"/>
        </w:rPr>
        <w:t>powers</w:t>
      </w:r>
      <w:r w:rsidR="00D83C9D">
        <w:rPr>
          <w:rFonts w:ascii="Aptos" w:hAnsi="Aptos"/>
        </w:rPr>
        <w:t>’</w:t>
      </w:r>
      <w:proofErr w:type="gramEnd"/>
      <w:r>
        <w:rPr>
          <w:rFonts w:ascii="Aptos" w:hAnsi="Aptos"/>
        </w:rPr>
        <w:t xml:space="preserve">. </w:t>
      </w:r>
      <w:r w:rsidR="000D147F">
        <w:rPr>
          <w:rFonts w:ascii="Aptos" w:hAnsi="Aptos"/>
        </w:rPr>
        <w:t xml:space="preserve">Unlike the objects of the Act these </w:t>
      </w:r>
      <w:r w:rsidR="00614DE8">
        <w:rPr>
          <w:rFonts w:ascii="Aptos" w:hAnsi="Aptos"/>
        </w:rPr>
        <w:t>objectives provisions</w:t>
      </w:r>
      <w:r w:rsidR="000D147F">
        <w:rPr>
          <w:rFonts w:ascii="Aptos" w:hAnsi="Aptos"/>
        </w:rPr>
        <w:t xml:space="preserve"> apply specifically to ATEC and not to the other major decision-maker, the minister</w:t>
      </w:r>
      <w:r w:rsidR="00E92771">
        <w:rPr>
          <w:rFonts w:ascii="Aptos" w:hAnsi="Aptos"/>
        </w:rPr>
        <w:t xml:space="preserve"> for education.</w:t>
      </w:r>
      <w:r w:rsidR="002878BD">
        <w:rPr>
          <w:rFonts w:ascii="Aptos" w:hAnsi="Aptos"/>
        </w:rPr>
        <w:t xml:space="preserve"> </w:t>
      </w:r>
    </w:p>
    <w:p w14:paraId="72F9D3BF" w14:textId="753D37C0" w:rsidR="00605C92" w:rsidRDefault="00605C92" w:rsidP="00605C92">
      <w:pPr>
        <w:pStyle w:val="Heading3"/>
        <w:contextualSpacing/>
        <w:rPr>
          <w:rFonts w:ascii="Aptos" w:hAnsi="Aptos"/>
        </w:rPr>
      </w:pPr>
      <w:bookmarkStart w:id="23" w:name="_Toc219380893"/>
      <w:r>
        <w:t>Section 13</w:t>
      </w:r>
      <w:bookmarkEnd w:id="23"/>
    </w:p>
    <w:p w14:paraId="13A78915" w14:textId="6A7AD7AE" w:rsidR="00251889" w:rsidRPr="00571F60" w:rsidRDefault="00605C92" w:rsidP="00605C92">
      <w:pPr>
        <w:pStyle w:val="BodyText"/>
        <w:rPr>
          <w:rFonts w:ascii="Aptos" w:hAnsi="Aptos"/>
        </w:rPr>
      </w:pPr>
      <w:r w:rsidRPr="00571F60">
        <w:rPr>
          <w:rFonts w:ascii="Aptos" w:hAnsi="Aptos"/>
        </w:rPr>
        <w:t>S</w:t>
      </w:r>
      <w:r w:rsidR="00251889" w:rsidRPr="00571F60">
        <w:rPr>
          <w:rFonts w:ascii="Aptos" w:hAnsi="Aptos"/>
        </w:rPr>
        <w:t xml:space="preserve">ection 13 </w:t>
      </w:r>
      <w:r w:rsidRPr="00571F60">
        <w:rPr>
          <w:rFonts w:ascii="Aptos" w:hAnsi="Aptos"/>
        </w:rPr>
        <w:t xml:space="preserve">of the </w:t>
      </w:r>
      <w:r w:rsidR="00251889" w:rsidRPr="00571F60">
        <w:rPr>
          <w:rFonts w:ascii="Aptos" w:hAnsi="Aptos"/>
        </w:rPr>
        <w:t>bill sets out a ‘National Tertiary Education Objective’ to which ATEC must have reference when exercising its powers. The objectives</w:t>
      </w:r>
      <w:r w:rsidR="00652D49">
        <w:rPr>
          <w:rFonts w:ascii="Aptos" w:hAnsi="Aptos"/>
        </w:rPr>
        <w:t xml:space="preserve">, which are taken from a </w:t>
      </w:r>
      <w:r w:rsidR="00652D49" w:rsidRPr="00652D49">
        <w:rPr>
          <w:rFonts w:ascii="Aptos" w:hAnsi="Aptos"/>
          <w:i/>
          <w:iCs/>
        </w:rPr>
        <w:t>Universities Accord Final Report</w:t>
      </w:r>
      <w:r w:rsidR="00652D49">
        <w:rPr>
          <w:rFonts w:ascii="Aptos" w:hAnsi="Aptos"/>
        </w:rPr>
        <w:t xml:space="preserve"> recommendation,</w:t>
      </w:r>
      <w:r w:rsidR="00251889" w:rsidRPr="00571F60">
        <w:rPr>
          <w:rFonts w:ascii="Aptos" w:hAnsi="Aptos"/>
        </w:rPr>
        <w:t xml:space="preserve"> are to</w:t>
      </w:r>
      <w:r w:rsidR="00365449" w:rsidRPr="00571F60">
        <w:rPr>
          <w:rFonts w:ascii="Aptos" w:hAnsi="Aptos"/>
        </w:rPr>
        <w:t>:</w:t>
      </w:r>
    </w:p>
    <w:p w14:paraId="1D4299B0" w14:textId="37AE3708" w:rsidR="00251889" w:rsidRPr="00571F60" w:rsidRDefault="00365449" w:rsidP="00605C92">
      <w:pPr>
        <w:shd w:val="clear" w:color="auto" w:fill="FFFFFF"/>
        <w:spacing w:before="100" w:beforeAutospacing="1"/>
        <w:ind w:left="1440" w:right="0"/>
        <w:contextualSpacing/>
        <w:textAlignment w:val="baseline"/>
        <w:rPr>
          <w:rFonts w:ascii="Aptos" w:hAnsi="Aptos"/>
        </w:rPr>
      </w:pPr>
      <w:r w:rsidRPr="00571F60">
        <w:rPr>
          <w:rFonts w:ascii="Aptos" w:hAnsi="Aptos"/>
        </w:rPr>
        <w:t xml:space="preserve">(a) </w:t>
      </w:r>
      <w:r w:rsidR="00251889" w:rsidRPr="00571F60">
        <w:rPr>
          <w:rFonts w:ascii="Aptos" w:hAnsi="Aptos"/>
        </w:rPr>
        <w:t>promote a strong, equitable and resilient democracy &amp;</w:t>
      </w:r>
    </w:p>
    <w:p w14:paraId="1F0EAB1D" w14:textId="505A8E0E" w:rsidR="00251889" w:rsidRPr="00571F60" w:rsidRDefault="00365449" w:rsidP="008879B5">
      <w:pPr>
        <w:shd w:val="clear" w:color="auto" w:fill="FFFFFF"/>
        <w:ind w:left="1440" w:right="0"/>
        <w:contextualSpacing/>
        <w:textAlignment w:val="baseline"/>
        <w:rPr>
          <w:rFonts w:ascii="Aptos" w:hAnsi="Aptos"/>
        </w:rPr>
      </w:pPr>
      <w:r w:rsidRPr="00571F60">
        <w:rPr>
          <w:rFonts w:ascii="Aptos" w:hAnsi="Aptos"/>
        </w:rPr>
        <w:t xml:space="preserve">(b) </w:t>
      </w:r>
      <w:r w:rsidR="00251889" w:rsidRPr="00571F60">
        <w:rPr>
          <w:rFonts w:ascii="Aptos" w:hAnsi="Aptos"/>
        </w:rPr>
        <w:t>drive national, economic, and social development and environmental sustainability</w:t>
      </w:r>
    </w:p>
    <w:p w14:paraId="0E0B93F5" w14:textId="3126905F" w:rsidR="00640582" w:rsidRDefault="00640582" w:rsidP="00251889">
      <w:pPr>
        <w:shd w:val="clear" w:color="auto" w:fill="FFFFFF"/>
        <w:ind w:right="0"/>
        <w:textAlignment w:val="baseline"/>
        <w:rPr>
          <w:rFonts w:ascii="Aptos" w:hAnsi="Aptos"/>
        </w:rPr>
      </w:pPr>
    </w:p>
    <w:p w14:paraId="0A3B01A0" w14:textId="1F636DFA" w:rsidR="00454F10" w:rsidRDefault="00693598" w:rsidP="00640582">
      <w:pPr>
        <w:shd w:val="clear" w:color="auto" w:fill="FFFFFF"/>
        <w:ind w:right="0"/>
        <w:textAlignment w:val="baseline"/>
        <w:rPr>
          <w:rFonts w:ascii="Aptos" w:hAnsi="Aptos"/>
        </w:rPr>
      </w:pPr>
      <w:r>
        <w:rPr>
          <w:rFonts w:ascii="Aptos" w:hAnsi="Aptos"/>
        </w:rPr>
        <w:t>T</w:t>
      </w:r>
      <w:r w:rsidR="00454F10">
        <w:rPr>
          <w:rFonts w:ascii="Aptos" w:hAnsi="Aptos"/>
        </w:rPr>
        <w:t>he practical question is what</w:t>
      </w:r>
      <w:r w:rsidR="00640582" w:rsidRPr="00226637">
        <w:rPr>
          <w:rFonts w:ascii="Aptos" w:hAnsi="Aptos"/>
        </w:rPr>
        <w:t xml:space="preserve"> decisions ATEC </w:t>
      </w:r>
      <w:r w:rsidR="00C84A3A">
        <w:rPr>
          <w:rFonts w:ascii="Aptos" w:hAnsi="Aptos"/>
        </w:rPr>
        <w:t>might change due to</w:t>
      </w:r>
      <w:r w:rsidR="00640582" w:rsidRPr="00226637">
        <w:rPr>
          <w:rFonts w:ascii="Aptos" w:hAnsi="Aptos"/>
        </w:rPr>
        <w:t xml:space="preserve"> </w:t>
      </w:r>
      <w:r w:rsidR="00454F10">
        <w:rPr>
          <w:rFonts w:ascii="Aptos" w:hAnsi="Aptos"/>
        </w:rPr>
        <w:t>section 13. As a matter of statutory interpretation</w:t>
      </w:r>
      <w:r>
        <w:rPr>
          <w:rFonts w:ascii="Aptos" w:hAnsi="Aptos"/>
        </w:rPr>
        <w:t xml:space="preserve">, </w:t>
      </w:r>
      <w:r w:rsidR="00454F10">
        <w:rPr>
          <w:rFonts w:ascii="Aptos" w:hAnsi="Aptos"/>
        </w:rPr>
        <w:t xml:space="preserve">principles provisions cannot over-ride any express statutory </w:t>
      </w:r>
      <w:r w:rsidR="007C0A8D">
        <w:rPr>
          <w:rFonts w:ascii="Aptos" w:hAnsi="Aptos"/>
        </w:rPr>
        <w:t xml:space="preserve">provision elsewhere </w:t>
      </w:r>
      <w:r w:rsidR="008879B5">
        <w:rPr>
          <w:rFonts w:ascii="Aptos" w:hAnsi="Aptos"/>
        </w:rPr>
        <w:t xml:space="preserve">in the legislation </w:t>
      </w:r>
      <w:sdt>
        <w:sdtPr>
          <w:rPr>
            <w:rFonts w:ascii="Aptos" w:hAnsi="Aptos"/>
            <w:color w:val="000000"/>
          </w:rPr>
          <w:tag w:val="MENDELEY_CITATION_v3_eyJjaXRhdGlvbklEIjoiTUVOREVMRVlfQ0lUQVRJT05fYzgyYmZhMDctOGE1My00YTU1LWE2ZjUtYjg2MTkyNzQ2NjZiIiwicHJvcGVydGllcyI6eyJub3RlSW5kZXgiOjB9LCJpc0VkaXRlZCI6ZmFsc2UsIm1hbnVhbE92ZXJyaWRlIjp7ImlzTWFudWFsbHlPdmVycmlkZGVuIjpmYWxzZSwiY2l0ZXByb2NUZXh0IjoiKFBlYXJjZSwgMjAyNCwgcHAuIDIyM+KAkzIyN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yMy0yMjYifV19"/>
          <w:id w:val="-603038204"/>
          <w:placeholder>
            <w:docPart w:val="DefaultPlaceholder_-1854013440"/>
          </w:placeholder>
        </w:sdtPr>
        <w:sdtContent>
          <w:r w:rsidR="00094A58" w:rsidRPr="00094A58">
            <w:rPr>
              <w:rFonts w:ascii="Aptos" w:hAnsi="Aptos"/>
              <w:color w:val="000000"/>
            </w:rPr>
            <w:t>(Pearce, 2024, pp. 223–226)</w:t>
          </w:r>
        </w:sdtContent>
      </w:sdt>
      <w:r w:rsidR="008879B5">
        <w:rPr>
          <w:rFonts w:ascii="Aptos" w:hAnsi="Aptos"/>
        </w:rPr>
        <w:t xml:space="preserve">. </w:t>
      </w:r>
      <w:r w:rsidR="00DF7CC0">
        <w:rPr>
          <w:rFonts w:ascii="Aptos" w:hAnsi="Aptos"/>
        </w:rPr>
        <w:t>S</w:t>
      </w:r>
      <w:r>
        <w:rPr>
          <w:rFonts w:ascii="Aptos" w:hAnsi="Aptos"/>
        </w:rPr>
        <w:t>ection 13 principles</w:t>
      </w:r>
      <w:r w:rsidR="008879B5">
        <w:rPr>
          <w:rFonts w:ascii="Aptos" w:hAnsi="Aptos"/>
        </w:rPr>
        <w:t xml:space="preserve"> </w:t>
      </w:r>
      <w:r w:rsidR="00DF7CC0">
        <w:rPr>
          <w:rFonts w:ascii="Aptos" w:hAnsi="Aptos"/>
        </w:rPr>
        <w:t>can only</w:t>
      </w:r>
      <w:r>
        <w:rPr>
          <w:rFonts w:ascii="Aptos" w:hAnsi="Aptos"/>
        </w:rPr>
        <w:t xml:space="preserve"> </w:t>
      </w:r>
      <w:r w:rsidR="008879B5">
        <w:rPr>
          <w:rFonts w:ascii="Aptos" w:hAnsi="Aptos"/>
        </w:rPr>
        <w:t xml:space="preserve">guide ATEC in areas where it has discretion. </w:t>
      </w:r>
    </w:p>
    <w:p w14:paraId="2A0E80F6" w14:textId="77777777" w:rsidR="007C0A8D" w:rsidRDefault="007C0A8D" w:rsidP="00640582">
      <w:pPr>
        <w:shd w:val="clear" w:color="auto" w:fill="FFFFFF"/>
        <w:ind w:right="0"/>
        <w:textAlignment w:val="baseline"/>
        <w:rPr>
          <w:rFonts w:ascii="Aptos" w:hAnsi="Aptos"/>
        </w:rPr>
      </w:pPr>
    </w:p>
    <w:p w14:paraId="7C201265" w14:textId="40D6BD69" w:rsidR="00DF7CC0" w:rsidRDefault="00454F10" w:rsidP="00825DA6">
      <w:pPr>
        <w:shd w:val="clear" w:color="auto" w:fill="FFFFFF"/>
        <w:ind w:right="0"/>
        <w:textAlignment w:val="baseline"/>
        <w:rPr>
          <w:rFonts w:ascii="Aptos" w:hAnsi="Aptos"/>
        </w:rPr>
      </w:pPr>
      <w:r>
        <w:rPr>
          <w:rFonts w:ascii="Aptos" w:hAnsi="Aptos"/>
        </w:rPr>
        <w:t xml:space="preserve">Would </w:t>
      </w:r>
      <w:r w:rsidR="00640582" w:rsidRPr="00226637">
        <w:rPr>
          <w:rFonts w:ascii="Aptos" w:hAnsi="Aptos"/>
        </w:rPr>
        <w:t xml:space="preserve">the </w:t>
      </w:r>
      <w:r w:rsidR="00640582">
        <w:rPr>
          <w:rFonts w:ascii="Aptos" w:hAnsi="Aptos"/>
        </w:rPr>
        <w:t xml:space="preserve">legislated </w:t>
      </w:r>
      <w:r w:rsidR="00640582" w:rsidRPr="00226637">
        <w:rPr>
          <w:rFonts w:ascii="Aptos" w:hAnsi="Aptos"/>
        </w:rPr>
        <w:t xml:space="preserve">notion of </w:t>
      </w:r>
      <w:r w:rsidR="00640582">
        <w:rPr>
          <w:rFonts w:ascii="Aptos" w:hAnsi="Aptos"/>
        </w:rPr>
        <w:t xml:space="preserve">promoting a </w:t>
      </w:r>
      <w:r w:rsidR="00640582" w:rsidRPr="00226637">
        <w:rPr>
          <w:rFonts w:ascii="Aptos" w:hAnsi="Aptos"/>
        </w:rPr>
        <w:t xml:space="preserve">‘strong, equitable and resilient democracy’ make </w:t>
      </w:r>
      <w:r>
        <w:rPr>
          <w:rFonts w:ascii="Aptos" w:hAnsi="Aptos"/>
        </w:rPr>
        <w:t xml:space="preserve">ATEC </w:t>
      </w:r>
      <w:r w:rsidR="00640582" w:rsidRPr="00226637">
        <w:rPr>
          <w:rFonts w:ascii="Aptos" w:hAnsi="Aptos"/>
        </w:rPr>
        <w:t>hesitate before letting the last courses in Australian history close?</w:t>
      </w:r>
      <w:r w:rsidR="00640582">
        <w:rPr>
          <w:rFonts w:ascii="Aptos" w:hAnsi="Aptos"/>
        </w:rPr>
        <w:t xml:space="preserve"> </w:t>
      </w:r>
      <w:r w:rsidR="00815CFD">
        <w:rPr>
          <w:rFonts w:ascii="Aptos" w:hAnsi="Aptos"/>
        </w:rPr>
        <w:t xml:space="preserve">Or does the focus on economic development mean </w:t>
      </w:r>
      <w:proofErr w:type="gramStart"/>
      <w:r w:rsidR="00815CFD">
        <w:rPr>
          <w:rFonts w:ascii="Aptos" w:hAnsi="Aptos"/>
        </w:rPr>
        <w:t>that  money</w:t>
      </w:r>
      <w:proofErr w:type="gramEnd"/>
      <w:r w:rsidR="00815CFD">
        <w:rPr>
          <w:rFonts w:ascii="Aptos" w:hAnsi="Aptos"/>
        </w:rPr>
        <w:t xml:space="preserve"> should not be spent on the humanities? </w:t>
      </w:r>
      <w:r w:rsidR="00640582" w:rsidRPr="00226637">
        <w:rPr>
          <w:rFonts w:ascii="Aptos" w:hAnsi="Aptos"/>
        </w:rPr>
        <w:t xml:space="preserve">Does the reference to </w:t>
      </w:r>
      <w:r w:rsidR="00693598">
        <w:rPr>
          <w:rFonts w:ascii="Aptos" w:hAnsi="Aptos"/>
        </w:rPr>
        <w:t>‘</w:t>
      </w:r>
      <w:r w:rsidR="00640582" w:rsidRPr="00226637">
        <w:rPr>
          <w:rFonts w:ascii="Aptos" w:hAnsi="Aptos"/>
        </w:rPr>
        <w:t>environmental sustainability</w:t>
      </w:r>
      <w:r w:rsidR="00693598">
        <w:rPr>
          <w:rFonts w:ascii="Aptos" w:hAnsi="Aptos"/>
        </w:rPr>
        <w:t>’</w:t>
      </w:r>
      <w:r w:rsidR="00640582" w:rsidRPr="00226637">
        <w:rPr>
          <w:rFonts w:ascii="Aptos" w:hAnsi="Aptos"/>
        </w:rPr>
        <w:t xml:space="preserve"> have implications for </w:t>
      </w:r>
      <w:r w:rsidR="00D0412B">
        <w:rPr>
          <w:rFonts w:ascii="Aptos" w:hAnsi="Aptos"/>
        </w:rPr>
        <w:t>which</w:t>
      </w:r>
      <w:r w:rsidR="00640582" w:rsidRPr="00226637">
        <w:rPr>
          <w:rFonts w:ascii="Aptos" w:hAnsi="Aptos"/>
        </w:rPr>
        <w:t xml:space="preserve"> courses </w:t>
      </w:r>
      <w:r w:rsidR="00D0412B">
        <w:rPr>
          <w:rFonts w:ascii="Aptos" w:hAnsi="Aptos"/>
        </w:rPr>
        <w:t>ar</w:t>
      </w:r>
      <w:r w:rsidR="00640582" w:rsidRPr="00226637">
        <w:rPr>
          <w:rFonts w:ascii="Aptos" w:hAnsi="Aptos"/>
        </w:rPr>
        <w:t>e taught</w:t>
      </w:r>
      <w:r w:rsidR="00640582">
        <w:rPr>
          <w:rFonts w:ascii="Aptos" w:hAnsi="Aptos"/>
        </w:rPr>
        <w:t xml:space="preserve"> or </w:t>
      </w:r>
      <w:r w:rsidR="00D0412B">
        <w:rPr>
          <w:rFonts w:ascii="Aptos" w:hAnsi="Aptos"/>
        </w:rPr>
        <w:t>what</w:t>
      </w:r>
      <w:r w:rsidR="00640582">
        <w:rPr>
          <w:rFonts w:ascii="Aptos" w:hAnsi="Aptos"/>
        </w:rPr>
        <w:t xml:space="preserve"> research </w:t>
      </w:r>
      <w:r w:rsidR="00D0412B">
        <w:rPr>
          <w:rFonts w:ascii="Aptos" w:hAnsi="Aptos"/>
        </w:rPr>
        <w:t>is</w:t>
      </w:r>
      <w:r w:rsidR="00640582">
        <w:rPr>
          <w:rFonts w:ascii="Aptos" w:hAnsi="Aptos"/>
        </w:rPr>
        <w:t xml:space="preserve"> carried out?</w:t>
      </w:r>
      <w:r w:rsidR="008879B5">
        <w:rPr>
          <w:rFonts w:ascii="Aptos" w:hAnsi="Aptos"/>
        </w:rPr>
        <w:t xml:space="preserve"> </w:t>
      </w:r>
      <w:r w:rsidR="00DF7CC0">
        <w:rPr>
          <w:rFonts w:ascii="Aptos" w:hAnsi="Aptos"/>
        </w:rPr>
        <w:t xml:space="preserve">It is very hard to say. </w:t>
      </w:r>
    </w:p>
    <w:p w14:paraId="4E91EB23" w14:textId="77777777" w:rsidR="00D40C3A" w:rsidRDefault="00D40C3A" w:rsidP="00825DA6">
      <w:pPr>
        <w:shd w:val="clear" w:color="auto" w:fill="FFFFFF"/>
        <w:ind w:right="0"/>
        <w:textAlignment w:val="baseline"/>
        <w:rPr>
          <w:rFonts w:ascii="Aptos" w:hAnsi="Aptos"/>
        </w:rPr>
      </w:pPr>
    </w:p>
    <w:p w14:paraId="5F1F4A03" w14:textId="77777777" w:rsidR="00815CFD" w:rsidRDefault="00693598" w:rsidP="00693598">
      <w:pPr>
        <w:shd w:val="clear" w:color="auto" w:fill="FFFFFF"/>
        <w:ind w:right="0"/>
        <w:textAlignment w:val="baseline"/>
        <w:rPr>
          <w:rFonts w:ascii="Aptos" w:hAnsi="Aptos"/>
        </w:rPr>
      </w:pPr>
      <w:r>
        <w:rPr>
          <w:rFonts w:ascii="Aptos" w:hAnsi="Aptos"/>
        </w:rPr>
        <w:t>Overall s</w:t>
      </w:r>
      <w:r w:rsidR="00D40C3A">
        <w:rPr>
          <w:rFonts w:ascii="Aptos" w:hAnsi="Aptos"/>
        </w:rPr>
        <w:t xml:space="preserve">ection 13 </w:t>
      </w:r>
      <w:r>
        <w:rPr>
          <w:rFonts w:ascii="Aptos" w:hAnsi="Aptos"/>
        </w:rPr>
        <w:t>seems</w:t>
      </w:r>
      <w:r w:rsidR="00D40C3A">
        <w:rPr>
          <w:rFonts w:ascii="Aptos" w:hAnsi="Aptos"/>
        </w:rPr>
        <w:t xml:space="preserve"> too vague</w:t>
      </w:r>
      <w:r>
        <w:rPr>
          <w:rFonts w:ascii="Aptos" w:hAnsi="Aptos"/>
        </w:rPr>
        <w:t xml:space="preserve"> to be helpful and should be removed. </w:t>
      </w:r>
    </w:p>
    <w:p w14:paraId="4D09A067" w14:textId="77777777"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p>
    <w:p w14:paraId="4E673D3D" w14:textId="0A93394B"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Recommendation:</w:t>
      </w:r>
    </w:p>
    <w:p w14:paraId="69A5396E" w14:textId="77777777" w:rsidR="00815CFD" w:rsidRDefault="00815CFD" w:rsidP="00815CFD">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 xml:space="preserve">Delete section 13 as not providing ATEC and ATEC commissioners with any practical guidance on how to exercise their powers. </w:t>
      </w:r>
    </w:p>
    <w:p w14:paraId="6A3E78DD" w14:textId="204DAE2A" w:rsidR="00825DA6" w:rsidRDefault="00825DA6" w:rsidP="00693598">
      <w:pPr>
        <w:shd w:val="clear" w:color="auto" w:fill="FFFFFF"/>
        <w:ind w:right="0"/>
        <w:textAlignment w:val="baseline"/>
        <w:rPr>
          <w:rFonts w:ascii="Aptos" w:hAnsi="Aptos"/>
        </w:rPr>
      </w:pPr>
      <w:r>
        <w:rPr>
          <w:rFonts w:ascii="Aptos" w:hAnsi="Aptos"/>
        </w:rPr>
        <w:br w:type="page"/>
      </w:r>
    </w:p>
    <w:p w14:paraId="48826128" w14:textId="428199BB" w:rsidR="00605C92" w:rsidRDefault="00605C92" w:rsidP="00605C92">
      <w:pPr>
        <w:pStyle w:val="Heading3"/>
      </w:pPr>
      <w:bookmarkStart w:id="24" w:name="_Toc219380894"/>
      <w:r>
        <w:lastRenderedPageBreak/>
        <w:t>Section 14</w:t>
      </w:r>
      <w:bookmarkEnd w:id="24"/>
    </w:p>
    <w:p w14:paraId="7C2C3915" w14:textId="77777777" w:rsidR="007C0A8D" w:rsidRDefault="007C0A8D" w:rsidP="007C0A8D">
      <w:pPr>
        <w:shd w:val="clear" w:color="auto" w:fill="FFFFFF"/>
        <w:ind w:left="1440" w:right="0"/>
        <w:textAlignment w:val="baseline"/>
        <w:rPr>
          <w:rFonts w:ascii="Aptos" w:hAnsi="Aptos"/>
        </w:rPr>
      </w:pPr>
    </w:p>
    <w:p w14:paraId="4796DEE1" w14:textId="77777777" w:rsidR="007C0A8D" w:rsidRPr="00226637" w:rsidRDefault="007C0A8D" w:rsidP="007C0A8D">
      <w:pPr>
        <w:pStyle w:val="NormalWeb"/>
        <w:shd w:val="clear" w:color="auto" w:fill="FFFFFF"/>
        <w:spacing w:before="0" w:beforeAutospacing="0" w:after="384" w:afterAutospacing="0"/>
        <w:textAlignment w:val="baseline"/>
        <w:rPr>
          <w:rFonts w:ascii="Aptos" w:hAnsi="Aptos"/>
        </w:rPr>
      </w:pPr>
      <w:r>
        <w:rPr>
          <w:rFonts w:ascii="Aptos" w:hAnsi="Aptos"/>
        </w:rPr>
        <w:t>Section 14 refers to the</w:t>
      </w:r>
      <w:r w:rsidRPr="00226637">
        <w:rPr>
          <w:rFonts w:ascii="Aptos" w:hAnsi="Aptos"/>
        </w:rPr>
        <w:t xml:space="preserve"> objective of improving outcomes for persons facing systemic barriers to education. The current main equity groups are mentioned: ATSI, persons with disability, low SES, and people living in regional areas</w:t>
      </w:r>
      <w:r>
        <w:rPr>
          <w:rFonts w:ascii="Aptos" w:hAnsi="Aptos"/>
        </w:rPr>
        <w:t xml:space="preserve">. </w:t>
      </w:r>
    </w:p>
    <w:p w14:paraId="42F21E91" w14:textId="41E71979" w:rsidR="00693598" w:rsidRDefault="008879B5" w:rsidP="00DF7CC0">
      <w:pPr>
        <w:shd w:val="clear" w:color="auto" w:fill="FFFFFF"/>
        <w:ind w:right="0"/>
        <w:textAlignment w:val="baseline"/>
        <w:rPr>
          <w:rFonts w:ascii="Aptos" w:hAnsi="Aptos"/>
        </w:rPr>
      </w:pPr>
      <w:r>
        <w:rPr>
          <w:rFonts w:ascii="Aptos" w:hAnsi="Aptos"/>
        </w:rPr>
        <w:t xml:space="preserve">Unlike section 13, </w:t>
      </w:r>
      <w:r w:rsidR="00693598">
        <w:rPr>
          <w:rFonts w:ascii="Aptos" w:hAnsi="Aptos"/>
        </w:rPr>
        <w:t xml:space="preserve">the </w:t>
      </w:r>
      <w:r w:rsidR="00182EE4">
        <w:rPr>
          <w:rFonts w:ascii="Aptos" w:hAnsi="Aptos"/>
        </w:rPr>
        <w:t>section 14 objective</w:t>
      </w:r>
      <w:r w:rsidR="00693598">
        <w:rPr>
          <w:rFonts w:ascii="Aptos" w:hAnsi="Aptos"/>
        </w:rPr>
        <w:t xml:space="preserve"> can be actioned in practical ways, such as when ATEC is deliberating between competing priorities in its statement of priorities (section 43, discussed in chapter 4). </w:t>
      </w:r>
      <w:r w:rsidR="00DF7CC0">
        <w:rPr>
          <w:rFonts w:ascii="Aptos" w:hAnsi="Aptos"/>
        </w:rPr>
        <w:t xml:space="preserve"> Section 14 may also be relevant if </w:t>
      </w:r>
      <w:r w:rsidR="00D83C9D">
        <w:rPr>
          <w:rFonts w:ascii="Aptos" w:hAnsi="Aptos"/>
        </w:rPr>
        <w:t>a future minister decline</w:t>
      </w:r>
      <w:r w:rsidR="00DF7CC0">
        <w:rPr>
          <w:rFonts w:ascii="Aptos" w:hAnsi="Aptos"/>
        </w:rPr>
        <w:t>s</w:t>
      </w:r>
      <w:r w:rsidR="00D83C9D">
        <w:rPr>
          <w:rFonts w:ascii="Aptos" w:hAnsi="Aptos"/>
        </w:rPr>
        <w:t xml:space="preserve"> to make equity matters a </w:t>
      </w:r>
      <w:proofErr w:type="gramStart"/>
      <w:r w:rsidR="00D83C9D">
        <w:rPr>
          <w:rFonts w:ascii="Aptos" w:hAnsi="Aptos"/>
        </w:rPr>
        <w:t>priority</w:t>
      </w:r>
      <w:r w:rsidR="00693598">
        <w:rPr>
          <w:rFonts w:ascii="Aptos" w:hAnsi="Aptos"/>
        </w:rPr>
        <w:t>, or</w:t>
      </w:r>
      <w:proofErr w:type="gramEnd"/>
      <w:r w:rsidR="00693598">
        <w:rPr>
          <w:rFonts w:ascii="Aptos" w:hAnsi="Aptos"/>
        </w:rPr>
        <w:t xml:space="preserve"> make</w:t>
      </w:r>
      <w:r w:rsidR="00DF7CC0">
        <w:rPr>
          <w:rFonts w:ascii="Aptos" w:hAnsi="Aptos"/>
        </w:rPr>
        <w:t>s</w:t>
      </w:r>
      <w:r w:rsidR="00693598">
        <w:rPr>
          <w:rFonts w:ascii="Aptos" w:hAnsi="Aptos"/>
        </w:rPr>
        <w:t xml:space="preserve"> only some equity groups priorities. By law the minister’s priorities flow through into ATEC’s objectives: section 15(4) and chapter 4 of this submission. Despite the minister’s priorities, section 14 would give ATEC authority to focus on all equity groups. </w:t>
      </w:r>
    </w:p>
    <w:p w14:paraId="59C8FDD7" w14:textId="77777777" w:rsidR="00DF7CC0" w:rsidRDefault="00DF7CC0" w:rsidP="00DF7CC0">
      <w:pPr>
        <w:shd w:val="clear" w:color="auto" w:fill="FFFFFF"/>
        <w:ind w:right="0"/>
        <w:textAlignment w:val="baseline"/>
        <w:rPr>
          <w:rFonts w:ascii="Aptos" w:hAnsi="Aptos"/>
        </w:rPr>
      </w:pPr>
    </w:p>
    <w:p w14:paraId="1CE4B4BD" w14:textId="5F654E3F" w:rsidR="00260205" w:rsidRDefault="00260205" w:rsidP="00260205">
      <w:pPr>
        <w:pStyle w:val="Heading2"/>
      </w:pPr>
      <w:bookmarkStart w:id="25" w:name="_Toc219380895"/>
      <w:r>
        <w:t>Absences from ATEC objects and functions</w:t>
      </w:r>
      <w:bookmarkEnd w:id="25"/>
      <w:r>
        <w:t xml:space="preserve"> </w:t>
      </w:r>
    </w:p>
    <w:p w14:paraId="4C77A3DF" w14:textId="22994397" w:rsidR="0063510F" w:rsidRDefault="0063510F" w:rsidP="0063510F"/>
    <w:p w14:paraId="6CC2C5C7" w14:textId="77D41857" w:rsidR="0063510F" w:rsidRDefault="0063510F" w:rsidP="0063510F">
      <w:r>
        <w:t xml:space="preserve">The ATEC bill lacks objects that should be there and has misalignments between its stated objects and ATEC’s functions or powers. </w:t>
      </w:r>
    </w:p>
    <w:p w14:paraId="55BE7052" w14:textId="77777777" w:rsidR="0063510F" w:rsidRPr="0063510F" w:rsidRDefault="0063510F" w:rsidP="0063510F"/>
    <w:p w14:paraId="3D2EE73C" w14:textId="77777777" w:rsidR="00F01060" w:rsidRDefault="00F01060" w:rsidP="00F01060">
      <w:pPr>
        <w:pStyle w:val="Heading3"/>
      </w:pPr>
      <w:bookmarkStart w:id="26" w:name="_Toc219380896"/>
      <w:r>
        <w:t>Broader intellectual and cultural purposes</w:t>
      </w:r>
      <w:bookmarkEnd w:id="26"/>
      <w:r>
        <w:t xml:space="preserve"> </w:t>
      </w:r>
    </w:p>
    <w:p w14:paraId="4B69B24D" w14:textId="74FC59FA" w:rsidR="00F01060"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rPr>
        <w:t xml:space="preserve">A major concern with the ATEC bill is that it ignores the broader intellectual purposes of higher education, such as pursuit of knowledge as an end it itself or the </w:t>
      </w:r>
      <w:r>
        <w:rPr>
          <w:rFonts w:ascii="Aptos" w:hAnsi="Aptos" w:cstheme="minorHAnsi"/>
          <w:color w:val="242424"/>
        </w:rPr>
        <w:t xml:space="preserve">‘development of cultural and intellectual life in Australia’ in the current funding legislation. </w:t>
      </w:r>
      <w:r w:rsidR="000D147F">
        <w:rPr>
          <w:rFonts w:ascii="Aptos" w:hAnsi="Aptos" w:cstheme="minorHAnsi"/>
          <w:color w:val="242424"/>
        </w:rPr>
        <w:t xml:space="preserve">The high-level objective of driving ‘national, economic and social development’ (section 13) seems to further steer ATEC away from the pursuit of knowledge for its own sake. </w:t>
      </w:r>
      <w:r>
        <w:rPr>
          <w:rFonts w:ascii="Aptos" w:hAnsi="Aptos" w:cstheme="minorHAnsi"/>
          <w:color w:val="242424"/>
        </w:rPr>
        <w:t xml:space="preserve">The only indirect reference to these objectives is that ATEC must consider the autonomy of providers in the choice of academic courses to offer in devising mission-based compacts, but not more than consider it: section 29(2)(e). </w:t>
      </w:r>
    </w:p>
    <w:p w14:paraId="4BEEF59E" w14:textId="44D287E7" w:rsidR="0063510F" w:rsidRDefault="0063510F"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Recommendation:</w:t>
      </w:r>
    </w:p>
    <w:p w14:paraId="402260E6" w14:textId="32F74F45" w:rsidR="0063510F"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 xml:space="preserve">Add an additional object such as ‘ensure the higher education system offers courses </w:t>
      </w:r>
      <w:r w:rsidR="000D147F">
        <w:rPr>
          <w:rFonts w:ascii="Aptos" w:hAnsi="Aptos" w:cstheme="minorHAnsi"/>
          <w:color w:val="242424"/>
        </w:rPr>
        <w:t xml:space="preserve">and conducts research </w:t>
      </w:r>
      <w:r>
        <w:rPr>
          <w:rFonts w:ascii="Aptos" w:hAnsi="Aptos" w:cstheme="minorHAnsi"/>
          <w:color w:val="242424"/>
        </w:rPr>
        <w:t xml:space="preserve">in a wide range of fields, including the humanities and social sciences, creative arts and natural and physical </w:t>
      </w:r>
      <w:proofErr w:type="gramStart"/>
      <w:r>
        <w:rPr>
          <w:rFonts w:ascii="Aptos" w:hAnsi="Aptos" w:cstheme="minorHAnsi"/>
          <w:color w:val="242424"/>
        </w:rPr>
        <w:t>sciences’</w:t>
      </w:r>
      <w:proofErr w:type="gramEnd"/>
      <w:r>
        <w:rPr>
          <w:rFonts w:ascii="Aptos" w:hAnsi="Aptos" w:cstheme="minorHAnsi"/>
          <w:color w:val="242424"/>
        </w:rPr>
        <w:t>.</w:t>
      </w:r>
    </w:p>
    <w:p w14:paraId="2D6EDA09" w14:textId="42C7B05D" w:rsidR="00F01060" w:rsidRDefault="00F01060" w:rsidP="00F01060">
      <w:pPr>
        <w:pStyle w:val="NormalWeb"/>
        <w:shd w:val="clear" w:color="auto" w:fill="FFFFFF"/>
        <w:spacing w:before="0" w:beforeAutospacing="0" w:after="384" w:afterAutospacing="0"/>
        <w:textAlignment w:val="baseline"/>
        <w:rPr>
          <w:rFonts w:ascii="Aptos" w:hAnsi="Aptos" w:cstheme="minorHAnsi"/>
          <w:color w:val="242424"/>
        </w:rPr>
      </w:pPr>
      <w:r>
        <w:rPr>
          <w:rFonts w:ascii="Aptos" w:hAnsi="Aptos" w:cstheme="minorHAnsi"/>
          <w:color w:val="242424"/>
        </w:rPr>
        <w:t>These fields have been specifically noted on the assumption that the more vocational fields are already covered by section 3(1)(c).</w:t>
      </w:r>
    </w:p>
    <w:p w14:paraId="6116D7E6" w14:textId="6E69DC97" w:rsidR="0063510F" w:rsidRDefault="0063510F" w:rsidP="0063510F">
      <w:pPr>
        <w:pStyle w:val="Heading3"/>
      </w:pPr>
      <w:bookmarkStart w:id="27" w:name="_Toc219380897"/>
      <w:r>
        <w:t>Teaching quality</w:t>
      </w:r>
      <w:bookmarkEnd w:id="27"/>
    </w:p>
    <w:p w14:paraId="6E409227" w14:textId="72B4DDAC" w:rsidR="0063510F" w:rsidRDefault="0063510F" w:rsidP="0063510F">
      <w:r>
        <w:t>The bill</w:t>
      </w:r>
      <w:r w:rsidR="002A3535">
        <w:t>’s objects</w:t>
      </w:r>
      <w:r>
        <w:t xml:space="preserve"> envisage that ATEC will ‘strengthen the higher education system to enable the delivery of quality teaching and learning’: section 3(1)(b). </w:t>
      </w:r>
      <w:r w:rsidR="002A3535">
        <w:t xml:space="preserve">This object, however, is only impliedly </w:t>
      </w:r>
      <w:r w:rsidR="00327BB3">
        <w:t xml:space="preserve">and partly </w:t>
      </w:r>
      <w:r w:rsidR="002A3535">
        <w:t xml:space="preserve">covered by ATEC’s functions. Quality teaching and learning depends on funding, </w:t>
      </w:r>
      <w:r w:rsidR="00327BB3">
        <w:t>included in</w:t>
      </w:r>
      <w:r w:rsidR="002A3535">
        <w:t xml:space="preserve"> the bill but in the context of ‘efficiency’ rather than quality: section 11(d)(ii) </w:t>
      </w:r>
      <w:r w:rsidR="00C84A3A">
        <w:t xml:space="preserve">of the bill </w:t>
      </w:r>
      <w:r w:rsidR="002A3535">
        <w:t xml:space="preserve">and </w:t>
      </w:r>
      <w:r w:rsidR="004911A3">
        <w:t>chapter</w:t>
      </w:r>
      <w:r w:rsidR="002A3535">
        <w:t xml:space="preserve"> </w:t>
      </w:r>
      <w:r w:rsidR="002A3535">
        <w:fldChar w:fldCharType="begin"/>
      </w:r>
      <w:r w:rsidR="002A3535">
        <w:instrText xml:space="preserve"> REF _Ref216273206 \r \h </w:instrText>
      </w:r>
      <w:r w:rsidR="002A3535">
        <w:fldChar w:fldCharType="separate"/>
      </w:r>
      <w:r w:rsidR="0055214B">
        <w:t>7</w:t>
      </w:r>
      <w:r w:rsidR="002A3535">
        <w:fldChar w:fldCharType="end"/>
      </w:r>
      <w:r w:rsidR="002A3535">
        <w:t xml:space="preserve"> of this submission. Quality </w:t>
      </w:r>
      <w:r w:rsidR="00E92771">
        <w:t>is</w:t>
      </w:r>
      <w:r w:rsidR="002A3535">
        <w:t xml:space="preserve"> a factor in equity group outcomes, covered in section 11(d)(i)</w:t>
      </w:r>
      <w:r w:rsidR="00E92771">
        <w:t>.</w:t>
      </w:r>
      <w:r w:rsidR="002878BD">
        <w:t xml:space="preserve"> </w:t>
      </w:r>
      <w:r w:rsidR="002A3535">
        <w:t xml:space="preserve">ATEC could provide </w:t>
      </w:r>
      <w:r w:rsidR="00327BB3">
        <w:t xml:space="preserve">content </w:t>
      </w:r>
      <w:r w:rsidR="002A3535">
        <w:lastRenderedPageBreak/>
        <w:t xml:space="preserve">on quality </w:t>
      </w:r>
      <w:r w:rsidR="00E92771">
        <w:t xml:space="preserve">when advising </w:t>
      </w:r>
      <w:r w:rsidR="002A3535">
        <w:t xml:space="preserve">on the Higher Education Standards Framework, but this </w:t>
      </w:r>
      <w:r w:rsidR="00E92771">
        <w:t>function is</w:t>
      </w:r>
      <w:r w:rsidR="002A3535">
        <w:t xml:space="preserve"> limited and legalistic: section 11(e) &amp; (f) </w:t>
      </w:r>
      <w:r w:rsidR="00C84A3A">
        <w:t xml:space="preserve">of this bill </w:t>
      </w:r>
      <w:r w:rsidR="002A3535">
        <w:t xml:space="preserve">and </w:t>
      </w:r>
      <w:r w:rsidR="004911A3">
        <w:t>chapter</w:t>
      </w:r>
      <w:r w:rsidR="002A3535">
        <w:t xml:space="preserve"> </w:t>
      </w:r>
      <w:r w:rsidR="002A3535">
        <w:fldChar w:fldCharType="begin"/>
      </w:r>
      <w:r w:rsidR="002A3535">
        <w:instrText xml:space="preserve"> REF _Ref216885768 \r \h </w:instrText>
      </w:r>
      <w:r w:rsidR="002A3535">
        <w:fldChar w:fldCharType="separate"/>
      </w:r>
      <w:r w:rsidR="0055214B">
        <w:t>3</w:t>
      </w:r>
      <w:r w:rsidR="002A3535">
        <w:fldChar w:fldCharType="end"/>
      </w:r>
      <w:r w:rsidR="002A3535">
        <w:t xml:space="preserve"> of this submission. </w:t>
      </w:r>
      <w:r w:rsidR="00327BB3">
        <w:t xml:space="preserve">The annual State of the Tertiary Education Commission report that ATEC must produce does not directly mention teaching or teaching quality: section 42. </w:t>
      </w:r>
    </w:p>
    <w:p w14:paraId="05640C5A" w14:textId="24347D78" w:rsidR="002A3535" w:rsidRDefault="002A3535" w:rsidP="0063510F"/>
    <w:p w14:paraId="36AAF4BA" w14:textId="13ADC9EF" w:rsidR="002E76BA" w:rsidRDefault="004D3875" w:rsidP="00C84A3A">
      <w:r>
        <w:t>Despite this limited follow-through on ATEC’s quality objective</w:t>
      </w:r>
      <w:r w:rsidR="00327BB3">
        <w:t>,</w:t>
      </w:r>
      <w:r>
        <w:t xml:space="preserve"> the interim ATEC is already intervening in this space, with Enhancing Professional Practice on Higher Education </w:t>
      </w:r>
      <w:r w:rsidR="00815CFD">
        <w:t>w</w:t>
      </w:r>
      <w:r>
        <w:t xml:space="preserve">orkshops. </w:t>
      </w:r>
    </w:p>
    <w:p w14:paraId="0659FE56" w14:textId="77777777" w:rsidR="00C84A3A" w:rsidRDefault="00C84A3A" w:rsidP="00C84A3A">
      <w:pPr>
        <w:rPr>
          <w:rFonts w:ascii="Aptos" w:hAnsi="Aptos"/>
        </w:rPr>
      </w:pPr>
    </w:p>
    <w:p w14:paraId="1007B9D6" w14:textId="480659AC" w:rsidR="002E76BA" w:rsidRDefault="002E76BA" w:rsidP="002E76BA">
      <w:pPr>
        <w:pStyle w:val="NormalWeb"/>
        <w:shd w:val="clear" w:color="auto" w:fill="FFFFFF"/>
        <w:spacing w:before="0" w:beforeAutospacing="0" w:after="384" w:afterAutospacing="0"/>
        <w:textAlignment w:val="baseline"/>
        <w:rPr>
          <w:rFonts w:ascii="Aptos" w:hAnsi="Aptos"/>
        </w:rPr>
      </w:pPr>
      <w:r>
        <w:rPr>
          <w:rFonts w:ascii="Aptos" w:hAnsi="Aptos"/>
        </w:rPr>
        <w:t>Recommendations:</w:t>
      </w:r>
    </w:p>
    <w:p w14:paraId="345084E9" w14:textId="5B44641D" w:rsidR="002E76BA" w:rsidRDefault="002E76BA" w:rsidP="0063510F">
      <w:r>
        <w:t xml:space="preserve">Add section 11 (fa): Provide advice to the sector on teaching quality </w:t>
      </w:r>
    </w:p>
    <w:p w14:paraId="6AA4684E" w14:textId="40425792" w:rsidR="002E76BA" w:rsidRDefault="002E76BA" w:rsidP="0063510F"/>
    <w:p w14:paraId="67DE14AE" w14:textId="3D7627ED" w:rsidR="00192F82" w:rsidRDefault="00192F82" w:rsidP="00260205">
      <w:pPr>
        <w:pStyle w:val="Heading3"/>
      </w:pPr>
      <w:bookmarkStart w:id="28" w:name="_Toc219380898"/>
      <w:r>
        <w:t>Research</w:t>
      </w:r>
      <w:bookmarkEnd w:id="28"/>
      <w:r>
        <w:t xml:space="preserve"> </w:t>
      </w:r>
    </w:p>
    <w:p w14:paraId="05A754DF" w14:textId="33CE847B" w:rsidR="00192F82" w:rsidRDefault="00192F82" w:rsidP="00192F82">
      <w:pPr>
        <w:pStyle w:val="NormalWeb"/>
        <w:shd w:val="clear" w:color="auto" w:fill="FFFFFF"/>
        <w:spacing w:before="0" w:beforeAutospacing="0" w:after="384" w:afterAutospacing="0"/>
        <w:textAlignment w:val="baseline"/>
        <w:rPr>
          <w:rFonts w:ascii="Aptos" w:hAnsi="Aptos"/>
        </w:rPr>
      </w:pPr>
      <w:r>
        <w:rPr>
          <w:rFonts w:ascii="Aptos" w:hAnsi="Aptos"/>
        </w:rPr>
        <w:t>The bill envisages ATEC responsibilities in research and research training. The objects include ‘to strengthen the higher education system to enable …internationally competitive research and research training’: section 3(1)(b). The minister’s strategic priorities setting envisage research being part of them: section 15(2)(b).</w:t>
      </w:r>
      <w:r w:rsidR="002878BD">
        <w:rPr>
          <w:rFonts w:ascii="Aptos" w:hAnsi="Aptos"/>
        </w:rPr>
        <w:t xml:space="preserve"> </w:t>
      </w:r>
      <w:r>
        <w:rPr>
          <w:rFonts w:ascii="Aptos" w:hAnsi="Aptos"/>
        </w:rPr>
        <w:t xml:space="preserve">Despite this, research is not specifically mentioned in the section 11 list of ATEC’s functions, or in the section 41 list of topics on which the minister can request advice and recommendations, or in the section 42 contents of the required ATEC State of the Tertiary Education System report. </w:t>
      </w:r>
      <w:r w:rsidR="00D25F49">
        <w:rPr>
          <w:rFonts w:ascii="Aptos" w:hAnsi="Aptos"/>
        </w:rPr>
        <w:t>The appointment criteria for the ATEC commissioners in sections 56-</w:t>
      </w:r>
      <w:r w:rsidR="002878BD">
        <w:rPr>
          <w:rFonts w:ascii="Aptos" w:hAnsi="Aptos"/>
        </w:rPr>
        <w:t xml:space="preserve">59 </w:t>
      </w:r>
      <w:r w:rsidR="00D25F49">
        <w:rPr>
          <w:rFonts w:ascii="Aptos" w:hAnsi="Aptos"/>
        </w:rPr>
        <w:t>also omit direct mention of research</w:t>
      </w:r>
      <w:r w:rsidR="008D63EF">
        <w:rPr>
          <w:rFonts w:ascii="Aptos" w:hAnsi="Aptos"/>
        </w:rPr>
        <w:t xml:space="preserve"> (</w:t>
      </w:r>
      <w:r w:rsidR="004911A3">
        <w:rPr>
          <w:rFonts w:ascii="Aptos" w:hAnsi="Aptos"/>
        </w:rPr>
        <w:t>chapter</w:t>
      </w:r>
      <w:r w:rsidR="008D63EF">
        <w:rPr>
          <w:rFonts w:ascii="Aptos" w:hAnsi="Aptos"/>
        </w:rPr>
        <w:t xml:space="preserve"> </w:t>
      </w:r>
      <w:r w:rsidR="008D63EF">
        <w:rPr>
          <w:rFonts w:ascii="Aptos" w:hAnsi="Aptos"/>
        </w:rPr>
        <w:fldChar w:fldCharType="begin"/>
      </w:r>
      <w:r w:rsidR="008D63EF">
        <w:rPr>
          <w:rFonts w:ascii="Aptos" w:hAnsi="Aptos"/>
        </w:rPr>
        <w:instrText xml:space="preserve"> REF _Ref217042283 \r \h </w:instrText>
      </w:r>
      <w:r w:rsidR="008D63EF">
        <w:rPr>
          <w:rFonts w:ascii="Aptos" w:hAnsi="Aptos"/>
        </w:rPr>
      </w:r>
      <w:r w:rsidR="008D63EF">
        <w:rPr>
          <w:rFonts w:ascii="Aptos" w:hAnsi="Aptos"/>
        </w:rPr>
        <w:fldChar w:fldCharType="separate"/>
      </w:r>
      <w:r w:rsidR="0055214B">
        <w:rPr>
          <w:rFonts w:ascii="Aptos" w:hAnsi="Aptos"/>
        </w:rPr>
        <w:t>8</w:t>
      </w:r>
      <w:r w:rsidR="008D63EF">
        <w:rPr>
          <w:rFonts w:ascii="Aptos" w:hAnsi="Aptos"/>
        </w:rPr>
        <w:fldChar w:fldCharType="end"/>
      </w:r>
      <w:r w:rsidR="008D63EF">
        <w:rPr>
          <w:rFonts w:ascii="Aptos" w:hAnsi="Aptos"/>
        </w:rPr>
        <w:t xml:space="preserve"> of this submission covers commissioner qualifications in more detail)</w:t>
      </w:r>
      <w:r w:rsidR="00D25F49">
        <w:rPr>
          <w:rFonts w:ascii="Aptos" w:hAnsi="Aptos"/>
        </w:rPr>
        <w:t xml:space="preserve">. </w:t>
      </w:r>
    </w:p>
    <w:p w14:paraId="090A7D8C" w14:textId="11CFCD15" w:rsidR="00D25F49" w:rsidRDefault="0094271F" w:rsidP="00192F82">
      <w:pPr>
        <w:pStyle w:val="NormalWeb"/>
        <w:shd w:val="clear" w:color="auto" w:fill="FFFFFF"/>
        <w:spacing w:before="0" w:beforeAutospacing="0" w:after="384" w:afterAutospacing="0"/>
        <w:textAlignment w:val="baseline"/>
        <w:rPr>
          <w:rFonts w:ascii="Aptos" w:hAnsi="Aptos"/>
        </w:rPr>
      </w:pPr>
      <w:proofErr w:type="gramStart"/>
      <w:r>
        <w:rPr>
          <w:rFonts w:ascii="Aptos" w:hAnsi="Aptos"/>
        </w:rPr>
        <w:t>Assuming that</w:t>
      </w:r>
      <w:proofErr w:type="gramEnd"/>
      <w:r>
        <w:rPr>
          <w:rFonts w:ascii="Aptos" w:hAnsi="Aptos"/>
        </w:rPr>
        <w:t xml:space="preserve"> the government intends for ATEC to be involved in research policy this should be included ATEC’s functions and advisory responsibilities.  In line with other parts of the bill, this will require consultations with other ministers responsible for research funding, such as the health minister in the case of the NHRMC. </w:t>
      </w:r>
    </w:p>
    <w:p w14:paraId="17582490" w14:textId="5FE9E04D" w:rsidR="000C28D8" w:rsidRDefault="000C28D8" w:rsidP="00192F82">
      <w:pPr>
        <w:pStyle w:val="NormalWeb"/>
        <w:shd w:val="clear" w:color="auto" w:fill="FFFFFF"/>
        <w:spacing w:before="0" w:beforeAutospacing="0" w:after="384" w:afterAutospacing="0"/>
        <w:textAlignment w:val="baseline"/>
        <w:rPr>
          <w:rFonts w:ascii="Aptos" w:hAnsi="Aptos"/>
        </w:rPr>
      </w:pPr>
      <w:r>
        <w:rPr>
          <w:rFonts w:ascii="Aptos" w:hAnsi="Aptos"/>
        </w:rPr>
        <w:t>Recommendations:</w:t>
      </w:r>
    </w:p>
    <w:p w14:paraId="5CB56EF4" w14:textId="77777777" w:rsidR="008607B4" w:rsidRDefault="008607B4" w:rsidP="008607B4">
      <w:pPr>
        <w:pStyle w:val="NormalWeb"/>
        <w:shd w:val="clear" w:color="auto" w:fill="FFFFFF"/>
        <w:spacing w:before="0" w:beforeAutospacing="0"/>
        <w:textAlignment w:val="baseline"/>
        <w:rPr>
          <w:rFonts w:ascii="Aptos" w:hAnsi="Aptos"/>
        </w:rPr>
      </w:pPr>
      <w:r>
        <w:rPr>
          <w:rFonts w:ascii="Aptos" w:hAnsi="Aptos"/>
        </w:rPr>
        <w:t>A</w:t>
      </w:r>
      <w:r w:rsidR="000C28D8">
        <w:rPr>
          <w:rFonts w:ascii="Aptos" w:hAnsi="Aptos"/>
        </w:rPr>
        <w:t>dd section 11(d)(iv): The funding of research and research training</w:t>
      </w:r>
    </w:p>
    <w:p w14:paraId="6D8F90F4" w14:textId="7694056A" w:rsidR="000C28D8" w:rsidRDefault="008607B4" w:rsidP="008607B4">
      <w:pPr>
        <w:pStyle w:val="NormalWeb"/>
        <w:shd w:val="clear" w:color="auto" w:fill="FFFFFF"/>
        <w:spacing w:before="0" w:beforeAutospacing="0"/>
        <w:textAlignment w:val="baseline"/>
        <w:rPr>
          <w:rFonts w:ascii="Aptos" w:hAnsi="Aptos"/>
        </w:rPr>
      </w:pPr>
      <w:r>
        <w:rPr>
          <w:rFonts w:ascii="Aptos" w:hAnsi="Aptos"/>
        </w:rPr>
        <w:t>Add to section 41(1): The indirect costs of research grants, research training costs including stipends, and trends in research output and topics.</w:t>
      </w:r>
    </w:p>
    <w:p w14:paraId="7A952C0A" w14:textId="0BBBE9DF" w:rsidR="000C28D8" w:rsidRDefault="000C28D8" w:rsidP="00260205">
      <w:pPr>
        <w:pStyle w:val="Heading3"/>
      </w:pPr>
      <w:bookmarkStart w:id="29" w:name="_Toc219380899"/>
      <w:r>
        <w:t>Student income support</w:t>
      </w:r>
      <w:bookmarkEnd w:id="29"/>
    </w:p>
    <w:p w14:paraId="04B8AB2A" w14:textId="3AB8C725" w:rsidR="00BE0F32" w:rsidRDefault="00260205" w:rsidP="00260205">
      <w:r>
        <w:t xml:space="preserve">The </w:t>
      </w:r>
      <w:r w:rsidRPr="00260205">
        <w:rPr>
          <w:i/>
          <w:iCs/>
        </w:rPr>
        <w:t>Universities Accord Final Report</w:t>
      </w:r>
      <w:r>
        <w:t xml:space="preserve"> recognised the role of student income support in achieving participation targets </w:t>
      </w:r>
      <w:sdt>
        <w:sdtPr>
          <w:rPr>
            <w:rFonts w:ascii="Calibri" w:hAnsi="Calibri" w:cs="Calibri"/>
            <w:color w:val="000000"/>
          </w:rPr>
          <w:tag w:val="MENDELEY_CITATION_v3_eyJjaXRhdGlvbklEIjoiTUVOREVMRVlfQ0lUQVRJT05fOGJhYTVhZDUtZTU0ZC00ZWU1LWIwM2ItZjdmNTJmYTQ3YzZlIiwicHJvcGVydGllcyI6eyJub3RlSW5kZXgiOjB9LCJpc0VkaXRlZCI6ZmFsc2UsIm1hbnVhbE92ZXJyaWRlIjp7ImlzTWFudWFsbHlPdmVycmlkZGVuIjpmYWxzZSwiY2l0ZXByb2NUZXh0IjoiKEF1c3RyYWxpYW4gR292ZXJubWVudCwgMjAyNCwgcC4gMTIyKSIsIm1hbnVhbE92ZXJyaWRlVGV4dCI6IiJ9LCJjaXRhdGlvbkl0ZW1zIjpbey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EyMiJ9XX0="/>
          <w:id w:val="-176195252"/>
          <w:placeholder>
            <w:docPart w:val="DefaultPlaceholder_-1854013440"/>
          </w:placeholder>
        </w:sdtPr>
        <w:sdtContent>
          <w:r w:rsidR="00094A58" w:rsidRPr="00094A58">
            <w:rPr>
              <w:rFonts w:ascii="Calibri" w:hAnsi="Calibri" w:cs="Calibri"/>
              <w:color w:val="000000"/>
            </w:rPr>
            <w:t>(Australian Government, 2024, p. 122)</w:t>
          </w:r>
        </w:sdtContent>
      </w:sdt>
      <w:r>
        <w:t xml:space="preserve">. </w:t>
      </w:r>
      <w:r w:rsidR="00BE0F32">
        <w:t xml:space="preserve">The Department has previously commissioned statistical work </w:t>
      </w:r>
      <w:r w:rsidR="008D63EF">
        <w:t>that showed income support</w:t>
      </w:r>
      <w:r w:rsidR="00BE0F32">
        <w:t xml:space="preserve"> help</w:t>
      </w:r>
      <w:r w:rsidR="008D63EF">
        <w:t>s</w:t>
      </w:r>
      <w:r w:rsidR="00BE0F32">
        <w:t xml:space="preserve"> students from disadvantaged groups complete</w:t>
      </w:r>
      <w:r w:rsidR="002878BD">
        <w:t xml:space="preserve"> their courses</w:t>
      </w:r>
      <w:r w:rsidR="00BE0F32">
        <w:t xml:space="preserve"> </w:t>
      </w:r>
      <w:sdt>
        <w:sdtPr>
          <w:rPr>
            <w:rFonts w:ascii="Calibri" w:hAnsi="Calibri" w:cs="Calibri"/>
            <w:color w:val="000000"/>
          </w:rPr>
          <w:tag w:val="MENDELEY_CITATION_v3_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"/>
          <w:id w:val="-167631621"/>
          <w:placeholder>
            <w:docPart w:val="DefaultPlaceholder_-1854013440"/>
          </w:placeholder>
        </w:sdtPr>
        <w:sdtContent>
          <w:r w:rsidR="00094A58" w:rsidRPr="00094A58">
            <w:rPr>
              <w:rFonts w:ascii="Calibri" w:hAnsi="Calibri" w:cs="Calibri"/>
              <w:color w:val="000000"/>
            </w:rPr>
            <w:t>(DESE, 2020)</w:t>
          </w:r>
        </w:sdtContent>
      </w:sdt>
      <w:r w:rsidR="00BE0F32">
        <w:t>.</w:t>
      </w:r>
      <w:r w:rsidR="002878BD">
        <w:t xml:space="preserve"> This fits well with the bill’s focus on higher education ‘outcomes’ for equity groups, not just participation: </w:t>
      </w:r>
      <w:r w:rsidR="002878BD">
        <w:rPr>
          <w:rFonts w:ascii="Aptos" w:hAnsi="Aptos"/>
        </w:rPr>
        <w:t xml:space="preserve">sections 11(d)(i), 14 and 41(1)(f). </w:t>
      </w:r>
    </w:p>
    <w:p w14:paraId="0F8C3798" w14:textId="77777777" w:rsidR="00BE0F32" w:rsidRDefault="00BE0F32" w:rsidP="00260205"/>
    <w:p w14:paraId="4307B64D" w14:textId="74444CB6" w:rsidR="00260205" w:rsidRDefault="00BE0F32" w:rsidP="00260205">
      <w:pPr>
        <w:rPr>
          <w:rFonts w:ascii="Aptos" w:hAnsi="Aptos"/>
        </w:rPr>
      </w:pPr>
      <w:r>
        <w:t xml:space="preserve">Student income support is not, however, directly mentioned in ATEC’s objects or functions. Arguably the bill’s equity provisions </w:t>
      </w:r>
      <w:r w:rsidR="002878BD">
        <w:t>focus on outcomes is</w:t>
      </w:r>
      <w:r>
        <w:rPr>
          <w:rFonts w:ascii="Aptos" w:hAnsi="Aptos"/>
        </w:rPr>
        <w:t xml:space="preserve"> broad enough to </w:t>
      </w:r>
      <w:r>
        <w:rPr>
          <w:rFonts w:ascii="Aptos" w:hAnsi="Aptos"/>
        </w:rPr>
        <w:lastRenderedPageBreak/>
        <w:t xml:space="preserve">justify advice on student income support. But the history of neglecting student income support in equity policy, </w:t>
      </w:r>
      <w:r w:rsidR="002878BD">
        <w:rPr>
          <w:rFonts w:ascii="Aptos" w:hAnsi="Aptos"/>
        </w:rPr>
        <w:t xml:space="preserve">probably </w:t>
      </w:r>
      <w:r>
        <w:rPr>
          <w:rFonts w:ascii="Aptos" w:hAnsi="Aptos"/>
        </w:rPr>
        <w:t xml:space="preserve">because the Department of Social Services has primary responsibility for it, means that it should be mentioned directly to remind ATEC of its importance. A broadly worded provision </w:t>
      </w:r>
      <w:r w:rsidR="002878BD">
        <w:rPr>
          <w:rFonts w:ascii="Aptos" w:hAnsi="Aptos"/>
        </w:rPr>
        <w:t xml:space="preserve">on student income support </w:t>
      </w:r>
      <w:r>
        <w:rPr>
          <w:rFonts w:ascii="Aptos" w:hAnsi="Aptos"/>
        </w:rPr>
        <w:t xml:space="preserve">would also encompass policy around the </w:t>
      </w:r>
      <w:proofErr w:type="spellStart"/>
      <w:r>
        <w:rPr>
          <w:rFonts w:ascii="Aptos" w:hAnsi="Aptos"/>
        </w:rPr>
        <w:t>Prac</w:t>
      </w:r>
      <w:proofErr w:type="spellEnd"/>
      <w:r>
        <w:rPr>
          <w:rFonts w:ascii="Aptos" w:hAnsi="Aptos"/>
        </w:rPr>
        <w:t xml:space="preserve"> Payment, the Research Training program stipend, and the scholarships and bursaries funded under needs-based funding or the Indigenous Student Success Program, which are currently </w:t>
      </w:r>
      <w:r w:rsidR="002878BD">
        <w:rPr>
          <w:rFonts w:ascii="Aptos" w:hAnsi="Aptos"/>
        </w:rPr>
        <w:t>administered</w:t>
      </w:r>
      <w:r>
        <w:rPr>
          <w:rFonts w:ascii="Aptos" w:hAnsi="Aptos"/>
        </w:rPr>
        <w:t xml:space="preserve"> by the Department of Education. </w:t>
      </w:r>
    </w:p>
    <w:p w14:paraId="0E85AE75" w14:textId="3982896F" w:rsidR="006A34D1" w:rsidRDefault="006A34D1" w:rsidP="00260205">
      <w:pPr>
        <w:rPr>
          <w:rFonts w:ascii="Aptos" w:hAnsi="Aptos"/>
        </w:rPr>
      </w:pPr>
    </w:p>
    <w:p w14:paraId="5FDF3360" w14:textId="070E5C10" w:rsidR="006A34D1" w:rsidRDefault="006A34D1" w:rsidP="00260205">
      <w:pPr>
        <w:rPr>
          <w:rFonts w:ascii="Aptos" w:hAnsi="Aptos"/>
        </w:rPr>
      </w:pPr>
      <w:r>
        <w:rPr>
          <w:rFonts w:ascii="Aptos" w:hAnsi="Aptos"/>
        </w:rPr>
        <w:t xml:space="preserve">Where cross-portfolio issues </w:t>
      </w:r>
      <w:proofErr w:type="gramStart"/>
      <w:r>
        <w:rPr>
          <w:rFonts w:ascii="Aptos" w:hAnsi="Aptos"/>
        </w:rPr>
        <w:t>arise</w:t>
      </w:r>
      <w:proofErr w:type="gramEnd"/>
      <w:r>
        <w:rPr>
          <w:rFonts w:ascii="Aptos" w:hAnsi="Aptos"/>
        </w:rPr>
        <w:t xml:space="preserve"> the relevant minister</w:t>
      </w:r>
      <w:r w:rsidR="00C84A3A">
        <w:rPr>
          <w:rFonts w:ascii="Aptos" w:hAnsi="Aptos"/>
        </w:rPr>
        <w:t xml:space="preserve"> should be consulted</w:t>
      </w:r>
      <w:r>
        <w:rPr>
          <w:rFonts w:ascii="Aptos" w:hAnsi="Aptos"/>
        </w:rPr>
        <w:t xml:space="preserve">, as per other arrangements in the bill. </w:t>
      </w:r>
    </w:p>
    <w:p w14:paraId="1A917D51" w14:textId="5A814D63" w:rsidR="006A34D1" w:rsidRDefault="006A34D1" w:rsidP="00260205">
      <w:pPr>
        <w:rPr>
          <w:rFonts w:ascii="Aptos" w:hAnsi="Aptos"/>
        </w:rPr>
      </w:pPr>
    </w:p>
    <w:p w14:paraId="2D82BB50" w14:textId="0FD9DB92" w:rsidR="006A34D1" w:rsidRDefault="006A34D1" w:rsidP="00260205">
      <w:pPr>
        <w:rPr>
          <w:rFonts w:ascii="Aptos" w:hAnsi="Aptos"/>
        </w:rPr>
      </w:pPr>
      <w:r>
        <w:rPr>
          <w:rFonts w:ascii="Aptos" w:hAnsi="Aptos"/>
        </w:rPr>
        <w:t>Recommendations:</w:t>
      </w:r>
    </w:p>
    <w:p w14:paraId="33C93ABE" w14:textId="710F2C08" w:rsidR="006A34D1" w:rsidRDefault="006A34D1" w:rsidP="00260205">
      <w:pPr>
        <w:rPr>
          <w:rFonts w:ascii="Aptos" w:hAnsi="Aptos"/>
        </w:rPr>
      </w:pPr>
    </w:p>
    <w:p w14:paraId="6E1935DA" w14:textId="7DB9E708" w:rsidR="006A34D1" w:rsidRDefault="006A34D1" w:rsidP="00260205">
      <w:pPr>
        <w:rPr>
          <w:rFonts w:ascii="Aptos" w:hAnsi="Aptos"/>
        </w:rPr>
      </w:pPr>
      <w:r>
        <w:rPr>
          <w:rFonts w:ascii="Aptos" w:hAnsi="Aptos"/>
        </w:rPr>
        <w:t>Add section 11(d)(v) student income support including scholarships and bursaries</w:t>
      </w:r>
    </w:p>
    <w:p w14:paraId="5FE108D4" w14:textId="571C8EA5" w:rsidR="006A34D1" w:rsidRDefault="006A34D1" w:rsidP="00260205">
      <w:pPr>
        <w:rPr>
          <w:rFonts w:ascii="Aptos" w:hAnsi="Aptos"/>
        </w:rPr>
      </w:pPr>
    </w:p>
    <w:p w14:paraId="7D9943C7" w14:textId="0C4AF9A3" w:rsidR="006A34D1" w:rsidRDefault="006A34D1" w:rsidP="00260205">
      <w:pPr>
        <w:rPr>
          <w:rFonts w:ascii="Aptos" w:hAnsi="Aptos"/>
          <w:i/>
          <w:iCs/>
        </w:rPr>
      </w:pPr>
      <w:r>
        <w:rPr>
          <w:rFonts w:ascii="Aptos" w:hAnsi="Aptos"/>
        </w:rPr>
        <w:t xml:space="preserve">Add to section 5 definitions: </w:t>
      </w:r>
      <w:r w:rsidR="00656D7C" w:rsidRPr="00656D7C">
        <w:rPr>
          <w:rFonts w:ascii="Aptos" w:hAnsi="Aptos"/>
          <w:b/>
          <w:bCs/>
        </w:rPr>
        <w:t>Social Services Minister</w:t>
      </w:r>
      <w:r w:rsidR="00656D7C">
        <w:rPr>
          <w:rFonts w:ascii="Aptos" w:hAnsi="Aptos"/>
        </w:rPr>
        <w:t xml:space="preserve"> means the minister administering the </w:t>
      </w:r>
      <w:r w:rsidR="00656D7C">
        <w:rPr>
          <w:rFonts w:ascii="Aptos" w:hAnsi="Aptos"/>
          <w:i/>
          <w:iCs/>
        </w:rPr>
        <w:t>Social Security Act 1991.</w:t>
      </w:r>
    </w:p>
    <w:p w14:paraId="3357A248" w14:textId="43F9633F" w:rsidR="00656D7C" w:rsidRDefault="00656D7C" w:rsidP="00260205">
      <w:pPr>
        <w:rPr>
          <w:rFonts w:ascii="Aptos" w:hAnsi="Aptos"/>
          <w:i/>
          <w:iCs/>
        </w:rPr>
      </w:pPr>
    </w:p>
    <w:p w14:paraId="51613F7A" w14:textId="4CEE93F9" w:rsidR="00656D7C" w:rsidRDefault="00656D7C" w:rsidP="00260205">
      <w:pPr>
        <w:rPr>
          <w:rFonts w:ascii="Aptos" w:hAnsi="Aptos"/>
        </w:rPr>
      </w:pPr>
      <w:r>
        <w:rPr>
          <w:rFonts w:ascii="Aptos" w:hAnsi="Aptos"/>
        </w:rPr>
        <w:t>Add section 15(2)(c) if the priorities relate</w:t>
      </w:r>
      <w:r w:rsidR="006864BB">
        <w:rPr>
          <w:rFonts w:ascii="Aptos" w:hAnsi="Aptos"/>
        </w:rPr>
        <w:t xml:space="preserve"> to payments administered by the Social Services Minister – consult with the Social Services Minister. </w:t>
      </w:r>
    </w:p>
    <w:p w14:paraId="77AFA034" w14:textId="77777777" w:rsidR="00C84A3A" w:rsidRDefault="00C84A3A" w:rsidP="00260205">
      <w:pPr>
        <w:rPr>
          <w:rFonts w:ascii="Aptos" w:hAnsi="Aptos"/>
        </w:rPr>
      </w:pPr>
    </w:p>
    <w:p w14:paraId="7D4B7372" w14:textId="7F6822D8" w:rsidR="00BB4DD5" w:rsidRDefault="00C84A3A" w:rsidP="00260205">
      <w:pPr>
        <w:rPr>
          <w:rFonts w:ascii="Aptos" w:hAnsi="Aptos"/>
        </w:rPr>
      </w:pPr>
      <w:r>
        <w:rPr>
          <w:rFonts w:ascii="Aptos" w:hAnsi="Aptos"/>
        </w:rPr>
        <w:t>C</w:t>
      </w:r>
      <w:r w:rsidR="006864BB">
        <w:rPr>
          <w:rFonts w:ascii="Aptos" w:hAnsi="Aptos"/>
        </w:rPr>
        <w:t>onsequential amendments to ATEC consultations</w:t>
      </w:r>
      <w:r>
        <w:rPr>
          <w:rFonts w:ascii="Aptos" w:hAnsi="Aptos"/>
        </w:rPr>
        <w:t xml:space="preserve"> may also be needed</w:t>
      </w:r>
      <w:r w:rsidR="006864BB">
        <w:rPr>
          <w:rFonts w:ascii="Aptos" w:hAnsi="Aptos"/>
        </w:rPr>
        <w:t xml:space="preserve">, sections 43-46. </w:t>
      </w:r>
    </w:p>
    <w:p w14:paraId="243C0485" w14:textId="3AD7409D" w:rsidR="00380AE7" w:rsidRDefault="00380AE7" w:rsidP="00260205">
      <w:pPr>
        <w:rPr>
          <w:rFonts w:ascii="Aptos" w:hAnsi="Aptos"/>
        </w:rPr>
      </w:pPr>
    </w:p>
    <w:p w14:paraId="3D66C9C1" w14:textId="77777777" w:rsidR="00825DA6" w:rsidRDefault="00825DA6" w:rsidP="00825DA6">
      <w:pPr>
        <w:pStyle w:val="Heading2"/>
      </w:pPr>
      <w:bookmarkStart w:id="30" w:name="_Toc219380900"/>
      <w:r>
        <w:t>Duplicated functions</w:t>
      </w:r>
      <w:bookmarkEnd w:id="30"/>
      <w:r>
        <w:t xml:space="preserve"> </w:t>
      </w:r>
    </w:p>
    <w:p w14:paraId="417EA09A" w14:textId="77777777" w:rsidR="00825DA6" w:rsidRDefault="00825DA6" w:rsidP="00825DA6">
      <w:pPr>
        <w:pStyle w:val="BodyText"/>
      </w:pPr>
      <w:r>
        <w:t>ATEC advisory functions are duplicated between sections 11 and 41.</w:t>
      </w:r>
    </w:p>
    <w:p w14:paraId="12AA23F3" w14:textId="77777777" w:rsidR="00825DA6" w:rsidRDefault="00825DA6" w:rsidP="00825DA6">
      <w:pPr>
        <w:pStyle w:val="BodyText"/>
      </w:pPr>
    </w:p>
    <w:p w14:paraId="0A2C5329" w14:textId="735274ED" w:rsidR="00BB4DD5" w:rsidRDefault="00825DA6" w:rsidP="00825DA6">
      <w:pPr>
        <w:pStyle w:val="BodyText"/>
      </w:pPr>
      <w:r>
        <w:t xml:space="preserve">Except for small grammatical differences the equity advisory functions in section 11(d)(i) and section 41(1)(h) are the same. </w:t>
      </w:r>
    </w:p>
    <w:p w14:paraId="231F4CD9" w14:textId="77777777" w:rsidR="00825DA6" w:rsidRDefault="00825DA6" w:rsidP="00825DA6">
      <w:pPr>
        <w:pStyle w:val="BodyText"/>
      </w:pPr>
    </w:p>
    <w:p w14:paraId="156A7685" w14:textId="3DBD980D" w:rsidR="00825DA6" w:rsidRDefault="00825DA6" w:rsidP="00825DA6">
      <w:pPr>
        <w:pStyle w:val="BodyText"/>
      </w:pPr>
      <w:r>
        <w:t xml:space="preserve">The costing </w:t>
      </w:r>
      <w:r w:rsidR="00003098">
        <w:t xml:space="preserve">and funding advisory </w:t>
      </w:r>
      <w:r>
        <w:t xml:space="preserve">functions in section 11(d)(ii) and section 41(1)(b) are similar but with differences that may confuse. </w:t>
      </w:r>
    </w:p>
    <w:p w14:paraId="1DD87D03" w14:textId="77777777" w:rsidR="00825DA6" w:rsidRDefault="00825DA6" w:rsidP="00825DA6">
      <w:pPr>
        <w:pStyle w:val="BodyText"/>
      </w:pPr>
    </w:p>
    <w:p w14:paraId="6ACD4874" w14:textId="6E8C86A3" w:rsidR="00825DA6" w:rsidRDefault="00825DA6" w:rsidP="00825DA6">
      <w:pPr>
        <w:pStyle w:val="BodyText"/>
      </w:pPr>
      <w:r>
        <w:t>Section 11(d)(i</w:t>
      </w:r>
      <w:r w:rsidR="00003098">
        <w:t>i</w:t>
      </w:r>
      <w:r>
        <w:t xml:space="preserve">) refers to efficient cost while section 41(1)(b) just refers to cost. </w:t>
      </w:r>
    </w:p>
    <w:p w14:paraId="30263E9D" w14:textId="77777777" w:rsidR="00825DA6" w:rsidRDefault="00825DA6" w:rsidP="00825DA6">
      <w:pPr>
        <w:pStyle w:val="BodyText"/>
      </w:pPr>
    </w:p>
    <w:p w14:paraId="294F729A" w14:textId="2016113B" w:rsidR="00825DA6" w:rsidRDefault="00825DA6" w:rsidP="00825DA6">
      <w:pPr>
        <w:pStyle w:val="BodyText"/>
      </w:pPr>
      <w:r>
        <w:t>Section 11(d)</w:t>
      </w:r>
      <w:r w:rsidR="00003098">
        <w:t>(ii)</w:t>
      </w:r>
      <w:r>
        <w:t xml:space="preserve"> refers to the cost of higher education across disciplines while section 41(1)(b) refers to the cost of teaching and learning in higher education. Are these different ways of saying the same thing, or is some significant difference intended?</w:t>
      </w:r>
    </w:p>
    <w:p w14:paraId="36114AAE" w14:textId="77777777" w:rsidR="00825DA6" w:rsidRDefault="00825DA6" w:rsidP="00825DA6">
      <w:pPr>
        <w:pStyle w:val="BodyText"/>
      </w:pPr>
    </w:p>
    <w:p w14:paraId="2973FB7A" w14:textId="73F5A07D" w:rsidR="00825DA6" w:rsidRDefault="00003098" w:rsidP="00825DA6">
      <w:pPr>
        <w:pStyle w:val="BodyText"/>
      </w:pPr>
      <w:r>
        <w:t xml:space="preserve">Section 41(1)(b) refers to funding on a per student </w:t>
      </w:r>
      <w:proofErr w:type="gramStart"/>
      <w:r>
        <w:t>basis</w:t>
      </w:r>
      <w:proofErr w:type="gramEnd"/>
      <w:r>
        <w:t xml:space="preserve"> but section 11(d)(ii) refers directly only to the Commonwealth contribution component, unless ‘efficient cost’ is meant to be basis of per student funding.</w:t>
      </w:r>
    </w:p>
    <w:p w14:paraId="6F118039" w14:textId="77777777" w:rsidR="00003098" w:rsidRDefault="00003098" w:rsidP="00825DA6">
      <w:pPr>
        <w:pStyle w:val="BodyText"/>
      </w:pPr>
    </w:p>
    <w:p w14:paraId="44D07D90" w14:textId="099FBB36" w:rsidR="00003098" w:rsidRDefault="00003098" w:rsidP="00825DA6">
      <w:pPr>
        <w:pStyle w:val="BodyText"/>
      </w:pPr>
      <w:r>
        <w:t xml:space="preserve">Section 11(d)(ii) refers to costs relating to student cohorts, while section 41(1)(b) does not refer to student characteristics unless this is implied in ‘teaching and learning’. </w:t>
      </w:r>
    </w:p>
    <w:p w14:paraId="60A67111" w14:textId="77777777" w:rsidR="00003098" w:rsidRDefault="00003098" w:rsidP="00825DA6">
      <w:pPr>
        <w:pStyle w:val="BodyText"/>
      </w:pPr>
    </w:p>
    <w:p w14:paraId="4EF8CEB0" w14:textId="5A92C937" w:rsidR="00003098" w:rsidRDefault="00003098" w:rsidP="00825DA6">
      <w:pPr>
        <w:pStyle w:val="BodyText"/>
      </w:pPr>
      <w:r>
        <w:lastRenderedPageBreak/>
        <w:t xml:space="preserve">Section 41(1)(b) refers to ‘overall higher education funding amounts’, while section 11(d)(ii) only refers to costs and Commonwealth contributions. </w:t>
      </w:r>
    </w:p>
    <w:p w14:paraId="49E722BC" w14:textId="77777777" w:rsidR="00CB0FD1" w:rsidRDefault="00CB0FD1" w:rsidP="00825DA6">
      <w:pPr>
        <w:pStyle w:val="BodyText"/>
      </w:pPr>
    </w:p>
    <w:p w14:paraId="1A3CDBB2" w14:textId="373A3773" w:rsidR="00CB0FD1" w:rsidRDefault="00CB0FD1" w:rsidP="00825DA6">
      <w:pPr>
        <w:pStyle w:val="BodyText"/>
      </w:pPr>
      <w:r>
        <w:t>Recommendations:</w:t>
      </w:r>
    </w:p>
    <w:p w14:paraId="0893770E" w14:textId="77777777" w:rsidR="00003098" w:rsidRDefault="00003098" w:rsidP="00825DA6">
      <w:pPr>
        <w:pStyle w:val="BodyText"/>
      </w:pPr>
    </w:p>
    <w:p w14:paraId="073CBC2B" w14:textId="75A8FE16" w:rsidR="00003098" w:rsidRDefault="00003098" w:rsidP="00825DA6">
      <w:pPr>
        <w:pStyle w:val="BodyText"/>
      </w:pPr>
      <w:r>
        <w:t xml:space="preserve">It would be tidier for section 11 just to have a </w:t>
      </w:r>
      <w:r w:rsidR="00CB0FD1">
        <w:t xml:space="preserve">general advisory clause that cross-references section 41, rather than having duplicated or inconsistent functions. </w:t>
      </w:r>
    </w:p>
    <w:p w14:paraId="4A050BA7" w14:textId="77777777" w:rsidR="00CB0FD1" w:rsidRDefault="00CB0FD1" w:rsidP="00825DA6">
      <w:pPr>
        <w:pStyle w:val="BodyText"/>
      </w:pPr>
    </w:p>
    <w:p w14:paraId="21A7C1E0" w14:textId="3FEE9098" w:rsidR="00CB0FD1" w:rsidRDefault="00CB0FD1" w:rsidP="00825DA6">
      <w:pPr>
        <w:pStyle w:val="BodyText"/>
      </w:pPr>
      <w:r>
        <w:t xml:space="preserve">The government should decide what costing and funding advice it wants and state it in section 41. </w:t>
      </w:r>
    </w:p>
    <w:p w14:paraId="1E767E22" w14:textId="6DEC7733" w:rsidR="00CB0FD1" w:rsidRDefault="00CB0FD1" w:rsidP="00825DA6">
      <w:pPr>
        <w:pStyle w:val="BodyText"/>
      </w:pPr>
    </w:p>
    <w:p w14:paraId="287B2AEF" w14:textId="293DBC6C" w:rsidR="00CB0FD1" w:rsidRDefault="00CB0FD1" w:rsidP="00825DA6">
      <w:pPr>
        <w:pStyle w:val="BodyText"/>
      </w:pPr>
      <w:r>
        <w:t>Advice on ‘opportunities to streamline the regulation of higher education providers’ in section 11(d)(iii) should be moved to section 41.</w:t>
      </w:r>
    </w:p>
    <w:p w14:paraId="3DC6B578" w14:textId="40724D0F" w:rsidR="00CB0FD1" w:rsidRDefault="00CB0FD1">
      <w:r>
        <w:br w:type="page"/>
      </w:r>
    </w:p>
    <w:p w14:paraId="0EA0406B" w14:textId="62EB1311" w:rsidR="006864BB" w:rsidRPr="006864BB" w:rsidRDefault="006864BB" w:rsidP="006864BB">
      <w:pPr>
        <w:pStyle w:val="Heading1"/>
        <w:numPr>
          <w:ilvl w:val="0"/>
          <w:numId w:val="7"/>
        </w:numPr>
        <w:ind w:left="357" w:hanging="357"/>
        <w:rPr>
          <w:rFonts w:ascii="Aptos" w:hAnsi="Aptos" w:cstheme="minorHAnsi"/>
          <w:sz w:val="32"/>
          <w:szCs w:val="32"/>
        </w:rPr>
      </w:pPr>
      <w:bookmarkStart w:id="31" w:name="_Ref216885768"/>
      <w:bookmarkStart w:id="32" w:name="_Toc219380901"/>
      <w:r>
        <w:rPr>
          <w:rFonts w:ascii="Aptos" w:hAnsi="Aptos" w:cstheme="minorHAnsi"/>
          <w:color w:val="4F81BD" w:themeColor="accent1"/>
          <w:sz w:val="32"/>
          <w:szCs w:val="32"/>
        </w:rPr>
        <w:lastRenderedPageBreak/>
        <w:t>Setting the Threshold Standards</w:t>
      </w:r>
      <w:bookmarkEnd w:id="31"/>
      <w:bookmarkEnd w:id="32"/>
      <w:r>
        <w:rPr>
          <w:rFonts w:ascii="Aptos" w:hAnsi="Aptos" w:cstheme="minorHAnsi"/>
          <w:color w:val="4F81BD" w:themeColor="accent1"/>
          <w:sz w:val="32"/>
          <w:szCs w:val="32"/>
        </w:rPr>
        <w:t xml:space="preserve"> </w:t>
      </w:r>
    </w:p>
    <w:p w14:paraId="233A4CC7" w14:textId="77777777" w:rsidR="006864BB" w:rsidRPr="00656D7C" w:rsidRDefault="006864BB" w:rsidP="00260205">
      <w:pPr>
        <w:rPr>
          <w:rFonts w:ascii="Aptos" w:hAnsi="Aptos"/>
        </w:rPr>
      </w:pPr>
    </w:p>
    <w:p w14:paraId="6D0699AE" w14:textId="013B75AD" w:rsidR="00E92771" w:rsidRDefault="009B318F" w:rsidP="00260205">
      <w:pPr>
        <w:rPr>
          <w:rFonts w:ascii="Aptos" w:hAnsi="Aptos"/>
        </w:rPr>
      </w:pPr>
      <w:r>
        <w:rPr>
          <w:rFonts w:ascii="Aptos" w:hAnsi="Aptos"/>
        </w:rPr>
        <w:t>The ATEC bill would change how the Higher Education Threshold Standards are devised.</w:t>
      </w:r>
      <w:r w:rsidR="00655EFD">
        <w:rPr>
          <w:rStyle w:val="FootnoteReference"/>
          <w:rFonts w:ascii="Aptos" w:hAnsi="Aptos"/>
        </w:rPr>
        <w:footnoteReference w:id="5"/>
      </w:r>
      <w:r w:rsidR="002878BD">
        <w:rPr>
          <w:rFonts w:ascii="Aptos" w:hAnsi="Aptos"/>
        </w:rPr>
        <w:t xml:space="preserve"> </w:t>
      </w:r>
      <w:r>
        <w:rPr>
          <w:rFonts w:ascii="Aptos" w:hAnsi="Aptos"/>
        </w:rPr>
        <w:t xml:space="preserve">The Threshold Standards govern the basic standards that all higher education providers must meet as a condition of registration. </w:t>
      </w:r>
      <w:r w:rsidR="00E92771">
        <w:rPr>
          <w:rFonts w:ascii="Aptos" w:hAnsi="Aptos"/>
        </w:rPr>
        <w:t xml:space="preserve">The Tertiary Education Quality and Standards Agency (TEQSA) assesses whether providers have met the standards. </w:t>
      </w:r>
    </w:p>
    <w:p w14:paraId="632D144F" w14:textId="77777777" w:rsidR="00E92771" w:rsidRDefault="00E92771" w:rsidP="00260205">
      <w:pPr>
        <w:rPr>
          <w:rFonts w:ascii="Aptos" w:hAnsi="Aptos"/>
        </w:rPr>
      </w:pPr>
    </w:p>
    <w:p w14:paraId="303F79D9" w14:textId="7E94A4BB" w:rsidR="00E92771" w:rsidRDefault="00E92771" w:rsidP="00E92771">
      <w:pPr>
        <w:pStyle w:val="Heading3"/>
      </w:pPr>
      <w:bookmarkStart w:id="33" w:name="_Toc219380902"/>
      <w:r>
        <w:t>Higher Education Standards Panel</w:t>
      </w:r>
      <w:bookmarkEnd w:id="33"/>
    </w:p>
    <w:p w14:paraId="44B8FA0C" w14:textId="5370FA4F" w:rsidR="006A34D1" w:rsidRDefault="009B318F" w:rsidP="00260205">
      <w:pPr>
        <w:rPr>
          <w:rFonts w:ascii="Aptos" w:hAnsi="Aptos"/>
        </w:rPr>
      </w:pPr>
      <w:r>
        <w:rPr>
          <w:rFonts w:ascii="Aptos" w:hAnsi="Aptos"/>
        </w:rPr>
        <w:t>Currently, the Threshold Standards are made on the advice of the Higher Education Standards Panel, which the minister appoints based on legislated criteria.</w:t>
      </w:r>
    </w:p>
    <w:p w14:paraId="7876FB21" w14:textId="1EFA19C1" w:rsidR="009B318F" w:rsidRPr="009B318F" w:rsidRDefault="009B318F" w:rsidP="009B318F">
      <w:p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 The panel members need to collectively have:</w:t>
      </w:r>
    </w:p>
    <w:p w14:paraId="078D070B" w14:textId="5DD359DF" w:rsidR="009B318F" w:rsidRPr="009B318F" w:rsidRDefault="009B318F" w:rsidP="009B318F">
      <w:pPr>
        <w:numPr>
          <w:ilvl w:val="0"/>
          <w:numId w:val="24"/>
        </w:num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 xml:space="preserve">Professional knowledge and demonstrated expertise, including in higher education and the development of quality standards: section 167(2)(a) </w:t>
      </w:r>
      <w:r w:rsidRPr="009B318F">
        <w:rPr>
          <w:rFonts w:ascii="Aptos" w:eastAsia="Times New Roman" w:hAnsi="Aptos" w:cs="Times New Roman"/>
          <w:i/>
          <w:iCs/>
          <w:szCs w:val="24"/>
          <w:lang w:eastAsia="en-AU"/>
        </w:rPr>
        <w:t>T</w:t>
      </w:r>
      <w:r>
        <w:rPr>
          <w:rFonts w:ascii="Aptos" w:eastAsia="Times New Roman" w:hAnsi="Aptos" w:cs="Times New Roman"/>
          <w:i/>
          <w:iCs/>
          <w:szCs w:val="24"/>
          <w:lang w:eastAsia="en-AU"/>
        </w:rPr>
        <w:t>ertiary Education Quality and Standards Agency</w:t>
      </w:r>
      <w:r w:rsidRPr="009B318F">
        <w:rPr>
          <w:rFonts w:ascii="Aptos" w:eastAsia="Times New Roman" w:hAnsi="Aptos" w:cs="Times New Roman"/>
          <w:i/>
          <w:iCs/>
          <w:szCs w:val="24"/>
          <w:lang w:eastAsia="en-AU"/>
        </w:rPr>
        <w:t xml:space="preserve"> Act 2011.</w:t>
      </w:r>
    </w:p>
    <w:p w14:paraId="4853F3C2" w14:textId="13F59C0B" w:rsidR="009B318F" w:rsidRDefault="009B318F" w:rsidP="009B318F">
      <w:pPr>
        <w:numPr>
          <w:ilvl w:val="0"/>
          <w:numId w:val="24"/>
        </w:numPr>
        <w:spacing w:before="100" w:beforeAutospacing="1" w:after="100" w:afterAutospacing="1"/>
        <w:ind w:right="0"/>
        <w:rPr>
          <w:rFonts w:ascii="Aptos" w:eastAsia="Times New Roman" w:hAnsi="Aptos" w:cs="Times New Roman"/>
          <w:szCs w:val="24"/>
          <w:lang w:eastAsia="en-AU"/>
        </w:rPr>
      </w:pPr>
      <w:r w:rsidRPr="009B318F">
        <w:rPr>
          <w:rFonts w:ascii="Aptos" w:eastAsia="Times New Roman" w:hAnsi="Aptos" w:cs="Times New Roman"/>
          <w:szCs w:val="24"/>
          <w:lang w:eastAsia="en-AU"/>
        </w:rPr>
        <w:t>Contemporary experience in the provision of higher education, including universities and non-university higher education providers: section 167(</w:t>
      </w:r>
      <w:proofErr w:type="gramStart"/>
      <w:r w:rsidRPr="009B318F">
        <w:rPr>
          <w:rFonts w:ascii="Aptos" w:eastAsia="Times New Roman" w:hAnsi="Aptos" w:cs="Times New Roman"/>
          <w:szCs w:val="24"/>
          <w:lang w:eastAsia="en-AU"/>
        </w:rPr>
        <w:t>2)(</w:t>
      </w:r>
      <w:proofErr w:type="gramEnd"/>
      <w:r w:rsidRPr="009B318F">
        <w:rPr>
          <w:rFonts w:ascii="Aptos" w:eastAsia="Times New Roman" w:hAnsi="Aptos" w:cs="Times New Roman"/>
          <w:szCs w:val="24"/>
          <w:lang w:eastAsia="en-AU"/>
        </w:rPr>
        <w:t xml:space="preserve">aa) </w:t>
      </w:r>
      <w:r w:rsidRPr="009B318F">
        <w:rPr>
          <w:rFonts w:ascii="Aptos" w:eastAsia="Times New Roman" w:hAnsi="Aptos" w:cs="Times New Roman"/>
          <w:i/>
          <w:iCs/>
          <w:szCs w:val="24"/>
          <w:lang w:eastAsia="en-AU"/>
        </w:rPr>
        <w:t>TEQSA Act 2011</w:t>
      </w:r>
      <w:r w:rsidRPr="009B318F">
        <w:rPr>
          <w:rFonts w:ascii="Aptos" w:eastAsia="Times New Roman" w:hAnsi="Aptos" w:cs="Times New Roman"/>
          <w:szCs w:val="24"/>
          <w:lang w:eastAsia="en-AU"/>
        </w:rPr>
        <w:t>.</w:t>
      </w:r>
    </w:p>
    <w:p w14:paraId="497A6E16" w14:textId="10D71F4D" w:rsidR="00E92771" w:rsidRDefault="00E92771" w:rsidP="00E92771">
      <w:pPr>
        <w:pStyle w:val="Heading3"/>
        <w:rPr>
          <w:lang w:eastAsia="en-AU"/>
        </w:rPr>
      </w:pPr>
      <w:bookmarkStart w:id="34" w:name="_Toc219380903"/>
      <w:r>
        <w:rPr>
          <w:lang w:eastAsia="en-AU"/>
        </w:rPr>
        <w:t>ATEC to replace HESP</w:t>
      </w:r>
      <w:bookmarkEnd w:id="34"/>
    </w:p>
    <w:p w14:paraId="507011D6" w14:textId="38FC7DFF" w:rsidR="009B318F" w:rsidRPr="009B318F" w:rsidRDefault="009B318F" w:rsidP="009B318F">
      <w:pPr>
        <w:spacing w:before="100" w:beforeAutospacing="1" w:after="100" w:afterAutospacing="1"/>
        <w:ind w:right="0"/>
        <w:rPr>
          <w:rFonts w:ascii="Aptos" w:eastAsia="Times New Roman" w:hAnsi="Aptos" w:cs="Times New Roman"/>
          <w:szCs w:val="24"/>
          <w:lang w:eastAsia="en-AU"/>
        </w:rPr>
      </w:pPr>
      <w:r>
        <w:rPr>
          <w:rFonts w:ascii="Aptos" w:eastAsia="Times New Roman" w:hAnsi="Aptos" w:cs="Times New Roman"/>
          <w:szCs w:val="24"/>
          <w:lang w:eastAsia="en-AU"/>
        </w:rPr>
        <w:t xml:space="preserve">Under the ATEC changes, the Higher Education Standards Panel would be abolished: </w:t>
      </w:r>
      <w:r>
        <w:t xml:space="preserve">schedule 1, item </w:t>
      </w:r>
      <w:r w:rsidRPr="009B318F">
        <w:t xml:space="preserve">16 </w:t>
      </w:r>
      <w:r w:rsidRPr="009B318F">
        <w:rPr>
          <w:rStyle w:val="Emphasis"/>
          <w:color w:val="000000" w:themeColor="text1"/>
        </w:rPr>
        <w:t>Universities Accord (Australian Tertiary Education Commission) (Consequential and Transitional Provisions) Bill 2025</w:t>
      </w:r>
      <w:r w:rsidRPr="009B318F">
        <w:t>.</w:t>
      </w:r>
      <w:r>
        <w:t xml:space="preserve"> The Panel would be replaced by ATEC: proposed new section 58A in the </w:t>
      </w:r>
      <w:r>
        <w:rPr>
          <w:rStyle w:val="Emphasis"/>
        </w:rPr>
        <w:t>TEQSA Act 2011</w:t>
      </w:r>
      <w:r>
        <w:t xml:space="preserve">, reforming amendment schedule 1, item 13 </w:t>
      </w:r>
      <w:r>
        <w:rPr>
          <w:rStyle w:val="Emphasis"/>
        </w:rPr>
        <w:t>Universities Accord (Australian Tertiary Education Commission) (Consequential and Transitional Provisions) Bill 2025</w:t>
      </w:r>
      <w:r>
        <w:t xml:space="preserve">, plus the list of ATEC functions at section 11(e) </w:t>
      </w:r>
      <w:r>
        <w:rPr>
          <w:rStyle w:val="Emphasis"/>
        </w:rPr>
        <w:t>Universities Accord (Australian Tertiary Education Commission) Bill 2025</w:t>
      </w:r>
      <w:r>
        <w:t>.</w:t>
      </w:r>
      <w:r>
        <w:rPr>
          <w:rFonts w:ascii="Aptos" w:eastAsia="Times New Roman" w:hAnsi="Aptos" w:cs="Times New Roman"/>
          <w:szCs w:val="24"/>
          <w:lang w:eastAsia="en-AU"/>
        </w:rPr>
        <w:t xml:space="preserve"> </w:t>
      </w:r>
    </w:p>
    <w:p w14:paraId="3DD92C80" w14:textId="71B573EA" w:rsidR="009B318F" w:rsidRDefault="009B318F" w:rsidP="00260205">
      <w:pPr>
        <w:rPr>
          <w:rFonts w:ascii="Aptos" w:hAnsi="Aptos"/>
        </w:rPr>
      </w:pPr>
      <w:r w:rsidRPr="009B318F">
        <w:rPr>
          <w:rFonts w:ascii="Aptos" w:hAnsi="Aptos"/>
        </w:rPr>
        <w:t xml:space="preserve">The criteria for </w:t>
      </w:r>
      <w:r w:rsidR="00E92771">
        <w:rPr>
          <w:rFonts w:ascii="Aptos" w:hAnsi="Aptos"/>
        </w:rPr>
        <w:t xml:space="preserve">appointing </w:t>
      </w:r>
      <w:r w:rsidRPr="009B318F">
        <w:rPr>
          <w:rFonts w:ascii="Aptos" w:hAnsi="Aptos"/>
        </w:rPr>
        <w:t xml:space="preserve">ATEC commissioners </w:t>
      </w:r>
      <w:r w:rsidR="009F6C91">
        <w:rPr>
          <w:rFonts w:ascii="Aptos" w:hAnsi="Aptos"/>
        </w:rPr>
        <w:t xml:space="preserve">– discussed in more detail in </w:t>
      </w:r>
      <w:r w:rsidR="004911A3">
        <w:rPr>
          <w:rFonts w:ascii="Aptos" w:hAnsi="Aptos"/>
        </w:rPr>
        <w:t>chapter</w:t>
      </w:r>
      <w:r w:rsidR="009F6C91">
        <w:rPr>
          <w:rFonts w:ascii="Aptos" w:hAnsi="Aptos"/>
        </w:rPr>
        <w:t xml:space="preserve"> </w:t>
      </w:r>
      <w:r w:rsidR="009F6C91">
        <w:rPr>
          <w:rFonts w:ascii="Aptos" w:hAnsi="Aptos"/>
        </w:rPr>
        <w:fldChar w:fldCharType="begin"/>
      </w:r>
      <w:r w:rsidR="009F6C91">
        <w:rPr>
          <w:rFonts w:ascii="Aptos" w:hAnsi="Aptos"/>
        </w:rPr>
        <w:instrText xml:space="preserve"> REF _Ref217042283 \r \h </w:instrText>
      </w:r>
      <w:r w:rsidR="009F6C91">
        <w:rPr>
          <w:rFonts w:ascii="Aptos" w:hAnsi="Aptos"/>
        </w:rPr>
      </w:r>
      <w:r w:rsidR="009F6C91">
        <w:rPr>
          <w:rFonts w:ascii="Aptos" w:hAnsi="Aptos"/>
        </w:rPr>
        <w:fldChar w:fldCharType="separate"/>
      </w:r>
      <w:r w:rsidR="0055214B">
        <w:rPr>
          <w:rFonts w:ascii="Aptos" w:hAnsi="Aptos"/>
        </w:rPr>
        <w:t>8</w:t>
      </w:r>
      <w:r w:rsidR="009F6C91">
        <w:rPr>
          <w:rFonts w:ascii="Aptos" w:hAnsi="Aptos"/>
        </w:rPr>
        <w:fldChar w:fldCharType="end"/>
      </w:r>
      <w:r w:rsidR="009F6C91">
        <w:rPr>
          <w:rFonts w:ascii="Aptos" w:hAnsi="Aptos"/>
        </w:rPr>
        <w:t xml:space="preserve"> of this submission – </w:t>
      </w:r>
      <w:r w:rsidRPr="009B318F">
        <w:rPr>
          <w:rFonts w:ascii="Aptos" w:hAnsi="Aptos"/>
        </w:rPr>
        <w:t xml:space="preserve">do not include expertise in the 'development of quality standards', as is required for membership of the Higher Education Standards Panel. The collective experience required by the three ATEC commissioners </w:t>
      </w:r>
      <w:r w:rsidR="00E8311D">
        <w:rPr>
          <w:rFonts w:ascii="Aptos" w:hAnsi="Aptos"/>
        </w:rPr>
        <w:t>is</w:t>
      </w:r>
      <w:r w:rsidRPr="009B318F">
        <w:rPr>
          <w:rFonts w:ascii="Aptos" w:hAnsi="Aptos"/>
        </w:rPr>
        <w:t xml:space="preserve"> higher education, vocational education, tertiary education governance and administration, stakeholder consultation and engagement, regional education, </w:t>
      </w:r>
      <w:r w:rsidR="00E745E6">
        <w:rPr>
          <w:rFonts w:ascii="Aptos" w:hAnsi="Aptos"/>
        </w:rPr>
        <w:t xml:space="preserve">and </w:t>
      </w:r>
      <w:r w:rsidRPr="009B318F">
        <w:rPr>
          <w:rFonts w:ascii="Aptos" w:hAnsi="Aptos"/>
        </w:rPr>
        <w:t>significant understanding of ATSI issues</w:t>
      </w:r>
      <w:r w:rsidR="00C04EBC">
        <w:rPr>
          <w:rFonts w:ascii="Aptos" w:hAnsi="Aptos"/>
        </w:rPr>
        <w:t>:</w:t>
      </w:r>
      <w:r w:rsidRPr="009B318F">
        <w:rPr>
          <w:rFonts w:ascii="Aptos" w:hAnsi="Aptos"/>
        </w:rPr>
        <w:t xml:space="preserve"> section 59 </w:t>
      </w:r>
      <w:r w:rsidRPr="009B318F">
        <w:rPr>
          <w:rStyle w:val="Emphasis"/>
          <w:rFonts w:ascii="Aptos" w:hAnsi="Aptos"/>
        </w:rPr>
        <w:t>Universities Accord (Australian Tertiary Education Commission) Bill 2025</w:t>
      </w:r>
      <w:r w:rsidRPr="009B318F">
        <w:rPr>
          <w:rFonts w:ascii="Aptos" w:hAnsi="Aptos"/>
        </w:rPr>
        <w:t>.</w:t>
      </w:r>
      <w:r w:rsidR="00E8311D">
        <w:rPr>
          <w:rFonts w:ascii="Aptos" w:hAnsi="Aptos"/>
        </w:rPr>
        <w:t xml:space="preserve"> </w:t>
      </w:r>
    </w:p>
    <w:p w14:paraId="2523DB6E" w14:textId="6BA5C208" w:rsidR="00E8311D" w:rsidRDefault="00E8311D" w:rsidP="00260205">
      <w:pPr>
        <w:rPr>
          <w:rFonts w:ascii="Aptos" w:hAnsi="Aptos"/>
        </w:rPr>
      </w:pPr>
    </w:p>
    <w:p w14:paraId="6DAFC416" w14:textId="0DF28DB8" w:rsidR="00E8311D" w:rsidRDefault="00E8311D" w:rsidP="00260205">
      <w:pPr>
        <w:rPr>
          <w:rFonts w:ascii="Aptos" w:hAnsi="Aptos"/>
        </w:rPr>
      </w:pPr>
      <w:r w:rsidRPr="00E8311D">
        <w:rPr>
          <w:rFonts w:ascii="Aptos" w:hAnsi="Aptos"/>
        </w:rPr>
        <w:t xml:space="preserve">The </w:t>
      </w:r>
      <w:r w:rsidRPr="00E8311D">
        <w:rPr>
          <w:rStyle w:val="Emphasis"/>
          <w:rFonts w:ascii="Aptos" w:hAnsi="Aptos"/>
        </w:rPr>
        <w:t>Universities Accord (Australian Tertiary Education Commission) Bill 2025</w:t>
      </w:r>
      <w:r w:rsidRPr="00E8311D">
        <w:rPr>
          <w:rFonts w:ascii="Aptos" w:hAnsi="Aptos"/>
        </w:rPr>
        <w:t xml:space="preserve"> explanatory memorandum suggests that an ATEC advisory committee may be formed to advise on the Threshold Standards (p. 26). Such a committee can be created under section 25(2) of that bill. If this committee is created, ATEC must ensure that its members have appropriate knowledge or experience: section 25(4). </w:t>
      </w:r>
      <w:r>
        <w:rPr>
          <w:rFonts w:ascii="Aptos" w:hAnsi="Aptos"/>
        </w:rPr>
        <w:t xml:space="preserve">However, there is no guarantee that such a committee will be established. </w:t>
      </w:r>
      <w:r w:rsidR="002D025F">
        <w:rPr>
          <w:rFonts w:ascii="Aptos" w:hAnsi="Aptos"/>
        </w:rPr>
        <w:t>T</w:t>
      </w:r>
      <w:r>
        <w:rPr>
          <w:rFonts w:ascii="Aptos" w:hAnsi="Aptos"/>
        </w:rPr>
        <w:t xml:space="preserve">he Threshold Standards </w:t>
      </w:r>
      <w:r w:rsidR="002D025F">
        <w:rPr>
          <w:rFonts w:ascii="Aptos" w:hAnsi="Aptos"/>
        </w:rPr>
        <w:t xml:space="preserve">could therefore be based on advice from </w:t>
      </w:r>
      <w:r>
        <w:rPr>
          <w:rFonts w:ascii="Aptos" w:hAnsi="Aptos"/>
        </w:rPr>
        <w:t xml:space="preserve">people without appropriate expertise. It also creates the risk that the Threshold Standards will </w:t>
      </w:r>
      <w:r w:rsidR="00F7572B">
        <w:rPr>
          <w:rFonts w:ascii="Aptos" w:hAnsi="Aptos"/>
        </w:rPr>
        <w:t xml:space="preserve">be </w:t>
      </w:r>
      <w:r>
        <w:rPr>
          <w:rFonts w:ascii="Aptos" w:hAnsi="Aptos"/>
        </w:rPr>
        <w:t xml:space="preserve">just another instrument for implementing the government’s </w:t>
      </w:r>
      <w:r>
        <w:rPr>
          <w:rFonts w:ascii="Aptos" w:hAnsi="Aptos"/>
        </w:rPr>
        <w:lastRenderedPageBreak/>
        <w:t xml:space="preserve">narrow objectives for </w:t>
      </w:r>
      <w:r w:rsidR="00E92771">
        <w:rPr>
          <w:rFonts w:ascii="Aptos" w:hAnsi="Aptos"/>
        </w:rPr>
        <w:t>universities</w:t>
      </w:r>
      <w:r>
        <w:rPr>
          <w:rFonts w:ascii="Aptos" w:hAnsi="Aptos"/>
        </w:rPr>
        <w:t xml:space="preserve">, rather than a framework suitable for higher education more generally. </w:t>
      </w:r>
    </w:p>
    <w:p w14:paraId="5CA26AAB" w14:textId="77777777" w:rsidR="00E92771" w:rsidRDefault="00E92771" w:rsidP="00260205">
      <w:pPr>
        <w:rPr>
          <w:rFonts w:ascii="Aptos" w:hAnsi="Aptos"/>
        </w:rPr>
      </w:pPr>
    </w:p>
    <w:p w14:paraId="69E88704" w14:textId="5BF76E41" w:rsidR="00E92771" w:rsidRDefault="00E92771" w:rsidP="00E92771">
      <w:pPr>
        <w:pStyle w:val="Heading3"/>
      </w:pPr>
      <w:bookmarkStart w:id="35" w:name="_Toc219380904"/>
      <w:r>
        <w:t>Reducing the risk of poor advice on the Threshold Standards</w:t>
      </w:r>
      <w:bookmarkEnd w:id="35"/>
    </w:p>
    <w:p w14:paraId="7941F864" w14:textId="77777777" w:rsidR="00E8311D" w:rsidRDefault="00E8311D" w:rsidP="00260205">
      <w:pPr>
        <w:rPr>
          <w:rFonts w:ascii="Aptos" w:hAnsi="Aptos"/>
        </w:rPr>
      </w:pPr>
    </w:p>
    <w:p w14:paraId="38D05CB5" w14:textId="25F42969" w:rsidR="00911F53" w:rsidRDefault="00E8311D" w:rsidP="00260205">
      <w:pPr>
        <w:rPr>
          <w:rFonts w:ascii="Aptos" w:hAnsi="Aptos"/>
        </w:rPr>
      </w:pPr>
      <w:r w:rsidRPr="00E8311D">
        <w:rPr>
          <w:rFonts w:ascii="Aptos" w:hAnsi="Aptos"/>
        </w:rPr>
        <w:t>A partial mitigation of the risks created by the new system would be to create a statutory advisory committee on the Threshold Standards that includes people with relevant expertise.</w:t>
      </w:r>
      <w:r>
        <w:rPr>
          <w:rFonts w:ascii="Aptos" w:hAnsi="Aptos"/>
        </w:rPr>
        <w:t xml:space="preserve"> This would parallel the </w:t>
      </w:r>
      <w:r w:rsidR="00674023">
        <w:rPr>
          <w:rFonts w:ascii="Aptos" w:hAnsi="Aptos"/>
        </w:rPr>
        <w:t>required First Nations Advisory Committee</w:t>
      </w:r>
      <w:r w:rsidR="00911F53">
        <w:rPr>
          <w:rFonts w:ascii="Aptos" w:hAnsi="Aptos"/>
        </w:rPr>
        <w:t>: section 25(</w:t>
      </w:r>
      <w:r w:rsidR="006B39AE">
        <w:rPr>
          <w:rFonts w:ascii="Aptos" w:hAnsi="Aptos"/>
        </w:rPr>
        <w:t>1</w:t>
      </w:r>
      <w:r w:rsidR="00911F53">
        <w:rPr>
          <w:rFonts w:ascii="Aptos" w:hAnsi="Aptos"/>
        </w:rPr>
        <w:t xml:space="preserve">). </w:t>
      </w:r>
      <w:r w:rsidR="009F695A">
        <w:rPr>
          <w:rFonts w:ascii="Aptos" w:hAnsi="Aptos"/>
        </w:rPr>
        <w:t xml:space="preserve">Another partial mitigation </w:t>
      </w:r>
      <w:r w:rsidR="00911F53">
        <w:rPr>
          <w:rFonts w:ascii="Aptos" w:hAnsi="Aptos"/>
        </w:rPr>
        <w:t xml:space="preserve">would to be add expertise or experience in developing and/or administering quality standards to the list of attributes commissioners must collectively </w:t>
      </w:r>
      <w:proofErr w:type="gramStart"/>
      <w:r w:rsidR="00911F53">
        <w:rPr>
          <w:rFonts w:ascii="Aptos" w:hAnsi="Aptos"/>
        </w:rPr>
        <w:t>offer:</w:t>
      </w:r>
      <w:proofErr w:type="gramEnd"/>
      <w:r w:rsidR="00911F53">
        <w:rPr>
          <w:rFonts w:ascii="Aptos" w:hAnsi="Aptos"/>
        </w:rPr>
        <w:t xml:space="preserve"> section 59. However, with only three commissioners every attribute added limits the pool of potential applicants</w:t>
      </w:r>
      <w:r w:rsidR="00E745E6">
        <w:rPr>
          <w:rFonts w:ascii="Aptos" w:hAnsi="Aptos"/>
        </w:rPr>
        <w:t xml:space="preserve"> (</w:t>
      </w:r>
      <w:r w:rsidR="004911A3">
        <w:rPr>
          <w:rFonts w:ascii="Aptos" w:hAnsi="Aptos"/>
        </w:rPr>
        <w:t>chapter</w:t>
      </w:r>
      <w:r w:rsidR="00E745E6">
        <w:rPr>
          <w:rFonts w:ascii="Aptos" w:hAnsi="Aptos"/>
        </w:rPr>
        <w:t xml:space="preserve"> </w:t>
      </w:r>
      <w:r w:rsidR="00E745E6">
        <w:rPr>
          <w:rFonts w:ascii="Aptos" w:hAnsi="Aptos"/>
        </w:rPr>
        <w:fldChar w:fldCharType="begin"/>
      </w:r>
      <w:r w:rsidR="00E745E6">
        <w:rPr>
          <w:rFonts w:ascii="Aptos" w:hAnsi="Aptos"/>
        </w:rPr>
        <w:instrText xml:space="preserve"> REF _Ref217042283 \r \h </w:instrText>
      </w:r>
      <w:r w:rsidR="00E745E6">
        <w:rPr>
          <w:rFonts w:ascii="Aptos" w:hAnsi="Aptos"/>
        </w:rPr>
      </w:r>
      <w:r w:rsidR="00E745E6">
        <w:rPr>
          <w:rFonts w:ascii="Aptos" w:hAnsi="Aptos"/>
        </w:rPr>
        <w:fldChar w:fldCharType="separate"/>
      </w:r>
      <w:r w:rsidR="0055214B">
        <w:rPr>
          <w:rFonts w:ascii="Aptos" w:hAnsi="Aptos"/>
        </w:rPr>
        <w:t>8</w:t>
      </w:r>
      <w:r w:rsidR="00E745E6">
        <w:rPr>
          <w:rFonts w:ascii="Aptos" w:hAnsi="Aptos"/>
        </w:rPr>
        <w:fldChar w:fldCharType="end"/>
      </w:r>
      <w:r w:rsidR="00E745E6">
        <w:rPr>
          <w:rFonts w:ascii="Aptos" w:hAnsi="Aptos"/>
        </w:rPr>
        <w:t xml:space="preserve"> of this submission covers the number of commissioners)</w:t>
      </w:r>
      <w:r w:rsidR="00911F53">
        <w:rPr>
          <w:rFonts w:ascii="Aptos" w:hAnsi="Aptos"/>
        </w:rPr>
        <w:t xml:space="preserve">. </w:t>
      </w:r>
    </w:p>
    <w:p w14:paraId="492E6CF2" w14:textId="0576C781" w:rsidR="00674023" w:rsidRDefault="00911F53" w:rsidP="00260205">
      <w:pPr>
        <w:rPr>
          <w:rFonts w:ascii="Aptos" w:hAnsi="Aptos"/>
        </w:rPr>
      </w:pPr>
      <w:r>
        <w:rPr>
          <w:rFonts w:ascii="Aptos" w:hAnsi="Aptos"/>
        </w:rPr>
        <w:t xml:space="preserve"> </w:t>
      </w:r>
    </w:p>
    <w:p w14:paraId="51119A27" w14:textId="01D59381" w:rsidR="00E8311D" w:rsidRDefault="00674023" w:rsidP="00260205">
      <w:pPr>
        <w:rPr>
          <w:rFonts w:ascii="Aptos" w:hAnsi="Aptos"/>
        </w:rPr>
      </w:pPr>
      <w:r>
        <w:rPr>
          <w:rFonts w:ascii="Aptos" w:hAnsi="Aptos"/>
        </w:rPr>
        <w:t xml:space="preserve">Another alternative, which I prefer, </w:t>
      </w:r>
      <w:r w:rsidR="00E745E6">
        <w:rPr>
          <w:rFonts w:ascii="Aptos" w:hAnsi="Aptos"/>
        </w:rPr>
        <w:t>is keeping</w:t>
      </w:r>
      <w:r>
        <w:rPr>
          <w:rFonts w:ascii="Aptos" w:hAnsi="Aptos"/>
        </w:rPr>
        <w:t xml:space="preserve"> the Higher Education Standards Panel but </w:t>
      </w:r>
      <w:r w:rsidR="00E745E6">
        <w:rPr>
          <w:rFonts w:ascii="Aptos" w:hAnsi="Aptos"/>
        </w:rPr>
        <w:t>appointing</w:t>
      </w:r>
      <w:r>
        <w:rPr>
          <w:rFonts w:ascii="Aptos" w:hAnsi="Aptos"/>
        </w:rPr>
        <w:t xml:space="preserve"> an ATEC </w:t>
      </w:r>
      <w:r w:rsidR="009F695A">
        <w:rPr>
          <w:rFonts w:ascii="Aptos" w:hAnsi="Aptos"/>
        </w:rPr>
        <w:t>c</w:t>
      </w:r>
      <w:r>
        <w:rPr>
          <w:rFonts w:ascii="Aptos" w:hAnsi="Aptos"/>
        </w:rPr>
        <w:t>ommissioner to the Panel.</w:t>
      </w:r>
      <w:r w:rsidR="002878BD">
        <w:rPr>
          <w:rFonts w:ascii="Aptos" w:hAnsi="Aptos"/>
        </w:rPr>
        <w:t xml:space="preserve"> </w:t>
      </w:r>
      <w:r w:rsidR="009F695A">
        <w:rPr>
          <w:rFonts w:ascii="Aptos" w:hAnsi="Aptos"/>
        </w:rPr>
        <w:t xml:space="preserve">That may help coordinate policy more effectively than in recent times, with the Department of Education making rules that overlap with the Threshold Standards </w:t>
      </w:r>
      <w:sdt>
        <w:sdtPr>
          <w:rPr>
            <w:rFonts w:ascii="Aptos" w:hAnsi="Aptos"/>
            <w:color w:val="000000"/>
          </w:rPr>
          <w:tag w:val="MENDELEY_CITATION_v3_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"/>
          <w:id w:val="1418212666"/>
          <w:placeholder>
            <w:docPart w:val="DefaultPlaceholder_-1854013440"/>
          </w:placeholder>
        </w:sdtPr>
        <w:sdtContent>
          <w:r w:rsidR="00094A58" w:rsidRPr="00094A58">
            <w:rPr>
              <w:rFonts w:ascii="Aptos" w:hAnsi="Aptos"/>
              <w:color w:val="000000"/>
            </w:rPr>
            <w:t>(Norton, 2025b)</w:t>
          </w:r>
        </w:sdtContent>
      </w:sdt>
      <w:r w:rsidR="009F695A">
        <w:rPr>
          <w:rFonts w:ascii="Aptos" w:hAnsi="Aptos"/>
        </w:rPr>
        <w:t>.</w:t>
      </w:r>
      <w:r w:rsidR="002878BD">
        <w:rPr>
          <w:rFonts w:ascii="Aptos" w:hAnsi="Aptos"/>
        </w:rPr>
        <w:t xml:space="preserve"> </w:t>
      </w:r>
      <w:r w:rsidR="001573AD">
        <w:rPr>
          <w:rFonts w:ascii="Aptos" w:hAnsi="Aptos"/>
        </w:rPr>
        <w:t xml:space="preserve">The ATEC commissioner could advise the Panel on the potential cost implications of </w:t>
      </w:r>
      <w:r w:rsidR="00D34D20">
        <w:rPr>
          <w:rFonts w:ascii="Aptos" w:hAnsi="Aptos"/>
        </w:rPr>
        <w:t>Threshold Standard changes they are considering, as costing is an ATEC function (</w:t>
      </w:r>
      <w:r w:rsidR="004911A3">
        <w:rPr>
          <w:rFonts w:ascii="Aptos" w:hAnsi="Aptos"/>
        </w:rPr>
        <w:t>chapter</w:t>
      </w:r>
      <w:r w:rsidR="00D34D20">
        <w:rPr>
          <w:rFonts w:ascii="Aptos" w:hAnsi="Aptos"/>
        </w:rPr>
        <w:t xml:space="preserve"> </w:t>
      </w:r>
      <w:r w:rsidR="00D34D20">
        <w:rPr>
          <w:rFonts w:ascii="Aptos" w:hAnsi="Aptos"/>
        </w:rPr>
        <w:fldChar w:fldCharType="begin"/>
      </w:r>
      <w:r w:rsidR="00D34D20">
        <w:rPr>
          <w:rFonts w:ascii="Aptos" w:hAnsi="Aptos"/>
        </w:rPr>
        <w:instrText xml:space="preserve"> REF _Ref216273206 \r \h </w:instrText>
      </w:r>
      <w:r w:rsidR="00D34D20">
        <w:rPr>
          <w:rFonts w:ascii="Aptos" w:hAnsi="Aptos"/>
        </w:rPr>
      </w:r>
      <w:r w:rsidR="00D34D20">
        <w:rPr>
          <w:rFonts w:ascii="Aptos" w:hAnsi="Aptos"/>
        </w:rPr>
        <w:fldChar w:fldCharType="separate"/>
      </w:r>
      <w:r w:rsidR="0055214B">
        <w:rPr>
          <w:rFonts w:ascii="Aptos" w:hAnsi="Aptos"/>
        </w:rPr>
        <w:t>7</w:t>
      </w:r>
      <w:r w:rsidR="00D34D20">
        <w:rPr>
          <w:rFonts w:ascii="Aptos" w:hAnsi="Aptos"/>
        </w:rPr>
        <w:fldChar w:fldCharType="end"/>
      </w:r>
      <w:r w:rsidR="00D34D20">
        <w:rPr>
          <w:rFonts w:ascii="Aptos" w:hAnsi="Aptos"/>
        </w:rPr>
        <w:t xml:space="preserve"> of this submission).</w:t>
      </w:r>
      <w:r w:rsidR="002878BD">
        <w:rPr>
          <w:rFonts w:ascii="Aptos" w:hAnsi="Aptos"/>
        </w:rPr>
        <w:t xml:space="preserve"> </w:t>
      </w:r>
      <w:r w:rsidR="009F695A">
        <w:rPr>
          <w:rFonts w:ascii="Aptos" w:hAnsi="Aptos"/>
        </w:rPr>
        <w:t xml:space="preserve">At the same time, one ATEC commissioner on a panel that must have at least four members would reduce the risk that ATEC, an organisation statutorily indifferent to important </w:t>
      </w:r>
      <w:r w:rsidR="00E745E6">
        <w:rPr>
          <w:rFonts w:ascii="Aptos" w:hAnsi="Aptos"/>
        </w:rPr>
        <w:t xml:space="preserve">higher education </w:t>
      </w:r>
      <w:r w:rsidR="009F695A">
        <w:rPr>
          <w:rFonts w:ascii="Aptos" w:hAnsi="Aptos"/>
        </w:rPr>
        <w:t xml:space="preserve">functions, </w:t>
      </w:r>
      <w:r w:rsidR="006B4E43">
        <w:rPr>
          <w:rFonts w:ascii="Aptos" w:hAnsi="Aptos"/>
        </w:rPr>
        <w:t xml:space="preserve">would </w:t>
      </w:r>
      <w:r w:rsidR="00D34D20">
        <w:rPr>
          <w:rFonts w:ascii="Aptos" w:hAnsi="Aptos"/>
        </w:rPr>
        <w:t xml:space="preserve">recommend inappropriate new standards. </w:t>
      </w:r>
    </w:p>
    <w:p w14:paraId="3F306767" w14:textId="77777777" w:rsidR="00674023" w:rsidRDefault="00674023" w:rsidP="00260205">
      <w:pPr>
        <w:rPr>
          <w:rFonts w:ascii="Aptos" w:hAnsi="Aptos"/>
        </w:rPr>
      </w:pPr>
    </w:p>
    <w:p w14:paraId="76F5195D" w14:textId="230DA374" w:rsidR="00674023" w:rsidRDefault="00674023" w:rsidP="00260205">
      <w:pPr>
        <w:rPr>
          <w:rFonts w:ascii="Aptos" w:hAnsi="Aptos"/>
        </w:rPr>
      </w:pPr>
      <w:r>
        <w:rPr>
          <w:rFonts w:ascii="Aptos" w:hAnsi="Aptos"/>
        </w:rPr>
        <w:t>Recommendation</w:t>
      </w:r>
      <w:r w:rsidR="007C3A64">
        <w:rPr>
          <w:rFonts w:ascii="Aptos" w:hAnsi="Aptos"/>
        </w:rPr>
        <w:t>s</w:t>
      </w:r>
      <w:r>
        <w:rPr>
          <w:rFonts w:ascii="Aptos" w:hAnsi="Aptos"/>
        </w:rPr>
        <w:t>:</w:t>
      </w:r>
    </w:p>
    <w:p w14:paraId="7ECACC4D" w14:textId="450CB2B0" w:rsidR="00674023" w:rsidRDefault="00674023" w:rsidP="00260205">
      <w:pPr>
        <w:rPr>
          <w:rFonts w:ascii="Aptos" w:hAnsi="Aptos"/>
        </w:rPr>
      </w:pPr>
    </w:p>
    <w:p w14:paraId="1948177D" w14:textId="0D3650D1" w:rsidR="006A34D1" w:rsidRDefault="00D34D20" w:rsidP="00260205">
      <w:pPr>
        <w:rPr>
          <w:rFonts w:ascii="Aptos" w:hAnsi="Aptos"/>
        </w:rPr>
      </w:pPr>
      <w:r>
        <w:rPr>
          <w:rFonts w:ascii="Aptos" w:hAnsi="Aptos"/>
        </w:rPr>
        <w:t xml:space="preserve">Amend section 167 of the </w:t>
      </w:r>
      <w:r w:rsidRPr="00E92771">
        <w:rPr>
          <w:rFonts w:ascii="Aptos" w:hAnsi="Aptos"/>
          <w:i/>
          <w:iCs/>
        </w:rPr>
        <w:t>TEQSA Act 2011</w:t>
      </w:r>
      <w:r>
        <w:rPr>
          <w:rFonts w:ascii="Aptos" w:hAnsi="Aptos"/>
        </w:rPr>
        <w:t xml:space="preserve"> to read, with changes in bold and strikethrough:</w:t>
      </w:r>
    </w:p>
    <w:p w14:paraId="4C32C42D" w14:textId="529CE1FD" w:rsidR="00D34D20" w:rsidRDefault="00D34D20" w:rsidP="00260205">
      <w:pPr>
        <w:rPr>
          <w:rFonts w:ascii="Aptos" w:hAnsi="Aptos"/>
        </w:rPr>
      </w:pPr>
    </w:p>
    <w:p w14:paraId="67969979" w14:textId="3489A592" w:rsidR="00D34D20" w:rsidRDefault="00D34D20" w:rsidP="00D34D20">
      <w:pPr>
        <w:pStyle w:val="ListParagraph"/>
        <w:numPr>
          <w:ilvl w:val="0"/>
          <w:numId w:val="25"/>
        </w:numPr>
        <w:rPr>
          <w:rFonts w:ascii="Aptos" w:hAnsi="Aptos"/>
        </w:rPr>
      </w:pPr>
      <w:r>
        <w:rPr>
          <w:rFonts w:ascii="Aptos" w:hAnsi="Aptos"/>
        </w:rPr>
        <w:t>The Panel consists of:</w:t>
      </w:r>
    </w:p>
    <w:p w14:paraId="1FA1A390" w14:textId="114C2286" w:rsidR="00D34D20" w:rsidRDefault="00D34D20" w:rsidP="00D34D20">
      <w:pPr>
        <w:pStyle w:val="ListParagraph"/>
        <w:numPr>
          <w:ilvl w:val="0"/>
          <w:numId w:val="26"/>
        </w:numPr>
        <w:rPr>
          <w:rFonts w:ascii="Aptos" w:hAnsi="Aptos"/>
        </w:rPr>
      </w:pPr>
      <w:r>
        <w:rPr>
          <w:rFonts w:ascii="Aptos" w:hAnsi="Aptos"/>
        </w:rPr>
        <w:t>A Panel Chair; and</w:t>
      </w:r>
    </w:p>
    <w:p w14:paraId="30D52AEC" w14:textId="7730475B" w:rsidR="00D34D20" w:rsidRDefault="00D34D20" w:rsidP="00D34D20">
      <w:pPr>
        <w:pStyle w:val="ListParagraph"/>
        <w:numPr>
          <w:ilvl w:val="0"/>
          <w:numId w:val="26"/>
        </w:numPr>
        <w:rPr>
          <w:rFonts w:ascii="Aptos" w:hAnsi="Aptos"/>
        </w:rPr>
      </w:pPr>
      <w:r>
        <w:rPr>
          <w:rFonts w:ascii="Aptos" w:hAnsi="Aptos"/>
        </w:rPr>
        <w:t xml:space="preserve">A </w:t>
      </w:r>
      <w:r w:rsidRPr="00D34D20">
        <w:rPr>
          <w:rFonts w:ascii="Aptos" w:hAnsi="Aptos"/>
          <w:b/>
          <w:bCs/>
        </w:rPr>
        <w:t xml:space="preserve">member </w:t>
      </w:r>
      <w:r>
        <w:rPr>
          <w:rFonts w:ascii="Aptos" w:hAnsi="Aptos"/>
          <w:b/>
          <w:bCs/>
        </w:rPr>
        <w:t xml:space="preserve">who is a Commissioner </w:t>
      </w:r>
      <w:r w:rsidR="00E8074E">
        <w:rPr>
          <w:rFonts w:ascii="Aptos" w:hAnsi="Aptos"/>
          <w:b/>
          <w:bCs/>
        </w:rPr>
        <w:t>of</w:t>
      </w:r>
      <w:r w:rsidRPr="00D34D20">
        <w:rPr>
          <w:rFonts w:ascii="Aptos" w:hAnsi="Aptos"/>
          <w:b/>
          <w:bCs/>
        </w:rPr>
        <w:t xml:space="preserve"> the Australian Tertiary Education Commission</w:t>
      </w:r>
      <w:r>
        <w:rPr>
          <w:rFonts w:ascii="Aptos" w:hAnsi="Aptos"/>
        </w:rPr>
        <w:t>; and</w:t>
      </w:r>
    </w:p>
    <w:p w14:paraId="097E6F65" w14:textId="447BE57C" w:rsidR="00D34D20" w:rsidRDefault="00D34D20" w:rsidP="00D34D20">
      <w:pPr>
        <w:pStyle w:val="ListParagraph"/>
        <w:numPr>
          <w:ilvl w:val="0"/>
          <w:numId w:val="26"/>
        </w:numPr>
        <w:rPr>
          <w:rFonts w:ascii="Aptos" w:hAnsi="Aptos"/>
        </w:rPr>
      </w:pPr>
      <w:r>
        <w:rPr>
          <w:rFonts w:ascii="Aptos" w:hAnsi="Aptos"/>
        </w:rPr>
        <w:t xml:space="preserve">At least </w:t>
      </w:r>
      <w:r w:rsidRPr="00D34D20">
        <w:rPr>
          <w:rFonts w:ascii="Aptos" w:hAnsi="Aptos"/>
          <w:strike/>
        </w:rPr>
        <w:t>fou</w:t>
      </w:r>
      <w:r>
        <w:rPr>
          <w:rFonts w:ascii="Aptos" w:hAnsi="Aptos"/>
          <w:strike/>
        </w:rPr>
        <w:t xml:space="preserve">r </w:t>
      </w:r>
      <w:r w:rsidRPr="00D34D20">
        <w:rPr>
          <w:rFonts w:ascii="Aptos" w:hAnsi="Aptos"/>
          <w:b/>
          <w:bCs/>
        </w:rPr>
        <w:t>three,</w:t>
      </w:r>
      <w:r>
        <w:rPr>
          <w:rFonts w:ascii="Aptos" w:hAnsi="Aptos"/>
        </w:rPr>
        <w:t xml:space="preserve"> and up to </w:t>
      </w:r>
      <w:r w:rsidRPr="00D34D20">
        <w:rPr>
          <w:rFonts w:ascii="Aptos" w:hAnsi="Aptos"/>
          <w:strike/>
        </w:rPr>
        <w:t>ten</w:t>
      </w:r>
      <w:r>
        <w:rPr>
          <w:rFonts w:ascii="Aptos" w:hAnsi="Aptos"/>
        </w:rPr>
        <w:t xml:space="preserve"> </w:t>
      </w:r>
      <w:r w:rsidRPr="00D34D20">
        <w:rPr>
          <w:rFonts w:ascii="Aptos" w:hAnsi="Aptos"/>
          <w:b/>
          <w:bCs/>
        </w:rPr>
        <w:t>nine</w:t>
      </w:r>
      <w:r>
        <w:rPr>
          <w:rFonts w:ascii="Aptos" w:hAnsi="Aptos"/>
        </w:rPr>
        <w:t xml:space="preserve"> other members. </w:t>
      </w:r>
    </w:p>
    <w:p w14:paraId="601FA4FB" w14:textId="67441FEA" w:rsidR="007C3A64" w:rsidRDefault="007C3A64" w:rsidP="007C3A64">
      <w:pPr>
        <w:rPr>
          <w:rFonts w:ascii="Aptos" w:hAnsi="Aptos"/>
        </w:rPr>
      </w:pPr>
    </w:p>
    <w:p w14:paraId="3B8946CC" w14:textId="720EF62A" w:rsidR="007C3A64" w:rsidRDefault="007C3A64" w:rsidP="007C3A64">
      <w:pPr>
        <w:rPr>
          <w:rStyle w:val="Emphasis"/>
          <w:i w:val="0"/>
          <w:iCs w:val="0"/>
        </w:rPr>
      </w:pPr>
      <w:r>
        <w:rPr>
          <w:rFonts w:ascii="Aptos" w:hAnsi="Aptos"/>
        </w:rPr>
        <w:t xml:space="preserve">Remove from the </w:t>
      </w:r>
      <w:r>
        <w:rPr>
          <w:rStyle w:val="Emphasis"/>
        </w:rPr>
        <w:t xml:space="preserve">Universities Accord (Australian Tertiary Education Commission) (Consequential and Transitional Provisions) Bill 2025 </w:t>
      </w:r>
      <w:r>
        <w:rPr>
          <w:rStyle w:val="Emphasis"/>
          <w:i w:val="0"/>
          <w:iCs w:val="0"/>
        </w:rPr>
        <w:t>all current amendments under ‘</w:t>
      </w:r>
      <w:r w:rsidRPr="007C3A64">
        <w:rPr>
          <w:rStyle w:val="Emphasis"/>
        </w:rPr>
        <w:t>Tertiary Education Quality and Standards Agency Act 2011’</w:t>
      </w:r>
      <w:r>
        <w:rPr>
          <w:rStyle w:val="Emphasis"/>
          <w:i w:val="0"/>
          <w:iCs w:val="0"/>
        </w:rPr>
        <w:t xml:space="preserve">. </w:t>
      </w:r>
    </w:p>
    <w:p w14:paraId="2F1A187D" w14:textId="77777777" w:rsidR="00E92771" w:rsidRDefault="00E92771">
      <w:pPr>
        <w:rPr>
          <w:rStyle w:val="Emphasis"/>
          <w:i w:val="0"/>
          <w:iCs w:val="0"/>
        </w:rPr>
      </w:pPr>
    </w:p>
    <w:p w14:paraId="43069BE6" w14:textId="0CE1FBC0" w:rsidR="00AD1D64" w:rsidRDefault="00E92771">
      <w:pPr>
        <w:rPr>
          <w:rStyle w:val="Emphasis"/>
          <w:i w:val="0"/>
          <w:iCs w:val="0"/>
        </w:rPr>
      </w:pPr>
      <w:r>
        <w:rPr>
          <w:rStyle w:val="Emphasis"/>
          <w:i w:val="0"/>
          <w:iCs w:val="0"/>
        </w:rPr>
        <w:t xml:space="preserve">In Part 5, Division 3 of the </w:t>
      </w:r>
      <w:r w:rsidRPr="00E8311D">
        <w:rPr>
          <w:rStyle w:val="Emphasis"/>
          <w:rFonts w:ascii="Aptos" w:hAnsi="Aptos"/>
        </w:rPr>
        <w:t>Universities Accord (Australian Tertiary Education Commission) Bill 2025</w:t>
      </w:r>
      <w:r>
        <w:rPr>
          <w:rStyle w:val="Emphasis"/>
          <w:rFonts w:ascii="Aptos" w:hAnsi="Aptos"/>
          <w:i w:val="0"/>
          <w:iCs w:val="0"/>
        </w:rPr>
        <w:t xml:space="preserve"> add provisions for the commissioners to appoint one of their number to the Higher Education Standards Panel. </w:t>
      </w:r>
      <w:r w:rsidR="00AD1D64">
        <w:rPr>
          <w:rStyle w:val="Emphasis"/>
          <w:i w:val="0"/>
          <w:iCs w:val="0"/>
        </w:rPr>
        <w:br w:type="page"/>
      </w:r>
    </w:p>
    <w:p w14:paraId="4690E85E" w14:textId="7719F66A" w:rsidR="006864BB" w:rsidRPr="006864BB" w:rsidRDefault="006864BB" w:rsidP="006864BB">
      <w:pPr>
        <w:pStyle w:val="Heading1"/>
        <w:numPr>
          <w:ilvl w:val="0"/>
          <w:numId w:val="7"/>
        </w:numPr>
        <w:ind w:left="357" w:hanging="357"/>
        <w:rPr>
          <w:rFonts w:ascii="Aptos" w:hAnsi="Aptos" w:cstheme="minorHAnsi"/>
          <w:sz w:val="32"/>
          <w:szCs w:val="32"/>
        </w:rPr>
      </w:pPr>
      <w:bookmarkStart w:id="36" w:name="_Ref216282209"/>
      <w:bookmarkStart w:id="37" w:name="_Toc219380905"/>
      <w:r>
        <w:rPr>
          <w:rFonts w:ascii="Aptos" w:hAnsi="Aptos" w:cstheme="minorHAnsi"/>
          <w:color w:val="4F81BD" w:themeColor="accent1"/>
          <w:sz w:val="32"/>
          <w:szCs w:val="32"/>
        </w:rPr>
        <w:lastRenderedPageBreak/>
        <w:t>Mission</w:t>
      </w:r>
      <w:r w:rsidR="001C090A">
        <w:rPr>
          <w:rFonts w:ascii="Aptos" w:hAnsi="Aptos" w:cstheme="minorHAnsi"/>
          <w:color w:val="4F81BD" w:themeColor="accent1"/>
          <w:sz w:val="32"/>
          <w:szCs w:val="32"/>
        </w:rPr>
        <w:t xml:space="preserve"> </w:t>
      </w:r>
      <w:r>
        <w:rPr>
          <w:rFonts w:ascii="Aptos" w:hAnsi="Aptos" w:cstheme="minorHAnsi"/>
          <w:color w:val="4F81BD" w:themeColor="accent1"/>
          <w:sz w:val="32"/>
          <w:szCs w:val="32"/>
        </w:rPr>
        <w:t>based compacts</w:t>
      </w:r>
      <w:bookmarkEnd w:id="36"/>
      <w:bookmarkEnd w:id="37"/>
      <w:r>
        <w:rPr>
          <w:rFonts w:ascii="Aptos" w:hAnsi="Aptos" w:cstheme="minorHAnsi"/>
          <w:color w:val="4F81BD" w:themeColor="accent1"/>
          <w:sz w:val="32"/>
          <w:szCs w:val="32"/>
        </w:rPr>
        <w:t xml:space="preserve"> </w:t>
      </w:r>
    </w:p>
    <w:p w14:paraId="4502D60C" w14:textId="4E8CBD8B" w:rsidR="00E8074E" w:rsidRPr="00E8074E" w:rsidRDefault="00E8074E" w:rsidP="00E8074E">
      <w:pPr>
        <w:pStyle w:val="NormalWeb"/>
        <w:rPr>
          <w:rFonts w:ascii="Aptos" w:hAnsi="Aptos"/>
        </w:rPr>
      </w:pPr>
      <w:proofErr w:type="gramStart"/>
      <w:r w:rsidRPr="00E8074E">
        <w:rPr>
          <w:rFonts w:ascii="Aptos" w:hAnsi="Aptos"/>
        </w:rPr>
        <w:t>Entering into</w:t>
      </w:r>
      <w:proofErr w:type="gramEnd"/>
      <w:r w:rsidRPr="00E8074E">
        <w:rPr>
          <w:rFonts w:ascii="Aptos" w:hAnsi="Aptos"/>
        </w:rPr>
        <w:t xml:space="preserve"> </w:t>
      </w:r>
      <w:proofErr w:type="gramStart"/>
      <w:r w:rsidRPr="00E8074E">
        <w:rPr>
          <w:rFonts w:ascii="Aptos" w:hAnsi="Aptos"/>
        </w:rPr>
        <w:t>mission based</w:t>
      </w:r>
      <w:proofErr w:type="gramEnd"/>
      <w:r w:rsidRPr="00E8074E">
        <w:rPr>
          <w:rFonts w:ascii="Aptos" w:hAnsi="Aptos"/>
        </w:rPr>
        <w:t xml:space="preserve"> compacts </w:t>
      </w:r>
      <w:r w:rsidR="002D025F">
        <w:rPr>
          <w:rFonts w:ascii="Aptos" w:hAnsi="Aptos"/>
        </w:rPr>
        <w:t xml:space="preserve">on behalf of the government </w:t>
      </w:r>
      <w:r w:rsidRPr="00E8074E">
        <w:rPr>
          <w:rFonts w:ascii="Aptos" w:hAnsi="Aptos"/>
        </w:rPr>
        <w:t xml:space="preserve">is a </w:t>
      </w:r>
      <w:r w:rsidR="00096FD8">
        <w:rPr>
          <w:rFonts w:ascii="Aptos" w:hAnsi="Aptos"/>
        </w:rPr>
        <w:t xml:space="preserve">core </w:t>
      </w:r>
      <w:r w:rsidRPr="00E8074E">
        <w:rPr>
          <w:rFonts w:ascii="Aptos" w:hAnsi="Aptos"/>
        </w:rPr>
        <w:t>function of ATEC: section 11(b).</w:t>
      </w:r>
      <w:r w:rsidR="00A72CDF">
        <w:rPr>
          <w:rFonts w:ascii="Aptos" w:hAnsi="Aptos"/>
        </w:rPr>
        <w:t xml:space="preserve"> </w:t>
      </w:r>
      <w:r w:rsidR="00E92771">
        <w:rPr>
          <w:rFonts w:ascii="Aptos" w:hAnsi="Aptos"/>
        </w:rPr>
        <w:t>P</w:t>
      </w:r>
      <w:r w:rsidR="00A72CDF">
        <w:rPr>
          <w:rFonts w:ascii="Aptos" w:hAnsi="Aptos"/>
        </w:rPr>
        <w:t xml:space="preserve">art 3 of the </w:t>
      </w:r>
      <w:r w:rsidR="00A72CDF" w:rsidRPr="00E8311D">
        <w:rPr>
          <w:rStyle w:val="Emphasis"/>
          <w:rFonts w:ascii="Aptos" w:hAnsi="Aptos"/>
        </w:rPr>
        <w:t>Universities Accord (Australian Tertiary Education Commission) Bill 2025</w:t>
      </w:r>
      <w:r w:rsidR="00E92771">
        <w:rPr>
          <w:rStyle w:val="Emphasis"/>
          <w:rFonts w:ascii="Aptos" w:hAnsi="Aptos"/>
        </w:rPr>
        <w:t xml:space="preserve"> </w:t>
      </w:r>
      <w:r w:rsidR="00E92771">
        <w:rPr>
          <w:rFonts w:ascii="Aptos" w:hAnsi="Aptos"/>
        </w:rPr>
        <w:t>partly describes how the compacts will operate</w:t>
      </w:r>
      <w:r w:rsidR="00A72CDF">
        <w:rPr>
          <w:rStyle w:val="Emphasis"/>
          <w:rFonts w:ascii="Aptos" w:hAnsi="Aptos"/>
        </w:rPr>
        <w:t>.</w:t>
      </w:r>
      <w:r w:rsidR="00096FD8">
        <w:rPr>
          <w:rStyle w:val="Emphasis"/>
          <w:rFonts w:ascii="Aptos" w:hAnsi="Aptos"/>
        </w:rPr>
        <w:t xml:space="preserve"> </w:t>
      </w:r>
    </w:p>
    <w:p w14:paraId="18DA54EA" w14:textId="77777777" w:rsidR="00E8074E" w:rsidRPr="00E8074E" w:rsidRDefault="00E8074E" w:rsidP="00E8074E">
      <w:pPr>
        <w:pStyle w:val="Heading2"/>
        <w:rPr>
          <w:i/>
          <w:iCs/>
        </w:rPr>
      </w:pPr>
      <w:bookmarkStart w:id="38" w:name="_Toc219380906"/>
      <w:r w:rsidRPr="00E8074E">
        <w:rPr>
          <w:rStyle w:val="Emphasis"/>
          <w:rFonts w:ascii="Aptos" w:hAnsi="Aptos"/>
          <w:i w:val="0"/>
          <w:iCs w:val="0"/>
        </w:rPr>
        <w:t xml:space="preserve">Purpose of </w:t>
      </w:r>
      <w:proofErr w:type="gramStart"/>
      <w:r w:rsidRPr="00E8074E">
        <w:rPr>
          <w:rStyle w:val="Emphasis"/>
          <w:rFonts w:ascii="Aptos" w:hAnsi="Aptos"/>
          <w:i w:val="0"/>
          <w:iCs w:val="0"/>
        </w:rPr>
        <w:t>mission based</w:t>
      </w:r>
      <w:proofErr w:type="gramEnd"/>
      <w:r w:rsidRPr="00E8074E">
        <w:rPr>
          <w:rStyle w:val="Emphasis"/>
          <w:rFonts w:ascii="Aptos" w:hAnsi="Aptos"/>
          <w:i w:val="0"/>
          <w:iCs w:val="0"/>
        </w:rPr>
        <w:t xml:space="preserve"> compacts</w:t>
      </w:r>
      <w:bookmarkEnd w:id="38"/>
    </w:p>
    <w:p w14:paraId="0AF86496" w14:textId="61905E6D" w:rsidR="00E8074E" w:rsidRPr="00E8074E" w:rsidRDefault="00E8074E" w:rsidP="00E8074E">
      <w:pPr>
        <w:pStyle w:val="NormalWeb"/>
        <w:rPr>
          <w:rFonts w:ascii="Aptos" w:hAnsi="Aptos"/>
        </w:rPr>
      </w:pPr>
      <w:r w:rsidRPr="00E8074E">
        <w:rPr>
          <w:rFonts w:ascii="Aptos" w:hAnsi="Aptos"/>
        </w:rPr>
        <w:t xml:space="preserve">Since the </w:t>
      </w:r>
      <w:r w:rsidRPr="00E8074E">
        <w:rPr>
          <w:rFonts w:ascii="Aptos" w:hAnsi="Aptos"/>
          <w:i/>
          <w:iCs/>
        </w:rPr>
        <w:t xml:space="preserve">Universities Accord Final </w:t>
      </w:r>
      <w:proofErr w:type="gramStart"/>
      <w:r w:rsidRPr="00E8074E">
        <w:rPr>
          <w:rFonts w:ascii="Aptos" w:hAnsi="Aptos"/>
          <w:i/>
          <w:iCs/>
        </w:rPr>
        <w:t>Report</w:t>
      </w:r>
      <w:proofErr w:type="gramEnd"/>
      <w:r w:rsidRPr="00E8074E">
        <w:rPr>
          <w:rFonts w:ascii="Aptos" w:hAnsi="Aptos"/>
        </w:rPr>
        <w:t xml:space="preserve"> the term 'mission based compact' has been ambiguous. Whose mission will the compacts implement, the government's mission or the university's mission? </w:t>
      </w:r>
    </w:p>
    <w:p w14:paraId="76377E38" w14:textId="6285F92F" w:rsidR="00E8074E" w:rsidRPr="00E8074E" w:rsidRDefault="00E8074E" w:rsidP="00E8074E">
      <w:pPr>
        <w:pStyle w:val="NormalWeb"/>
        <w:rPr>
          <w:rFonts w:ascii="Aptos" w:hAnsi="Aptos"/>
        </w:rPr>
      </w:pPr>
      <w:r w:rsidRPr="00E8074E">
        <w:rPr>
          <w:rFonts w:ascii="Aptos" w:hAnsi="Aptos"/>
        </w:rPr>
        <w:t>The ATEC bill tries to have it both ways. Section 28 describes the purpose of compacts as giving the 'provider flexi</w:t>
      </w:r>
      <w:r>
        <w:rPr>
          <w:rFonts w:ascii="Aptos" w:hAnsi="Aptos"/>
        </w:rPr>
        <w:t>bi</w:t>
      </w:r>
      <w:r w:rsidRPr="00E8074E">
        <w:rPr>
          <w:rFonts w:ascii="Aptos" w:hAnsi="Aptos"/>
        </w:rPr>
        <w:t xml:space="preserve">lity to pursue their goals and mission' while also contributing to an ATEC statement of priorities for the sector, diversity in the system, and meeting the needs of the provider's students and community. </w:t>
      </w:r>
    </w:p>
    <w:p w14:paraId="49F21F3B" w14:textId="698DD027" w:rsidR="00E8074E" w:rsidRPr="00E8074E" w:rsidRDefault="00E8074E" w:rsidP="00E8074E">
      <w:pPr>
        <w:pStyle w:val="NormalWeb"/>
        <w:rPr>
          <w:rFonts w:ascii="Aptos" w:hAnsi="Aptos"/>
        </w:rPr>
      </w:pPr>
      <w:r w:rsidRPr="00E8074E">
        <w:rPr>
          <w:rFonts w:ascii="Aptos" w:hAnsi="Aptos"/>
        </w:rPr>
        <w:t xml:space="preserve">The bill's explanatory memorandum </w:t>
      </w:r>
      <w:r>
        <w:rPr>
          <w:rFonts w:ascii="Aptos" w:hAnsi="Aptos"/>
        </w:rPr>
        <w:t>does not help</w:t>
      </w:r>
      <w:r w:rsidR="00321889">
        <w:rPr>
          <w:rFonts w:ascii="Aptos" w:hAnsi="Aptos"/>
        </w:rPr>
        <w:t xml:space="preserve"> (p. 2)</w:t>
      </w:r>
      <w:r w:rsidRPr="00E8074E">
        <w:rPr>
          <w:rFonts w:ascii="Aptos" w:hAnsi="Aptos"/>
        </w:rPr>
        <w:t>:</w:t>
      </w:r>
    </w:p>
    <w:p w14:paraId="68A5020F" w14:textId="1CC1ADBE" w:rsidR="00E8074E" w:rsidRPr="00E8074E" w:rsidRDefault="00B20EAB" w:rsidP="00E8074E">
      <w:pPr>
        <w:pStyle w:val="NormalWeb"/>
        <w:rPr>
          <w:rFonts w:ascii="Aptos" w:hAnsi="Aptos"/>
        </w:rPr>
      </w:pPr>
      <w:r>
        <w:rPr>
          <w:rFonts w:ascii="Aptos" w:hAnsi="Aptos"/>
        </w:rPr>
        <w:t>‘</w:t>
      </w:r>
      <w:r w:rsidR="00E8074E" w:rsidRPr="00E8074E">
        <w:rPr>
          <w:rFonts w:ascii="Aptos" w:hAnsi="Aptos"/>
        </w:rPr>
        <w:t>Compacts will enable providers to demonstrate how their unique mission – the institution’s core purpose, values, and goals – aligns with national, state and local priorities, planning, and strategy, as well as industry engagement and innovations in learning and teaching. Informed by strategic priorities identified in the Statement of Strategic Priorities...</w:t>
      </w:r>
      <w:r>
        <w:rPr>
          <w:rFonts w:ascii="Aptos" w:hAnsi="Aptos"/>
        </w:rPr>
        <w:t>’</w:t>
      </w:r>
    </w:p>
    <w:p w14:paraId="57CF3E6A" w14:textId="5CE7BC27" w:rsidR="000867CD" w:rsidRDefault="00C761B7" w:rsidP="00E8074E">
      <w:pPr>
        <w:pStyle w:val="NormalWeb"/>
        <w:rPr>
          <w:rFonts w:ascii="Aptos" w:hAnsi="Aptos"/>
        </w:rPr>
      </w:pPr>
      <w:r>
        <w:rPr>
          <w:rFonts w:ascii="Aptos" w:hAnsi="Aptos"/>
        </w:rPr>
        <w:t>University mi</w:t>
      </w:r>
      <w:r w:rsidR="00321889">
        <w:rPr>
          <w:rFonts w:ascii="Aptos" w:hAnsi="Aptos"/>
        </w:rPr>
        <w:t xml:space="preserve">ssions </w:t>
      </w:r>
      <w:r w:rsidR="004C16F4">
        <w:rPr>
          <w:rFonts w:ascii="Aptos" w:hAnsi="Aptos"/>
        </w:rPr>
        <w:t>can</w:t>
      </w:r>
      <w:r w:rsidR="00321889">
        <w:rPr>
          <w:rFonts w:ascii="Aptos" w:hAnsi="Aptos"/>
        </w:rPr>
        <w:t>not</w:t>
      </w:r>
      <w:r w:rsidR="00E745E6">
        <w:rPr>
          <w:rFonts w:ascii="Aptos" w:hAnsi="Aptos"/>
        </w:rPr>
        <w:t xml:space="preserve"> simultaneously</w:t>
      </w:r>
      <w:r w:rsidR="00321889">
        <w:rPr>
          <w:rFonts w:ascii="Aptos" w:hAnsi="Aptos"/>
        </w:rPr>
        <w:t xml:space="preserve"> </w:t>
      </w:r>
      <w:r w:rsidR="00F0677E">
        <w:rPr>
          <w:rFonts w:ascii="Aptos" w:hAnsi="Aptos"/>
        </w:rPr>
        <w:t xml:space="preserve">have </w:t>
      </w:r>
      <w:r w:rsidR="00321889">
        <w:rPr>
          <w:rFonts w:ascii="Aptos" w:hAnsi="Aptos"/>
        </w:rPr>
        <w:t xml:space="preserve">unique </w:t>
      </w:r>
      <w:r w:rsidR="00F0677E">
        <w:rPr>
          <w:rFonts w:ascii="Aptos" w:hAnsi="Aptos"/>
        </w:rPr>
        <w:t xml:space="preserve">missions </w:t>
      </w:r>
      <w:r w:rsidR="00E745E6">
        <w:rPr>
          <w:rFonts w:ascii="Aptos" w:hAnsi="Aptos"/>
        </w:rPr>
        <w:t>and</w:t>
      </w:r>
      <w:r w:rsidR="00321889">
        <w:rPr>
          <w:rFonts w:ascii="Aptos" w:hAnsi="Aptos"/>
        </w:rPr>
        <w:t xml:space="preserve"> align</w:t>
      </w:r>
      <w:r w:rsidR="00E8074E" w:rsidRPr="00E8074E">
        <w:rPr>
          <w:rFonts w:ascii="Aptos" w:hAnsi="Aptos"/>
        </w:rPr>
        <w:t xml:space="preserve"> with national priorities</w:t>
      </w:r>
      <w:r w:rsidR="00B20EAB">
        <w:rPr>
          <w:rFonts w:ascii="Aptos" w:hAnsi="Aptos"/>
        </w:rPr>
        <w:t>.</w:t>
      </w:r>
      <w:r w:rsidR="00E8074E" w:rsidRPr="00E8074E">
        <w:rPr>
          <w:rFonts w:ascii="Aptos" w:hAnsi="Aptos"/>
        </w:rPr>
        <w:t xml:space="preserve"> </w:t>
      </w:r>
      <w:r>
        <w:rPr>
          <w:rFonts w:ascii="Aptos" w:hAnsi="Aptos"/>
        </w:rPr>
        <w:t xml:space="preserve">University missions cannot be achieved more effectively than now if, as is the case with this bill, </w:t>
      </w:r>
      <w:r w:rsidR="00BA2569">
        <w:rPr>
          <w:rFonts w:ascii="Aptos" w:hAnsi="Aptos"/>
        </w:rPr>
        <w:t xml:space="preserve">no new </w:t>
      </w:r>
      <w:r>
        <w:rPr>
          <w:rFonts w:ascii="Aptos" w:hAnsi="Aptos"/>
        </w:rPr>
        <w:t xml:space="preserve">powers or </w:t>
      </w:r>
      <w:r w:rsidR="00BA2569">
        <w:rPr>
          <w:rFonts w:ascii="Aptos" w:hAnsi="Aptos"/>
        </w:rPr>
        <w:t xml:space="preserve">programs support </w:t>
      </w:r>
      <w:r>
        <w:rPr>
          <w:rFonts w:ascii="Aptos" w:hAnsi="Aptos"/>
        </w:rPr>
        <w:t>goals</w:t>
      </w:r>
      <w:r w:rsidR="00844D1C">
        <w:rPr>
          <w:rFonts w:ascii="Aptos" w:hAnsi="Aptos"/>
        </w:rPr>
        <w:t xml:space="preserve"> other than those chosen by the government. </w:t>
      </w:r>
    </w:p>
    <w:p w14:paraId="1D4CDB4F" w14:textId="75496B0A" w:rsidR="00E8074E" w:rsidRDefault="00B20EAB" w:rsidP="00E8074E">
      <w:pPr>
        <w:pStyle w:val="NormalWeb"/>
        <w:rPr>
          <w:rFonts w:ascii="Aptos" w:hAnsi="Aptos"/>
        </w:rPr>
      </w:pPr>
      <w:r>
        <w:rPr>
          <w:rFonts w:ascii="Aptos" w:hAnsi="Aptos"/>
        </w:rPr>
        <w:t>What</w:t>
      </w:r>
      <w:r w:rsidR="00E8074E" w:rsidRPr="00E8074E">
        <w:rPr>
          <w:rFonts w:ascii="Aptos" w:hAnsi="Aptos"/>
        </w:rPr>
        <w:t xml:space="preserve"> section 28 means, I think, is that universities can still pursue objectives not specified by ATEC, </w:t>
      </w:r>
      <w:proofErr w:type="gramStart"/>
      <w:r w:rsidR="00E8074E" w:rsidRPr="00E8074E">
        <w:rPr>
          <w:rFonts w:ascii="Aptos" w:hAnsi="Aptos"/>
        </w:rPr>
        <w:t>provided that</w:t>
      </w:r>
      <w:proofErr w:type="gramEnd"/>
      <w:r w:rsidR="00E8074E" w:rsidRPr="00E8074E">
        <w:rPr>
          <w:rFonts w:ascii="Aptos" w:hAnsi="Aptos"/>
        </w:rPr>
        <w:t xml:space="preserve"> these do not conflict with any requirements ATEC imposes. The extensiveness of those </w:t>
      </w:r>
      <w:r w:rsidR="00FA0584">
        <w:rPr>
          <w:rFonts w:ascii="Aptos" w:hAnsi="Aptos"/>
        </w:rPr>
        <w:t xml:space="preserve">ATEC </w:t>
      </w:r>
      <w:r w:rsidR="00E8074E" w:rsidRPr="00E8074E">
        <w:rPr>
          <w:rFonts w:ascii="Aptos" w:hAnsi="Aptos"/>
        </w:rPr>
        <w:t xml:space="preserve">requirements will determine how much scope for independent action remains. </w:t>
      </w:r>
    </w:p>
    <w:p w14:paraId="0AC8802B" w14:textId="697D9A5A" w:rsidR="00ED5C5A" w:rsidRPr="00E8074E" w:rsidRDefault="00E21780" w:rsidP="00E8074E">
      <w:pPr>
        <w:pStyle w:val="NormalWeb"/>
        <w:rPr>
          <w:rFonts w:ascii="Aptos" w:hAnsi="Aptos"/>
        </w:rPr>
      </w:pPr>
      <w:r>
        <w:rPr>
          <w:rFonts w:ascii="Aptos" w:hAnsi="Aptos"/>
        </w:rPr>
        <w:t>E</w:t>
      </w:r>
      <w:r w:rsidR="00ED5C5A">
        <w:rPr>
          <w:rFonts w:ascii="Aptos" w:hAnsi="Aptos"/>
        </w:rPr>
        <w:t>ven where a university gets to state an independent mission, its</w:t>
      </w:r>
      <w:r w:rsidR="00ED5C5A" w:rsidRPr="00E8074E">
        <w:rPr>
          <w:rFonts w:ascii="Aptos" w:hAnsi="Aptos"/>
        </w:rPr>
        <w:t xml:space="preserve"> compact must include 'terms that specify measurable performance indicators relevant to the provider's goals or mission': section 29(4).</w:t>
      </w:r>
    </w:p>
    <w:p w14:paraId="288621B8" w14:textId="09E62C83" w:rsidR="00E8074E" w:rsidRDefault="00A72CDF" w:rsidP="00321889">
      <w:pPr>
        <w:pStyle w:val="Heading2"/>
        <w:rPr>
          <w:rStyle w:val="Emphasis"/>
          <w:rFonts w:ascii="Aptos" w:hAnsi="Aptos"/>
          <w:i w:val="0"/>
          <w:iCs w:val="0"/>
        </w:rPr>
      </w:pPr>
      <w:bookmarkStart w:id="39" w:name="_Toc219380907"/>
      <w:r>
        <w:rPr>
          <w:rStyle w:val="Emphasis"/>
          <w:rFonts w:ascii="Aptos" w:hAnsi="Aptos"/>
          <w:i w:val="0"/>
          <w:iCs w:val="0"/>
        </w:rPr>
        <w:t>How will the</w:t>
      </w:r>
      <w:r w:rsidR="00E8074E" w:rsidRPr="00321889">
        <w:rPr>
          <w:rStyle w:val="Emphasis"/>
          <w:rFonts w:ascii="Aptos" w:hAnsi="Aptos"/>
          <w:i w:val="0"/>
          <w:iCs w:val="0"/>
        </w:rPr>
        <w:t xml:space="preserve"> compacts</w:t>
      </w:r>
      <w:r>
        <w:rPr>
          <w:rStyle w:val="Emphasis"/>
          <w:rFonts w:ascii="Aptos" w:hAnsi="Aptos"/>
          <w:i w:val="0"/>
          <w:iCs w:val="0"/>
        </w:rPr>
        <w:t xml:space="preserve"> operate</w:t>
      </w:r>
      <w:r w:rsidR="00E8074E" w:rsidRPr="00321889">
        <w:rPr>
          <w:rStyle w:val="Emphasis"/>
          <w:rFonts w:ascii="Aptos" w:hAnsi="Aptos"/>
          <w:i w:val="0"/>
          <w:iCs w:val="0"/>
        </w:rPr>
        <w:t>?</w:t>
      </w:r>
      <w:bookmarkEnd w:id="39"/>
    </w:p>
    <w:p w14:paraId="5E4660CD" w14:textId="4CFC6FB0" w:rsidR="0094271F" w:rsidRDefault="0094271F" w:rsidP="0094271F"/>
    <w:p w14:paraId="21C58431" w14:textId="46D9ABB3" w:rsidR="009803D2" w:rsidRDefault="004C48DF" w:rsidP="009803D2">
      <w:r>
        <w:t>The term</w:t>
      </w:r>
      <w:r w:rsidR="0094271F">
        <w:t xml:space="preserve"> ‘compact’ implies an agreement. </w:t>
      </w:r>
      <w:r w:rsidR="00752D3C">
        <w:t xml:space="preserve">The bill requires ATEC to ‘negotiate the form and terms of the compact with the provider’: section 29(2)(f). But </w:t>
      </w:r>
      <w:r>
        <w:t>because the bill contains no authority to provide universities with any new capacity to achieve their missions,</w:t>
      </w:r>
      <w:r w:rsidR="009803D2">
        <w:t xml:space="preserve"> negotiation </w:t>
      </w:r>
      <w:r>
        <w:t>can only be about the</w:t>
      </w:r>
      <w:r w:rsidR="009803D2">
        <w:t xml:space="preserve"> details of how a university will implement government priorities. </w:t>
      </w:r>
      <w:r w:rsidR="000426E4">
        <w:t xml:space="preserve">If a university does not agree with what the government wants it will get a default mission based compact: part 3, division 3. </w:t>
      </w:r>
    </w:p>
    <w:p w14:paraId="3F5EA363" w14:textId="05EF54D8" w:rsidR="009803D2" w:rsidRDefault="000426E4" w:rsidP="000426E4">
      <w:pPr>
        <w:pStyle w:val="Heading3"/>
      </w:pPr>
      <w:bookmarkStart w:id="40" w:name="_Toc219380908"/>
      <w:r>
        <w:lastRenderedPageBreak/>
        <w:t>Government priorities</w:t>
      </w:r>
      <w:bookmarkEnd w:id="40"/>
      <w:r>
        <w:t xml:space="preserve"> </w:t>
      </w:r>
    </w:p>
    <w:p w14:paraId="3D2A4CED" w14:textId="316D0B7E" w:rsidR="0033468E" w:rsidRDefault="00250E59" w:rsidP="009803D2">
      <w:pPr>
        <w:rPr>
          <w:rFonts w:ascii="Aptos" w:hAnsi="Aptos"/>
        </w:rPr>
      </w:pPr>
      <w:r>
        <w:rPr>
          <w:rFonts w:ascii="Aptos" w:hAnsi="Aptos"/>
        </w:rPr>
        <w:t xml:space="preserve">Based on public statements and private briefings, </w:t>
      </w:r>
      <w:r w:rsidR="00C0544B">
        <w:rPr>
          <w:rFonts w:ascii="Aptos" w:hAnsi="Aptos"/>
        </w:rPr>
        <w:t>a</w:t>
      </w:r>
      <w:r>
        <w:rPr>
          <w:rFonts w:ascii="Aptos" w:hAnsi="Aptos"/>
        </w:rPr>
        <w:t xml:space="preserve"> ministerial statement of expectations will be an important driver of ATEC’s activities, including </w:t>
      </w:r>
      <w:proofErr w:type="gramStart"/>
      <w:r>
        <w:rPr>
          <w:rFonts w:ascii="Aptos" w:hAnsi="Aptos"/>
        </w:rPr>
        <w:t>mission based</w:t>
      </w:r>
      <w:proofErr w:type="gramEnd"/>
      <w:r>
        <w:rPr>
          <w:rFonts w:ascii="Aptos" w:hAnsi="Aptos"/>
        </w:rPr>
        <w:t xml:space="preserve"> compacts</w:t>
      </w:r>
      <w:r w:rsidR="00C0544B">
        <w:rPr>
          <w:rFonts w:ascii="Aptos" w:hAnsi="Aptos"/>
        </w:rPr>
        <w:t>.</w:t>
      </w:r>
      <w:r>
        <w:rPr>
          <w:rFonts w:ascii="Aptos" w:hAnsi="Aptos"/>
        </w:rPr>
        <w:t xml:space="preserve"> </w:t>
      </w:r>
      <w:r w:rsidR="008866D9">
        <w:rPr>
          <w:rFonts w:ascii="Aptos" w:hAnsi="Aptos"/>
        </w:rPr>
        <w:t>The statement of expectations is mentioned in the minister’s second reading speech for this bill. This speech also says that ‘key performance indicators will be established in consultation with the minister’.</w:t>
      </w:r>
      <w:r w:rsidR="008866D9">
        <w:rPr>
          <w:rStyle w:val="FootnoteReference"/>
          <w:rFonts w:ascii="Aptos" w:hAnsi="Aptos"/>
        </w:rPr>
        <w:footnoteReference w:id="6"/>
      </w:r>
      <w:r w:rsidR="008866D9">
        <w:rPr>
          <w:rFonts w:ascii="Aptos" w:hAnsi="Aptos"/>
        </w:rPr>
        <w:t xml:space="preserve"> </w:t>
      </w:r>
    </w:p>
    <w:p w14:paraId="690D2C6F" w14:textId="2B299DE9" w:rsidR="00720099" w:rsidRDefault="00250E59" w:rsidP="00720099">
      <w:pPr>
        <w:pStyle w:val="NormalWeb"/>
        <w:rPr>
          <w:rFonts w:ascii="Aptos" w:hAnsi="Aptos"/>
        </w:rPr>
      </w:pPr>
      <w:r>
        <w:rPr>
          <w:rFonts w:ascii="Aptos" w:hAnsi="Aptos"/>
        </w:rPr>
        <w:t xml:space="preserve">The bill </w:t>
      </w:r>
      <w:r w:rsidR="005F6D92">
        <w:rPr>
          <w:rFonts w:ascii="Aptos" w:hAnsi="Aptos"/>
        </w:rPr>
        <w:t>does not fully reflect</w:t>
      </w:r>
      <w:r w:rsidR="008866D9">
        <w:rPr>
          <w:rFonts w:ascii="Aptos" w:hAnsi="Aptos"/>
        </w:rPr>
        <w:t xml:space="preserve"> the minister’s second reading speech. It uses the language of ministerial ‘</w:t>
      </w:r>
      <w:r w:rsidR="0033468E" w:rsidRPr="00E8074E">
        <w:rPr>
          <w:rFonts w:ascii="Aptos" w:hAnsi="Aptos"/>
        </w:rPr>
        <w:t>short-term and long-term strategic priorities</w:t>
      </w:r>
      <w:r w:rsidR="008866D9">
        <w:rPr>
          <w:rFonts w:ascii="Aptos" w:hAnsi="Aptos"/>
        </w:rPr>
        <w:t xml:space="preserve">’ rather than ‘expectations’: section 15. If </w:t>
      </w:r>
      <w:r w:rsidR="0033468E">
        <w:rPr>
          <w:rFonts w:ascii="Aptos" w:hAnsi="Aptos"/>
        </w:rPr>
        <w:t>priorities and expectations</w:t>
      </w:r>
      <w:r w:rsidR="000426E4">
        <w:rPr>
          <w:rFonts w:ascii="Aptos" w:hAnsi="Aptos"/>
        </w:rPr>
        <w:t xml:space="preserve"> are different,</w:t>
      </w:r>
      <w:r w:rsidR="008866D9">
        <w:rPr>
          <w:rFonts w:ascii="Aptos" w:hAnsi="Aptos"/>
        </w:rPr>
        <w:t xml:space="preserve"> it may be that a ‘priority’ is an area to focus on while an ‘expectation’ sets a specific outcome</w:t>
      </w:r>
      <w:r w:rsidR="0033468E">
        <w:rPr>
          <w:rFonts w:ascii="Aptos" w:hAnsi="Aptos"/>
        </w:rPr>
        <w:t xml:space="preserve"> the minister would like to see. Possibly the word ‘strategic’ means that the minister’s priorities should be higher-level matters, not lower-level details that ATEC should work out</w:t>
      </w:r>
      <w:r w:rsidR="00C0544B">
        <w:rPr>
          <w:rFonts w:ascii="Aptos" w:hAnsi="Aptos"/>
        </w:rPr>
        <w:t xml:space="preserve">. </w:t>
      </w:r>
      <w:r w:rsidR="00720099">
        <w:rPr>
          <w:rFonts w:ascii="Aptos" w:hAnsi="Aptos"/>
        </w:rPr>
        <w:t xml:space="preserve">This reading is consistent with a provision that the minister cannot direct ATEC in relation to a specific higher education provider: section 71(2)(c). </w:t>
      </w:r>
    </w:p>
    <w:p w14:paraId="33C1BFB1" w14:textId="21767BA6" w:rsidR="0033468E" w:rsidRDefault="0033468E" w:rsidP="00E8074E">
      <w:pPr>
        <w:pStyle w:val="NormalWeb"/>
        <w:rPr>
          <w:rFonts w:ascii="Aptos" w:hAnsi="Aptos"/>
        </w:rPr>
      </w:pPr>
      <w:r>
        <w:rPr>
          <w:rFonts w:ascii="Aptos" w:hAnsi="Aptos"/>
        </w:rPr>
        <w:t>While the second reading speech says the minister ‘will’ issue a statement of expectations the bill says that t</w:t>
      </w:r>
      <w:r w:rsidR="00250E59">
        <w:rPr>
          <w:rFonts w:ascii="Aptos" w:hAnsi="Aptos"/>
        </w:rPr>
        <w:t xml:space="preserve">he minister ‘may’ (not must) notify ATEC of the minister’s </w:t>
      </w:r>
      <w:r w:rsidR="00E8074E" w:rsidRPr="00E8074E">
        <w:rPr>
          <w:rFonts w:ascii="Aptos" w:hAnsi="Aptos"/>
        </w:rPr>
        <w:t>short-term and long-term strategic priorities</w:t>
      </w:r>
      <w:r w:rsidR="00250E59">
        <w:rPr>
          <w:rFonts w:ascii="Aptos" w:hAnsi="Aptos"/>
        </w:rPr>
        <w:t xml:space="preserve"> (rather than expectations)</w:t>
      </w:r>
      <w:r w:rsidR="00C0544B">
        <w:rPr>
          <w:rFonts w:ascii="Aptos" w:hAnsi="Aptos"/>
        </w:rPr>
        <w:t xml:space="preserve">: section 15. </w:t>
      </w:r>
    </w:p>
    <w:p w14:paraId="107D8B11" w14:textId="0BBD086C" w:rsidR="00250E59" w:rsidRDefault="00C0544B" w:rsidP="00E8074E">
      <w:pPr>
        <w:pStyle w:val="NormalWeb"/>
        <w:rPr>
          <w:rFonts w:ascii="Aptos" w:hAnsi="Aptos"/>
        </w:rPr>
      </w:pPr>
      <w:r>
        <w:rPr>
          <w:rFonts w:ascii="Aptos" w:hAnsi="Aptos"/>
        </w:rPr>
        <w:t xml:space="preserve">Some earlier documents suggested that the statement of expectations would be annual </w:t>
      </w:r>
      <w:sdt>
        <w:sdtPr>
          <w:rPr>
            <w:rFonts w:ascii="Aptos" w:hAnsi="Aptos"/>
            <w:color w:val="000000"/>
          </w:rPr>
          <w:tag w:val="MENDELEY_CITATION_v3_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"/>
          <w:id w:val="491297673"/>
          <w:placeholder>
            <w:docPart w:val="012E2798A72C453B925FB0189C0D368A"/>
          </w:placeholder>
        </w:sdtPr>
        <w:sdtContent>
          <w:r w:rsidR="00094A58" w:rsidRPr="00094A58">
            <w:rPr>
              <w:rFonts w:ascii="Aptos" w:hAnsi="Aptos"/>
              <w:color w:val="000000"/>
            </w:rPr>
            <w:t>(DofE, 2024a)</w:t>
          </w:r>
        </w:sdtContent>
      </w:sdt>
      <w:r>
        <w:rPr>
          <w:rFonts w:ascii="Aptos" w:hAnsi="Aptos"/>
        </w:rPr>
        <w:t xml:space="preserve">. It follows from the bill making the statement of priorities optional for the minster that </w:t>
      </w:r>
      <w:r w:rsidR="00250E59">
        <w:rPr>
          <w:rFonts w:ascii="Aptos" w:hAnsi="Aptos"/>
        </w:rPr>
        <w:t xml:space="preserve">no </w:t>
      </w:r>
      <w:proofErr w:type="gramStart"/>
      <w:r w:rsidR="00250E59">
        <w:rPr>
          <w:rFonts w:ascii="Aptos" w:hAnsi="Aptos"/>
        </w:rPr>
        <w:t>time period</w:t>
      </w:r>
      <w:proofErr w:type="gramEnd"/>
      <w:r w:rsidR="00250E59">
        <w:rPr>
          <w:rFonts w:ascii="Aptos" w:hAnsi="Aptos"/>
        </w:rPr>
        <w:t xml:space="preserve"> </w:t>
      </w:r>
      <w:r>
        <w:rPr>
          <w:rFonts w:ascii="Aptos" w:hAnsi="Aptos"/>
        </w:rPr>
        <w:t xml:space="preserve">is </w:t>
      </w:r>
      <w:r w:rsidR="00250E59">
        <w:rPr>
          <w:rFonts w:ascii="Aptos" w:hAnsi="Aptos"/>
        </w:rPr>
        <w:t>mentioned</w:t>
      </w:r>
      <w:r w:rsidR="00E8074E" w:rsidRPr="00E8074E">
        <w:rPr>
          <w:rFonts w:ascii="Aptos" w:hAnsi="Aptos"/>
        </w:rPr>
        <w:t xml:space="preserve">: section 15. </w:t>
      </w:r>
      <w:r w:rsidR="00250E59">
        <w:rPr>
          <w:rFonts w:ascii="Aptos" w:hAnsi="Aptos"/>
        </w:rPr>
        <w:t>With restrictions</w:t>
      </w:r>
      <w:r w:rsidR="0094271F">
        <w:rPr>
          <w:rFonts w:ascii="Aptos" w:hAnsi="Aptos"/>
        </w:rPr>
        <w:t>,</w:t>
      </w:r>
      <w:r w:rsidR="00720099">
        <w:rPr>
          <w:rFonts w:ascii="Aptos" w:hAnsi="Aptos"/>
        </w:rPr>
        <w:t xml:space="preserve"> such as on target</w:t>
      </w:r>
      <w:r w:rsidR="0094271F">
        <w:rPr>
          <w:rFonts w:ascii="Aptos" w:hAnsi="Aptos"/>
        </w:rPr>
        <w:t>ing</w:t>
      </w:r>
      <w:r w:rsidR="00720099">
        <w:rPr>
          <w:rFonts w:ascii="Aptos" w:hAnsi="Aptos"/>
        </w:rPr>
        <w:t xml:space="preserve"> specific providers</w:t>
      </w:r>
      <w:r w:rsidR="00250E59">
        <w:rPr>
          <w:rFonts w:ascii="Aptos" w:hAnsi="Aptos"/>
        </w:rPr>
        <w:t xml:space="preserve">, the minister can also at any time give directions to ATEC commissioners: section 71. </w:t>
      </w:r>
    </w:p>
    <w:p w14:paraId="3CC85647" w14:textId="70E9F9EE" w:rsidR="00E8074E" w:rsidRDefault="00250E59" w:rsidP="00E8074E">
      <w:pPr>
        <w:pStyle w:val="NormalWeb"/>
        <w:rPr>
          <w:rFonts w:ascii="Aptos" w:hAnsi="Aptos"/>
        </w:rPr>
      </w:pPr>
      <w:r>
        <w:rPr>
          <w:rFonts w:ascii="Aptos" w:hAnsi="Aptos"/>
        </w:rPr>
        <w:t xml:space="preserve">While the minister </w:t>
      </w:r>
      <w:r w:rsidRPr="00C0544B">
        <w:rPr>
          <w:rFonts w:ascii="Aptos" w:hAnsi="Aptos"/>
          <w:i/>
          <w:iCs/>
        </w:rPr>
        <w:t>may</w:t>
      </w:r>
      <w:r>
        <w:rPr>
          <w:rFonts w:ascii="Aptos" w:hAnsi="Aptos"/>
        </w:rPr>
        <w:t xml:space="preserve"> state strategic priorities </w:t>
      </w:r>
      <w:r w:rsidR="00E8074E" w:rsidRPr="00E8074E">
        <w:rPr>
          <w:rFonts w:ascii="Aptos" w:hAnsi="Aptos"/>
        </w:rPr>
        <w:t xml:space="preserve">ATEC </w:t>
      </w:r>
      <w:r w:rsidR="00E8074E" w:rsidRPr="00C0544B">
        <w:rPr>
          <w:rFonts w:ascii="Aptos" w:hAnsi="Aptos"/>
          <w:i/>
          <w:iCs/>
        </w:rPr>
        <w:t>must</w:t>
      </w:r>
      <w:r w:rsidR="00E8074E" w:rsidRPr="00E8074E">
        <w:rPr>
          <w:rFonts w:ascii="Aptos" w:hAnsi="Aptos"/>
        </w:rPr>
        <w:t xml:space="preserve"> prepare its own statement of </w:t>
      </w:r>
      <w:r w:rsidR="001F092A">
        <w:rPr>
          <w:rFonts w:ascii="Aptos" w:hAnsi="Aptos"/>
        </w:rPr>
        <w:t>s</w:t>
      </w:r>
      <w:r w:rsidR="00E8074E" w:rsidRPr="00E8074E">
        <w:rPr>
          <w:rFonts w:ascii="Aptos" w:hAnsi="Aptos"/>
        </w:rPr>
        <w:t>trategic priorities</w:t>
      </w:r>
      <w:r w:rsidR="00C34BC1">
        <w:rPr>
          <w:rFonts w:ascii="Aptos" w:hAnsi="Aptos"/>
        </w:rPr>
        <w:t xml:space="preserve"> every two years</w:t>
      </w:r>
      <w:r w:rsidR="00E8074E" w:rsidRPr="00E8074E">
        <w:rPr>
          <w:rFonts w:ascii="Aptos" w:hAnsi="Aptos"/>
        </w:rPr>
        <w:t>: section 43</w:t>
      </w:r>
      <w:r w:rsidR="00C0544B">
        <w:rPr>
          <w:rFonts w:ascii="Aptos" w:hAnsi="Aptos"/>
        </w:rPr>
        <w:t>, emphasis added</w:t>
      </w:r>
      <w:r w:rsidR="00E8074E" w:rsidRPr="00E8074E">
        <w:rPr>
          <w:rFonts w:ascii="Aptos" w:hAnsi="Aptos"/>
        </w:rPr>
        <w:t xml:space="preserve">. ATEC </w:t>
      </w:r>
      <w:r w:rsidR="00E8074E">
        <w:rPr>
          <w:rFonts w:ascii="Aptos" w:hAnsi="Aptos"/>
        </w:rPr>
        <w:t>m</w:t>
      </w:r>
      <w:r w:rsidR="00E8074E" w:rsidRPr="00E8074E">
        <w:rPr>
          <w:rFonts w:ascii="Aptos" w:hAnsi="Aptos"/>
        </w:rPr>
        <w:t>ust take the minister's priorities</w:t>
      </w:r>
      <w:r w:rsidR="005F6D92">
        <w:rPr>
          <w:rFonts w:ascii="Aptos" w:hAnsi="Aptos"/>
        </w:rPr>
        <w:t>, if any,</w:t>
      </w:r>
      <w:r w:rsidR="00E8074E" w:rsidRPr="00E8074E">
        <w:rPr>
          <w:rFonts w:ascii="Aptos" w:hAnsi="Aptos"/>
        </w:rPr>
        <w:t xml:space="preserve"> into account when performing its functions: section 15(4).</w:t>
      </w:r>
      <w:r w:rsidR="00C34BC1">
        <w:rPr>
          <w:rFonts w:ascii="Aptos" w:hAnsi="Aptos"/>
        </w:rPr>
        <w:t xml:space="preserve"> Whether or not the minister has set priorities under section 15</w:t>
      </w:r>
      <w:r w:rsidR="00720099">
        <w:rPr>
          <w:rFonts w:ascii="Aptos" w:hAnsi="Aptos"/>
        </w:rPr>
        <w:t>,</w:t>
      </w:r>
      <w:r w:rsidR="00C34BC1">
        <w:rPr>
          <w:rFonts w:ascii="Aptos" w:hAnsi="Aptos"/>
        </w:rPr>
        <w:t xml:space="preserve"> ATEC must consult the minister when deciding on its own strategic priorities: section 43(3)(a)(i).</w:t>
      </w:r>
      <w:r w:rsidR="002878BD">
        <w:rPr>
          <w:rFonts w:ascii="Aptos" w:hAnsi="Aptos"/>
        </w:rPr>
        <w:t xml:space="preserve"> </w:t>
      </w:r>
      <w:r w:rsidR="00C34BC1">
        <w:rPr>
          <w:rFonts w:ascii="Aptos" w:hAnsi="Aptos"/>
        </w:rPr>
        <w:t xml:space="preserve">ATEC must also consult other relevant ministers, stakeholder representatives, student representative and invite public submissions: section 43. </w:t>
      </w:r>
      <w:r w:rsidR="00E8074E" w:rsidRPr="00E8074E">
        <w:rPr>
          <w:rFonts w:ascii="Aptos" w:hAnsi="Aptos"/>
        </w:rPr>
        <w:t>ATEC must also prepare a work plan: section 45.</w:t>
      </w:r>
      <w:r w:rsidR="001454FB">
        <w:rPr>
          <w:rFonts w:ascii="Aptos" w:hAnsi="Aptos"/>
        </w:rPr>
        <w:t xml:space="preserve"> </w:t>
      </w:r>
      <w:r w:rsidR="00720099">
        <w:rPr>
          <w:rFonts w:ascii="Aptos" w:hAnsi="Aptos"/>
        </w:rPr>
        <w:t>ATEC p</w:t>
      </w:r>
      <w:r w:rsidR="001454FB">
        <w:rPr>
          <w:rFonts w:ascii="Aptos" w:hAnsi="Aptos"/>
        </w:rPr>
        <w:t>riority statements and work plans</w:t>
      </w:r>
      <w:r w:rsidR="00E8074E" w:rsidRPr="00E8074E">
        <w:rPr>
          <w:rFonts w:ascii="Aptos" w:hAnsi="Aptos"/>
        </w:rPr>
        <w:t xml:space="preserve"> must be published</w:t>
      </w:r>
      <w:r w:rsidR="00F7572B">
        <w:rPr>
          <w:rFonts w:ascii="Aptos" w:hAnsi="Aptos"/>
        </w:rPr>
        <w:t xml:space="preserve">. These </w:t>
      </w:r>
      <w:r w:rsidR="00E8074E" w:rsidRPr="00E8074E">
        <w:rPr>
          <w:rFonts w:ascii="Aptos" w:hAnsi="Aptos"/>
        </w:rPr>
        <w:t>will signal the direction of mission-based compacts.</w:t>
      </w:r>
    </w:p>
    <w:p w14:paraId="09AC0FCC" w14:textId="25C44594" w:rsidR="0094271F" w:rsidRDefault="00752D3C" w:rsidP="004211B1">
      <w:pPr>
        <w:pStyle w:val="Heading3"/>
      </w:pPr>
      <w:bookmarkStart w:id="41" w:name="_Toc219380909"/>
      <w:r>
        <w:t>The potential range of compact contents is unclear</w:t>
      </w:r>
      <w:bookmarkEnd w:id="41"/>
    </w:p>
    <w:p w14:paraId="43FF4DC7" w14:textId="6E84BC17" w:rsidR="000426E4" w:rsidRDefault="000426E4" w:rsidP="000426E4">
      <w:r>
        <w:t xml:space="preserve">The bill offers universities few protections against very one-sided agreements. Compact content has no specified inclusions or exclusions. Instead, potential </w:t>
      </w:r>
      <w:r w:rsidR="00752D3C">
        <w:t xml:space="preserve">compact </w:t>
      </w:r>
      <w:r>
        <w:t xml:space="preserve">content seems to be driven by the priorities, and </w:t>
      </w:r>
      <w:r w:rsidR="004211B1">
        <w:t>what topics compacts include will be</w:t>
      </w:r>
      <w:r>
        <w:t xml:space="preserve"> an outcome of the prior process of priority settings. </w:t>
      </w:r>
    </w:p>
    <w:p w14:paraId="521AFC17" w14:textId="3A88BBBF" w:rsidR="00E459E6" w:rsidRDefault="00E459E6" w:rsidP="00B20EAB">
      <w:pPr>
        <w:pStyle w:val="NormalWeb"/>
        <w:rPr>
          <w:rFonts w:ascii="Aptos" w:hAnsi="Aptos"/>
        </w:rPr>
      </w:pPr>
      <w:r>
        <w:rPr>
          <w:rFonts w:ascii="Aptos" w:hAnsi="Aptos"/>
        </w:rPr>
        <w:t xml:space="preserve">In considering the terms of compacts, ATEC must consider its own strategic priorities: section 29(2)(a). It must consider the section 28 purposes of </w:t>
      </w:r>
      <w:proofErr w:type="gramStart"/>
      <w:r>
        <w:rPr>
          <w:rFonts w:ascii="Aptos" w:hAnsi="Aptos"/>
        </w:rPr>
        <w:t>mission based</w:t>
      </w:r>
      <w:proofErr w:type="gramEnd"/>
      <w:r>
        <w:rPr>
          <w:rFonts w:ascii="Aptos" w:hAnsi="Aptos"/>
        </w:rPr>
        <w:t xml:space="preserve"> compacts: section 29(</w:t>
      </w:r>
      <w:r w:rsidR="000426E4">
        <w:rPr>
          <w:rFonts w:ascii="Aptos" w:hAnsi="Aptos"/>
        </w:rPr>
        <w:t>2</w:t>
      </w:r>
      <w:r>
        <w:rPr>
          <w:rFonts w:ascii="Aptos" w:hAnsi="Aptos"/>
        </w:rPr>
        <w:t xml:space="preserve">)(b). Section 28(b) refers to higher education priorities other than ATEC’s own </w:t>
      </w:r>
      <w:r>
        <w:rPr>
          <w:rFonts w:ascii="Aptos" w:hAnsi="Aptos"/>
        </w:rPr>
        <w:lastRenderedPageBreak/>
        <w:t>strategic priorities, which may refer to the minister’s priorities to the extent that they are not already in ATEC’s priorities or yet-to-be-legislated priorities.</w:t>
      </w:r>
      <w:r w:rsidR="002878BD">
        <w:rPr>
          <w:rFonts w:ascii="Aptos" w:hAnsi="Aptos"/>
        </w:rPr>
        <w:t xml:space="preserve"> </w:t>
      </w:r>
    </w:p>
    <w:p w14:paraId="6E30A1E1" w14:textId="2456409D" w:rsidR="003D2549" w:rsidRDefault="00752D3C" w:rsidP="00B20EAB">
      <w:pPr>
        <w:pStyle w:val="NormalWeb"/>
        <w:rPr>
          <w:rFonts w:ascii="Aptos" w:hAnsi="Aptos"/>
        </w:rPr>
      </w:pPr>
      <w:r>
        <w:rPr>
          <w:rFonts w:ascii="Aptos" w:hAnsi="Aptos"/>
        </w:rPr>
        <w:t xml:space="preserve">The minister and ATEC can therefore expand or contract their compact setting powers using the priority setting process. </w:t>
      </w:r>
      <w:r w:rsidR="00B20EAB">
        <w:rPr>
          <w:rFonts w:ascii="Aptos" w:hAnsi="Aptos"/>
        </w:rPr>
        <w:t>Briefings</w:t>
      </w:r>
      <w:r w:rsidR="00B20EAB" w:rsidRPr="00E8074E">
        <w:rPr>
          <w:rFonts w:ascii="Aptos" w:hAnsi="Aptos"/>
        </w:rPr>
        <w:t xml:space="preserve"> to </w:t>
      </w:r>
      <w:r w:rsidR="00B20EAB">
        <w:rPr>
          <w:rFonts w:ascii="Aptos" w:hAnsi="Aptos"/>
        </w:rPr>
        <w:t>universities</w:t>
      </w:r>
      <w:r w:rsidR="00AC5876">
        <w:rPr>
          <w:rFonts w:ascii="Aptos" w:hAnsi="Aptos"/>
        </w:rPr>
        <w:t xml:space="preserve"> </w:t>
      </w:r>
      <w:r w:rsidR="00B20EAB" w:rsidRPr="00E8074E">
        <w:rPr>
          <w:rFonts w:ascii="Aptos" w:hAnsi="Aptos"/>
        </w:rPr>
        <w:t xml:space="preserve">mention </w:t>
      </w:r>
      <w:r w:rsidR="001E78E4">
        <w:rPr>
          <w:rFonts w:ascii="Aptos" w:hAnsi="Aptos"/>
        </w:rPr>
        <w:t>possible</w:t>
      </w:r>
      <w:r w:rsidR="00B20EAB" w:rsidRPr="00E8074E">
        <w:rPr>
          <w:rFonts w:ascii="Aptos" w:hAnsi="Aptos"/>
        </w:rPr>
        <w:t xml:space="preserve"> compact</w:t>
      </w:r>
      <w:r w:rsidR="001E78E4">
        <w:rPr>
          <w:rFonts w:ascii="Aptos" w:hAnsi="Aptos"/>
        </w:rPr>
        <w:t xml:space="preserve"> content</w:t>
      </w:r>
      <w:r w:rsidR="00B20EAB" w:rsidRPr="00E8074E">
        <w:rPr>
          <w:rFonts w:ascii="Aptos" w:hAnsi="Aptos"/>
        </w:rPr>
        <w:t>: quality of teaching, student experience, First Nations outcomes, equity outcomes, research quality, research training, campus strategy, regional delivery, collaboration across and beyond the system, international strategy including diversification, industry engagement, and tertiary harmonisation.</w:t>
      </w:r>
      <w:r w:rsidR="003D2549">
        <w:rPr>
          <w:rFonts w:ascii="Aptos" w:hAnsi="Aptos"/>
        </w:rPr>
        <w:t xml:space="preserve"> </w:t>
      </w:r>
      <w:r w:rsidR="001F092A">
        <w:rPr>
          <w:rFonts w:ascii="Aptos" w:hAnsi="Aptos"/>
        </w:rPr>
        <w:t>Student places would be distributed in an ‘allocation schedule’ that sets out domestic and international student profiles.</w:t>
      </w:r>
      <w:r w:rsidR="001454FB">
        <w:rPr>
          <w:rStyle w:val="FootnoteReference"/>
          <w:rFonts w:ascii="Aptos" w:hAnsi="Aptos"/>
        </w:rPr>
        <w:footnoteReference w:id="7"/>
      </w:r>
      <w:r w:rsidR="001F092A">
        <w:rPr>
          <w:rFonts w:ascii="Aptos" w:hAnsi="Aptos"/>
        </w:rPr>
        <w:t xml:space="preserve"> </w:t>
      </w:r>
      <w:r w:rsidR="00F76A38">
        <w:rPr>
          <w:rFonts w:ascii="Aptos" w:hAnsi="Aptos"/>
        </w:rPr>
        <w:t xml:space="preserve">Some but not all these topics are foreshadowed in ATEC’s functions and/or topics of advice. </w:t>
      </w:r>
    </w:p>
    <w:p w14:paraId="3BD64AA5" w14:textId="0AC04493" w:rsidR="00932D6A" w:rsidRDefault="00932D6A" w:rsidP="00932D6A">
      <w:pPr>
        <w:pStyle w:val="NormalWeb"/>
        <w:rPr>
          <w:rFonts w:ascii="Aptos" w:hAnsi="Aptos"/>
        </w:rPr>
      </w:pPr>
      <w:r>
        <w:rPr>
          <w:rStyle w:val="Emphasis"/>
          <w:rFonts w:ascii="Aptos" w:hAnsi="Aptos"/>
          <w:i w:val="0"/>
          <w:iCs w:val="0"/>
        </w:rPr>
        <w:t>Compact content would not be approved by parliament</w:t>
      </w:r>
      <w:r>
        <w:rPr>
          <w:rFonts w:ascii="Aptos" w:hAnsi="Aptos"/>
        </w:rPr>
        <w:t xml:space="preserve">. </w:t>
      </w:r>
      <w:r w:rsidRPr="00E8074E">
        <w:rPr>
          <w:rFonts w:ascii="Aptos" w:hAnsi="Aptos"/>
        </w:rPr>
        <w:t>Neither the minister's strategic priorities nor ATEC's priorities statements are legislative instruments: sections 15(6) and 43(8).</w:t>
      </w:r>
      <w:r w:rsidR="002878BD">
        <w:rPr>
          <w:rFonts w:ascii="Aptos" w:hAnsi="Aptos"/>
        </w:rPr>
        <w:t xml:space="preserve"> </w:t>
      </w:r>
      <w:r w:rsidR="00C0544B">
        <w:rPr>
          <w:rFonts w:ascii="Aptos" w:hAnsi="Aptos"/>
        </w:rPr>
        <w:t xml:space="preserve">The minister’s priorities do not have to be tabled in parliament but </w:t>
      </w:r>
      <w:r w:rsidR="00720099">
        <w:rPr>
          <w:rFonts w:ascii="Aptos" w:hAnsi="Aptos"/>
        </w:rPr>
        <w:t>must</w:t>
      </w:r>
      <w:r w:rsidR="00C0544B">
        <w:rPr>
          <w:rFonts w:ascii="Aptos" w:hAnsi="Aptos"/>
        </w:rPr>
        <w:t xml:space="preserve"> be published in ATEC’s website within four weeks: section 15(3). ATEC’s priorities do have to be tabled in parliament: section 43(7). </w:t>
      </w:r>
    </w:p>
    <w:p w14:paraId="4D23B312" w14:textId="61A1FCAD" w:rsidR="0089051A" w:rsidRDefault="0089051A" w:rsidP="00932D6A">
      <w:pPr>
        <w:pStyle w:val="NormalWeb"/>
        <w:rPr>
          <w:rFonts w:ascii="Aptos" w:hAnsi="Aptos"/>
        </w:rPr>
      </w:pPr>
      <w:r>
        <w:rPr>
          <w:rFonts w:ascii="Aptos" w:hAnsi="Aptos"/>
        </w:rPr>
        <w:t xml:space="preserve">Nothing in the </w:t>
      </w:r>
      <w:r w:rsidRPr="0089051A">
        <w:rPr>
          <w:rFonts w:ascii="Aptos" w:hAnsi="Aptos"/>
          <w:i/>
          <w:iCs/>
        </w:rPr>
        <w:t>Universities Accord Final Report</w:t>
      </w:r>
      <w:r>
        <w:rPr>
          <w:rFonts w:ascii="Aptos" w:hAnsi="Aptos"/>
        </w:rPr>
        <w:t xml:space="preserve"> or subsequent documents has presented a case for giving the minister or ATEC </w:t>
      </w:r>
      <w:r w:rsidR="00752D3C">
        <w:rPr>
          <w:rFonts w:ascii="Aptos" w:hAnsi="Aptos"/>
        </w:rPr>
        <w:t xml:space="preserve">such </w:t>
      </w:r>
      <w:r w:rsidR="005F6D92">
        <w:rPr>
          <w:rFonts w:ascii="Aptos" w:hAnsi="Aptos"/>
        </w:rPr>
        <w:t>extensive</w:t>
      </w:r>
      <w:r w:rsidR="00752D3C">
        <w:rPr>
          <w:rFonts w:ascii="Aptos" w:hAnsi="Aptos"/>
        </w:rPr>
        <w:t xml:space="preserve"> powers</w:t>
      </w:r>
      <w:r>
        <w:rPr>
          <w:rFonts w:ascii="Aptos" w:hAnsi="Aptos"/>
        </w:rPr>
        <w:t xml:space="preserve"> over universities. </w:t>
      </w:r>
    </w:p>
    <w:p w14:paraId="372B2E07" w14:textId="4D95C154" w:rsidR="009B27B2" w:rsidRDefault="009B27B2" w:rsidP="00932D6A">
      <w:pPr>
        <w:pStyle w:val="NormalWeb"/>
        <w:rPr>
          <w:rFonts w:ascii="Aptos" w:hAnsi="Aptos"/>
        </w:rPr>
      </w:pPr>
      <w:r>
        <w:rPr>
          <w:rFonts w:ascii="Aptos" w:hAnsi="Aptos"/>
        </w:rPr>
        <w:t>Recommendation:</w:t>
      </w:r>
    </w:p>
    <w:p w14:paraId="7D698A82" w14:textId="5C61D480" w:rsidR="00932D6A" w:rsidRDefault="00932D6A" w:rsidP="00932D6A">
      <w:pPr>
        <w:pStyle w:val="NormalWeb"/>
        <w:rPr>
          <w:rFonts w:ascii="Aptos" w:hAnsi="Aptos"/>
        </w:rPr>
      </w:pPr>
      <w:r>
        <w:rPr>
          <w:rFonts w:ascii="Aptos" w:hAnsi="Aptos"/>
        </w:rPr>
        <w:t>The Parliament should retain broad control</w:t>
      </w:r>
      <w:r w:rsidR="002B43A3">
        <w:rPr>
          <w:rFonts w:ascii="Aptos" w:hAnsi="Aptos"/>
        </w:rPr>
        <w:t xml:space="preserve"> of the minister and ATEC</w:t>
      </w:r>
      <w:r>
        <w:rPr>
          <w:rFonts w:ascii="Aptos" w:hAnsi="Aptos"/>
        </w:rPr>
        <w:t xml:space="preserve"> by including a list of subjects that can</w:t>
      </w:r>
    </w:p>
    <w:p w14:paraId="49B0281C" w14:textId="05FFA998" w:rsidR="00932D6A" w:rsidRDefault="00932D6A" w:rsidP="002B43A3">
      <w:pPr>
        <w:pStyle w:val="NormalWeb"/>
        <w:numPr>
          <w:ilvl w:val="0"/>
          <w:numId w:val="29"/>
        </w:numPr>
        <w:rPr>
          <w:rFonts w:ascii="Aptos" w:hAnsi="Aptos"/>
        </w:rPr>
      </w:pPr>
      <w:r>
        <w:rPr>
          <w:rFonts w:ascii="Aptos" w:hAnsi="Aptos"/>
        </w:rPr>
        <w:t>be the subject of the minister’s section 15 statement of strategic priorities, and</w:t>
      </w:r>
    </w:p>
    <w:p w14:paraId="26FA7F13" w14:textId="24B53A4D" w:rsidR="00932D6A" w:rsidRDefault="00932D6A" w:rsidP="002B43A3">
      <w:pPr>
        <w:pStyle w:val="NormalWeb"/>
        <w:numPr>
          <w:ilvl w:val="0"/>
          <w:numId w:val="29"/>
        </w:numPr>
        <w:rPr>
          <w:rFonts w:ascii="Aptos" w:hAnsi="Aptos"/>
        </w:rPr>
      </w:pPr>
      <w:r>
        <w:rPr>
          <w:rFonts w:ascii="Aptos" w:hAnsi="Aptos"/>
        </w:rPr>
        <w:t>be the subject of ATEC’s section 43 s</w:t>
      </w:r>
      <w:r w:rsidR="00F0677E">
        <w:rPr>
          <w:rFonts w:ascii="Aptos" w:hAnsi="Aptos"/>
        </w:rPr>
        <w:t xml:space="preserve">tatement of strategic priorities. </w:t>
      </w:r>
    </w:p>
    <w:p w14:paraId="2D7BE14D" w14:textId="77777777" w:rsidR="005F6D92" w:rsidRDefault="00932D6A" w:rsidP="005F6D92">
      <w:pPr>
        <w:pStyle w:val="Heading3"/>
        <w:rPr>
          <w:rStyle w:val="Emphasis"/>
          <w:rFonts w:ascii="Aptos" w:hAnsi="Aptos"/>
          <w:i w:val="0"/>
          <w:iCs w:val="0"/>
        </w:rPr>
      </w:pPr>
      <w:bookmarkStart w:id="42" w:name="_Toc219380910"/>
      <w:r>
        <w:rPr>
          <w:rStyle w:val="Emphasis"/>
          <w:rFonts w:ascii="Aptos" w:hAnsi="Aptos"/>
          <w:i w:val="0"/>
          <w:iCs w:val="0"/>
        </w:rPr>
        <w:t>Funding under compacts</w:t>
      </w:r>
      <w:bookmarkEnd w:id="42"/>
      <w:r>
        <w:rPr>
          <w:rStyle w:val="Emphasis"/>
          <w:rFonts w:ascii="Aptos" w:hAnsi="Aptos"/>
          <w:i w:val="0"/>
          <w:iCs w:val="0"/>
        </w:rPr>
        <w:t xml:space="preserve"> </w:t>
      </w:r>
    </w:p>
    <w:p w14:paraId="50E4BF6E" w14:textId="02C07CAE" w:rsidR="00F21E96" w:rsidRPr="004C16F4" w:rsidRDefault="00932D6A" w:rsidP="005F6D92">
      <w:pPr>
        <w:pStyle w:val="BodyText"/>
        <w:rPr>
          <w:rStyle w:val="Emphasis"/>
          <w:rFonts w:ascii="Aptos" w:hAnsi="Aptos"/>
          <w:i w:val="0"/>
          <w:iCs w:val="0"/>
        </w:rPr>
      </w:pPr>
      <w:r>
        <w:t xml:space="preserve">For the allocation of </w:t>
      </w:r>
      <w:r w:rsidR="00F7572B">
        <w:t xml:space="preserve">Commonwealth supported </w:t>
      </w:r>
      <w:r>
        <w:t>places</w:t>
      </w:r>
      <w:r w:rsidR="002B43A3">
        <w:t xml:space="preserve"> under compacts</w:t>
      </w:r>
      <w:r>
        <w:t xml:space="preserve">, </w:t>
      </w:r>
      <w:r w:rsidR="005525D3">
        <w:rPr>
          <w:rStyle w:val="Emphasis"/>
          <w:rFonts w:ascii="Aptos" w:hAnsi="Aptos"/>
          <w:i w:val="0"/>
          <w:iCs w:val="0"/>
        </w:rPr>
        <w:t>the</w:t>
      </w:r>
      <w:r w:rsidR="006B39AE">
        <w:rPr>
          <w:rStyle w:val="Emphasis"/>
          <w:rFonts w:ascii="Aptos" w:hAnsi="Aptos"/>
          <w:i w:val="0"/>
          <w:iCs w:val="0"/>
        </w:rPr>
        <w:t xml:space="preserve"> </w:t>
      </w:r>
      <w:r w:rsidR="005525D3">
        <w:rPr>
          <w:rStyle w:val="Emphasis"/>
          <w:rFonts w:ascii="Aptos" w:hAnsi="Aptos"/>
        </w:rPr>
        <w:t>Higher Education Support Act 2003</w:t>
      </w:r>
      <w:r w:rsidR="002D025F">
        <w:rPr>
          <w:rStyle w:val="Emphasis"/>
          <w:rFonts w:ascii="Aptos" w:hAnsi="Aptos"/>
          <w:i w:val="0"/>
          <w:iCs w:val="0"/>
        </w:rPr>
        <w:t xml:space="preserve"> would remain the source of funds</w:t>
      </w:r>
      <w:r w:rsidR="00F7572B">
        <w:rPr>
          <w:rStyle w:val="Emphasis"/>
          <w:rFonts w:ascii="Aptos" w:hAnsi="Aptos"/>
          <w:i w:val="0"/>
          <w:iCs w:val="0"/>
        </w:rPr>
        <w:t>. H</w:t>
      </w:r>
      <w:r w:rsidR="005525D3">
        <w:rPr>
          <w:rStyle w:val="Emphasis"/>
          <w:rFonts w:ascii="Aptos" w:hAnsi="Aptos"/>
          <w:i w:val="0"/>
          <w:iCs w:val="0"/>
        </w:rPr>
        <w:t xml:space="preserve">aving a compact </w:t>
      </w:r>
      <w:r w:rsidR="00F7572B">
        <w:rPr>
          <w:rStyle w:val="Emphasis"/>
          <w:rFonts w:ascii="Aptos" w:hAnsi="Aptos"/>
          <w:i w:val="0"/>
          <w:iCs w:val="0"/>
        </w:rPr>
        <w:t>is</w:t>
      </w:r>
      <w:r w:rsidR="005525D3">
        <w:rPr>
          <w:rStyle w:val="Emphasis"/>
          <w:rFonts w:ascii="Aptos" w:hAnsi="Aptos"/>
          <w:i w:val="0"/>
          <w:iCs w:val="0"/>
        </w:rPr>
        <w:t xml:space="preserve"> a condition of that money flowing: </w:t>
      </w:r>
      <w:r w:rsidR="003D2549">
        <w:rPr>
          <w:rStyle w:val="Emphasis"/>
          <w:rFonts w:ascii="Aptos" w:hAnsi="Aptos"/>
          <w:i w:val="0"/>
          <w:iCs w:val="0"/>
        </w:rPr>
        <w:t xml:space="preserve">revised section 19-110 in schedule 1, item 1 in the </w:t>
      </w:r>
      <w:r w:rsidR="003D2549" w:rsidRPr="003D2549">
        <w:rPr>
          <w:rStyle w:val="Emphasis"/>
          <w:rFonts w:ascii="Aptos" w:hAnsi="Aptos"/>
        </w:rPr>
        <w:t>Universities Accord (Australian Tertiary Education Commission) (Consequential and Transitional Provisions) Bill 2025.</w:t>
      </w:r>
      <w:r w:rsidR="001F092A">
        <w:rPr>
          <w:rStyle w:val="Emphasis"/>
          <w:rFonts w:ascii="Aptos" w:hAnsi="Aptos"/>
          <w:i w:val="0"/>
          <w:iCs w:val="0"/>
        </w:rPr>
        <w:t xml:space="preserve"> </w:t>
      </w:r>
      <w:r w:rsidR="004C16F4">
        <w:rPr>
          <w:rStyle w:val="Emphasis"/>
          <w:rFonts w:ascii="Aptos" w:hAnsi="Aptos"/>
          <w:i w:val="0"/>
          <w:iCs w:val="0"/>
        </w:rPr>
        <w:t xml:space="preserve">Schedule 1, item 4 of this bill, revised section 238-5 of </w:t>
      </w:r>
      <w:r w:rsidR="004C16F4">
        <w:rPr>
          <w:rStyle w:val="Emphasis"/>
          <w:rFonts w:ascii="Aptos" w:hAnsi="Aptos"/>
        </w:rPr>
        <w:t>HESA 2003,</w:t>
      </w:r>
      <w:r w:rsidR="004C16F4">
        <w:rPr>
          <w:rStyle w:val="Emphasis"/>
          <w:rFonts w:ascii="Aptos" w:hAnsi="Aptos"/>
          <w:i w:val="0"/>
          <w:iCs w:val="0"/>
        </w:rPr>
        <w:t xml:space="preserve"> would allow the minister to delegate most </w:t>
      </w:r>
      <w:r w:rsidR="004C16F4" w:rsidRPr="004C16F4">
        <w:rPr>
          <w:rStyle w:val="Emphasis"/>
          <w:rFonts w:ascii="Aptos" w:hAnsi="Aptos"/>
        </w:rPr>
        <w:t>HESA 2003</w:t>
      </w:r>
      <w:r w:rsidR="004C16F4">
        <w:rPr>
          <w:rStyle w:val="Emphasis"/>
          <w:rFonts w:ascii="Aptos" w:hAnsi="Aptos"/>
          <w:i w:val="0"/>
          <w:iCs w:val="0"/>
        </w:rPr>
        <w:t xml:space="preserve"> </w:t>
      </w:r>
      <w:r w:rsidR="001454FB">
        <w:rPr>
          <w:rStyle w:val="Emphasis"/>
          <w:rFonts w:ascii="Aptos" w:hAnsi="Aptos"/>
          <w:i w:val="0"/>
          <w:iCs w:val="0"/>
        </w:rPr>
        <w:t xml:space="preserve">powers </w:t>
      </w:r>
      <w:r w:rsidR="004C16F4">
        <w:rPr>
          <w:rStyle w:val="Emphasis"/>
          <w:rFonts w:ascii="Aptos" w:hAnsi="Aptos"/>
          <w:i w:val="0"/>
          <w:iCs w:val="0"/>
        </w:rPr>
        <w:t>to an ATEC commissioner.</w:t>
      </w:r>
      <w:r w:rsidR="002878BD">
        <w:rPr>
          <w:rStyle w:val="Emphasis"/>
          <w:rFonts w:ascii="Aptos" w:hAnsi="Aptos"/>
          <w:i w:val="0"/>
          <w:iCs w:val="0"/>
        </w:rPr>
        <w:t xml:space="preserve"> </w:t>
      </w:r>
      <w:r w:rsidR="004C16F4">
        <w:rPr>
          <w:rStyle w:val="Emphasis"/>
          <w:rFonts w:ascii="Aptos" w:hAnsi="Aptos"/>
          <w:i w:val="0"/>
          <w:iCs w:val="0"/>
        </w:rPr>
        <w:t xml:space="preserve">This includes the power </w:t>
      </w:r>
      <w:r w:rsidR="00E92771">
        <w:rPr>
          <w:rStyle w:val="Emphasis"/>
          <w:rFonts w:ascii="Aptos" w:hAnsi="Aptos"/>
          <w:i w:val="0"/>
          <w:iCs w:val="0"/>
        </w:rPr>
        <w:t>to allocate</w:t>
      </w:r>
      <w:r w:rsidR="004C16F4">
        <w:rPr>
          <w:rStyle w:val="Emphasis"/>
          <w:rFonts w:ascii="Aptos" w:hAnsi="Aptos"/>
          <w:i w:val="0"/>
          <w:iCs w:val="0"/>
        </w:rPr>
        <w:t xml:space="preserve"> Commonwealth Grant Scheme funding/Commonwealth supported places: part 2-2 of </w:t>
      </w:r>
      <w:r w:rsidR="004C16F4">
        <w:rPr>
          <w:rStyle w:val="Emphasis"/>
          <w:rFonts w:ascii="Aptos" w:hAnsi="Aptos"/>
        </w:rPr>
        <w:t>HESA 2003</w:t>
      </w:r>
      <w:r w:rsidR="004C16F4">
        <w:rPr>
          <w:rStyle w:val="Emphasis"/>
          <w:rFonts w:ascii="Aptos" w:hAnsi="Aptos"/>
          <w:i w:val="0"/>
          <w:iCs w:val="0"/>
        </w:rPr>
        <w:t xml:space="preserve">. </w:t>
      </w:r>
    </w:p>
    <w:p w14:paraId="66EC29A6" w14:textId="39D7CFCA" w:rsidR="004211B1" w:rsidRDefault="001454FB" w:rsidP="00E8074E">
      <w:pPr>
        <w:pStyle w:val="NormalWeb"/>
        <w:rPr>
          <w:rStyle w:val="Emphasis"/>
          <w:rFonts w:ascii="Aptos" w:hAnsi="Aptos"/>
          <w:i w:val="0"/>
          <w:iCs w:val="0"/>
        </w:rPr>
      </w:pPr>
      <w:r>
        <w:rPr>
          <w:rStyle w:val="Emphasis"/>
          <w:rFonts w:ascii="Aptos" w:hAnsi="Aptos"/>
          <w:i w:val="0"/>
          <w:iCs w:val="0"/>
        </w:rPr>
        <w:t xml:space="preserve">It is hard to assess </w:t>
      </w:r>
      <w:r w:rsidR="002B43A3">
        <w:rPr>
          <w:rStyle w:val="Emphasis"/>
          <w:rFonts w:ascii="Aptos" w:hAnsi="Aptos"/>
          <w:i w:val="0"/>
          <w:iCs w:val="0"/>
        </w:rPr>
        <w:t xml:space="preserve">these changes to </w:t>
      </w:r>
      <w:r w:rsidR="00986A3D" w:rsidRPr="00986A3D">
        <w:rPr>
          <w:rStyle w:val="Emphasis"/>
          <w:rFonts w:ascii="Aptos" w:hAnsi="Aptos"/>
        </w:rPr>
        <w:t>HESA</w:t>
      </w:r>
      <w:r w:rsidR="00FC7926" w:rsidRPr="00986A3D">
        <w:rPr>
          <w:rStyle w:val="Emphasis"/>
          <w:rFonts w:ascii="Aptos" w:hAnsi="Aptos"/>
        </w:rPr>
        <w:t xml:space="preserve"> </w:t>
      </w:r>
      <w:r w:rsidR="001F092A" w:rsidRPr="00986A3D">
        <w:rPr>
          <w:rStyle w:val="Emphasis"/>
          <w:rFonts w:ascii="Aptos" w:hAnsi="Aptos"/>
        </w:rPr>
        <w:t>2003</w:t>
      </w:r>
      <w:r>
        <w:rPr>
          <w:rStyle w:val="Emphasis"/>
          <w:rFonts w:ascii="Aptos" w:hAnsi="Aptos"/>
        </w:rPr>
        <w:t xml:space="preserve"> </w:t>
      </w:r>
      <w:r w:rsidR="002B43A3">
        <w:rPr>
          <w:rStyle w:val="Emphasis"/>
          <w:rFonts w:ascii="Aptos" w:hAnsi="Aptos"/>
          <w:i w:val="0"/>
          <w:iCs w:val="0"/>
        </w:rPr>
        <w:t xml:space="preserve">without also seeing </w:t>
      </w:r>
      <w:r>
        <w:rPr>
          <w:rStyle w:val="Emphasis"/>
          <w:rFonts w:ascii="Aptos" w:hAnsi="Aptos"/>
          <w:i w:val="0"/>
          <w:iCs w:val="0"/>
        </w:rPr>
        <w:t>amendments to the allocation of student places</w:t>
      </w:r>
      <w:r w:rsidR="00AD1D64">
        <w:rPr>
          <w:rStyle w:val="Emphasis"/>
          <w:rFonts w:ascii="Aptos" w:hAnsi="Aptos"/>
          <w:i w:val="0"/>
          <w:iCs w:val="0"/>
        </w:rPr>
        <w:t xml:space="preserve">. We know that the government </w:t>
      </w:r>
      <w:r w:rsidR="00844D1C">
        <w:rPr>
          <w:rStyle w:val="Emphasis"/>
          <w:rFonts w:ascii="Aptos" w:hAnsi="Aptos"/>
          <w:i w:val="0"/>
          <w:iCs w:val="0"/>
        </w:rPr>
        <w:t>plans more prescriptive</w:t>
      </w:r>
      <w:r w:rsidR="00AD1D64">
        <w:rPr>
          <w:rStyle w:val="Emphasis"/>
          <w:rFonts w:ascii="Aptos" w:hAnsi="Aptos"/>
          <w:i w:val="0"/>
          <w:iCs w:val="0"/>
        </w:rPr>
        <w:t xml:space="preserve"> allocation of Commonwealth supported places </w:t>
      </w:r>
      <w:r w:rsidR="00FC7926">
        <w:rPr>
          <w:rStyle w:val="Emphasis"/>
          <w:rFonts w:ascii="Aptos" w:hAnsi="Aptos"/>
          <w:i w:val="0"/>
          <w:iCs w:val="0"/>
        </w:rPr>
        <w:t>(‘managed growth’)</w:t>
      </w:r>
      <w:r w:rsidR="00E16A85">
        <w:rPr>
          <w:rStyle w:val="Emphasis"/>
          <w:rFonts w:ascii="Aptos" w:hAnsi="Aptos"/>
          <w:i w:val="0"/>
          <w:iCs w:val="0"/>
        </w:rPr>
        <w:t xml:space="preserve">, especially to limit ‘over-enrolments’, universities taking students </w:t>
      </w:r>
      <w:proofErr w:type="gramStart"/>
      <w:r w:rsidR="00E16A85">
        <w:rPr>
          <w:rStyle w:val="Emphasis"/>
          <w:rFonts w:ascii="Aptos" w:hAnsi="Aptos"/>
          <w:i w:val="0"/>
          <w:iCs w:val="0"/>
        </w:rPr>
        <w:t>in excess of</w:t>
      </w:r>
      <w:proofErr w:type="gramEnd"/>
      <w:r w:rsidR="00E16A85">
        <w:rPr>
          <w:rStyle w:val="Emphasis"/>
          <w:rFonts w:ascii="Aptos" w:hAnsi="Aptos"/>
          <w:i w:val="0"/>
          <w:iCs w:val="0"/>
        </w:rPr>
        <w:t xml:space="preserve"> their funding allocation </w:t>
      </w:r>
      <w:sdt>
        <w:sdtPr>
          <w:rPr>
            <w:rStyle w:val="Emphasis"/>
            <w:rFonts w:ascii="Aptos" w:hAnsi="Aptos"/>
            <w:i w:val="0"/>
            <w:iCs w:val="0"/>
            <w:color w:val="000000"/>
          </w:rPr>
          <w:tag w:val="MENDELEY_CITATION_v3_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X1dfQ=="/>
          <w:id w:val="-786506622"/>
          <w:placeholder>
            <w:docPart w:val="DefaultPlaceholder_-1854013440"/>
          </w:placeholder>
        </w:sdtPr>
        <w:sdtContent>
          <w:r w:rsidR="00094A58" w:rsidRPr="00094A58">
            <w:rPr>
              <w:rStyle w:val="Emphasis"/>
              <w:rFonts w:ascii="Aptos" w:hAnsi="Aptos"/>
              <w:i w:val="0"/>
              <w:iCs w:val="0"/>
              <w:color w:val="000000"/>
            </w:rPr>
            <w:t>(DofE, 2024b)</w:t>
          </w:r>
        </w:sdtContent>
      </w:sdt>
      <w:r w:rsidR="00FC7926">
        <w:rPr>
          <w:rStyle w:val="Emphasis"/>
          <w:rFonts w:ascii="Aptos" w:hAnsi="Aptos"/>
          <w:i w:val="0"/>
          <w:iCs w:val="0"/>
        </w:rPr>
        <w:t xml:space="preserve">. </w:t>
      </w:r>
      <w:r w:rsidR="00FC7926">
        <w:rPr>
          <w:rStyle w:val="Emphasis"/>
          <w:rFonts w:ascii="Aptos" w:hAnsi="Aptos"/>
          <w:i w:val="0"/>
          <w:iCs w:val="0"/>
        </w:rPr>
        <w:lastRenderedPageBreak/>
        <w:t xml:space="preserve">We know that </w:t>
      </w:r>
      <w:r w:rsidR="0075793A">
        <w:rPr>
          <w:rStyle w:val="Emphasis"/>
          <w:rFonts w:ascii="Aptos" w:hAnsi="Aptos"/>
          <w:i w:val="0"/>
          <w:iCs w:val="0"/>
        </w:rPr>
        <w:t xml:space="preserve">most </w:t>
      </w:r>
      <w:r w:rsidR="00FC7926">
        <w:rPr>
          <w:rStyle w:val="Emphasis"/>
          <w:rFonts w:ascii="Aptos" w:hAnsi="Aptos"/>
          <w:i w:val="0"/>
          <w:iCs w:val="0"/>
        </w:rPr>
        <w:t xml:space="preserve">equity funding </w:t>
      </w:r>
      <w:r w:rsidR="00E92771">
        <w:rPr>
          <w:rStyle w:val="Emphasis"/>
          <w:rFonts w:ascii="Aptos" w:hAnsi="Aptos"/>
          <w:i w:val="0"/>
          <w:iCs w:val="0"/>
        </w:rPr>
        <w:t>was</w:t>
      </w:r>
      <w:r w:rsidR="00FC7926">
        <w:rPr>
          <w:rStyle w:val="Emphasis"/>
          <w:rFonts w:ascii="Aptos" w:hAnsi="Aptos"/>
          <w:i w:val="0"/>
          <w:iCs w:val="0"/>
        </w:rPr>
        <w:t xml:space="preserve"> converted to needs-based funding</w:t>
      </w:r>
      <w:r w:rsidR="002B43A3">
        <w:rPr>
          <w:rStyle w:val="Emphasis"/>
          <w:rFonts w:ascii="Aptos" w:hAnsi="Aptos"/>
          <w:i w:val="0"/>
          <w:iCs w:val="0"/>
        </w:rPr>
        <w:t xml:space="preserve"> </w:t>
      </w:r>
      <w:r w:rsidR="00E92771">
        <w:rPr>
          <w:rStyle w:val="Emphasis"/>
          <w:rFonts w:ascii="Aptos" w:hAnsi="Aptos"/>
          <w:i w:val="0"/>
          <w:iCs w:val="0"/>
        </w:rPr>
        <w:t>for</w:t>
      </w:r>
      <w:r w:rsidR="002B43A3">
        <w:rPr>
          <w:rStyle w:val="Emphasis"/>
          <w:rFonts w:ascii="Aptos" w:hAnsi="Aptos"/>
          <w:i w:val="0"/>
          <w:iCs w:val="0"/>
        </w:rPr>
        <w:t xml:space="preserve"> 2026, </w:t>
      </w:r>
      <w:r w:rsidR="004211B1">
        <w:rPr>
          <w:rStyle w:val="Emphasis"/>
          <w:rFonts w:ascii="Aptos" w:hAnsi="Aptos"/>
          <w:i w:val="0"/>
          <w:iCs w:val="0"/>
        </w:rPr>
        <w:t xml:space="preserve">with a plan </w:t>
      </w:r>
      <w:r w:rsidR="005F6D92">
        <w:rPr>
          <w:rStyle w:val="Emphasis"/>
          <w:rFonts w:ascii="Aptos" w:hAnsi="Aptos"/>
          <w:i w:val="0"/>
          <w:iCs w:val="0"/>
        </w:rPr>
        <w:t>to link</w:t>
      </w:r>
      <w:r w:rsidR="004211B1">
        <w:rPr>
          <w:rStyle w:val="Emphasis"/>
          <w:rFonts w:ascii="Aptos" w:hAnsi="Aptos"/>
          <w:i w:val="0"/>
          <w:iCs w:val="0"/>
        </w:rPr>
        <w:t xml:space="preserve"> these </w:t>
      </w:r>
      <w:r w:rsidR="002B43A3">
        <w:rPr>
          <w:rStyle w:val="Emphasis"/>
          <w:rFonts w:ascii="Aptos" w:hAnsi="Aptos"/>
          <w:i w:val="0"/>
          <w:iCs w:val="0"/>
        </w:rPr>
        <w:t xml:space="preserve">to enrolments rather than compact conditions. </w:t>
      </w:r>
    </w:p>
    <w:p w14:paraId="69DAFEC8" w14:textId="3B8B5D9C" w:rsidR="001454FB" w:rsidRDefault="004211B1" w:rsidP="00E8074E">
      <w:pPr>
        <w:pStyle w:val="NormalWeb"/>
        <w:rPr>
          <w:rStyle w:val="Emphasis"/>
          <w:rFonts w:ascii="Aptos" w:hAnsi="Aptos"/>
          <w:i w:val="0"/>
          <w:iCs w:val="0"/>
        </w:rPr>
      </w:pPr>
      <w:r>
        <w:rPr>
          <w:rStyle w:val="Emphasis"/>
          <w:rFonts w:ascii="Aptos" w:hAnsi="Aptos"/>
          <w:i w:val="0"/>
          <w:iCs w:val="0"/>
        </w:rPr>
        <w:t>W</w:t>
      </w:r>
      <w:r w:rsidR="00FC7926">
        <w:rPr>
          <w:rStyle w:val="Emphasis"/>
          <w:rFonts w:ascii="Aptos" w:hAnsi="Aptos"/>
          <w:i w:val="0"/>
          <w:iCs w:val="0"/>
        </w:rPr>
        <w:t>e don’t know to what extent</w:t>
      </w:r>
      <w:r w:rsidR="00F21E96">
        <w:rPr>
          <w:rStyle w:val="Emphasis"/>
          <w:rFonts w:ascii="Aptos" w:hAnsi="Aptos"/>
          <w:i w:val="0"/>
          <w:iCs w:val="0"/>
        </w:rPr>
        <w:t xml:space="preserve"> Indigenous, </w:t>
      </w:r>
      <w:r w:rsidR="00FC7926">
        <w:rPr>
          <w:rStyle w:val="Emphasis"/>
          <w:rFonts w:ascii="Aptos" w:hAnsi="Aptos"/>
          <w:i w:val="0"/>
          <w:iCs w:val="0"/>
        </w:rPr>
        <w:t xml:space="preserve">research support, </w:t>
      </w:r>
      <w:r w:rsidR="00F21E96">
        <w:rPr>
          <w:rStyle w:val="Emphasis"/>
          <w:rFonts w:ascii="Aptos" w:hAnsi="Aptos"/>
          <w:i w:val="0"/>
          <w:iCs w:val="0"/>
        </w:rPr>
        <w:t xml:space="preserve">research training, </w:t>
      </w:r>
      <w:r w:rsidR="00FC7926">
        <w:rPr>
          <w:rStyle w:val="Emphasis"/>
          <w:rFonts w:ascii="Aptos" w:hAnsi="Aptos"/>
          <w:i w:val="0"/>
          <w:iCs w:val="0"/>
        </w:rPr>
        <w:t>and research commercialisation funding will move from current funding systems, which are generally performance or project based, to funding negotiated university-by-university</w:t>
      </w:r>
      <w:r w:rsidR="00720099">
        <w:rPr>
          <w:rStyle w:val="Emphasis"/>
          <w:rFonts w:ascii="Aptos" w:hAnsi="Aptos"/>
          <w:i w:val="0"/>
          <w:iCs w:val="0"/>
        </w:rPr>
        <w:t xml:space="preserve"> under compacts. </w:t>
      </w:r>
    </w:p>
    <w:p w14:paraId="3F47C096" w14:textId="77777777" w:rsidR="00096441" w:rsidRDefault="00096441" w:rsidP="00096441">
      <w:pPr>
        <w:pStyle w:val="Heading2"/>
        <w:rPr>
          <w:rStyle w:val="Emphasis"/>
          <w:rFonts w:ascii="Aptos" w:hAnsi="Aptos"/>
          <w:i w:val="0"/>
          <w:iCs w:val="0"/>
        </w:rPr>
      </w:pPr>
      <w:bookmarkStart w:id="43" w:name="_Toc219380911"/>
      <w:r w:rsidRPr="001E78E4">
        <w:rPr>
          <w:rStyle w:val="Emphasis"/>
          <w:rFonts w:ascii="Aptos" w:hAnsi="Aptos"/>
          <w:i w:val="0"/>
          <w:iCs w:val="0"/>
        </w:rPr>
        <w:t>Constraints on ATEC</w:t>
      </w:r>
      <w:bookmarkEnd w:id="43"/>
      <w:r w:rsidRPr="001E78E4">
        <w:rPr>
          <w:rStyle w:val="Emphasis"/>
          <w:rFonts w:ascii="Aptos" w:hAnsi="Aptos"/>
          <w:i w:val="0"/>
          <w:iCs w:val="0"/>
        </w:rPr>
        <w:t xml:space="preserve"> </w:t>
      </w:r>
    </w:p>
    <w:p w14:paraId="34726C8A" w14:textId="77777777" w:rsidR="005F6D92" w:rsidRDefault="00C04EBC" w:rsidP="005F6D92">
      <w:pPr>
        <w:pStyle w:val="Heading3"/>
      </w:pPr>
      <w:bookmarkStart w:id="44" w:name="_Toc219380912"/>
      <w:r>
        <w:t>The Australian Constitution</w:t>
      </w:r>
      <w:bookmarkEnd w:id="44"/>
      <w:r>
        <w:t xml:space="preserve"> </w:t>
      </w:r>
    </w:p>
    <w:p w14:paraId="0F86BFD5" w14:textId="042FAFA8" w:rsidR="00720099" w:rsidRDefault="00932D6A" w:rsidP="005F6D92">
      <w:pPr>
        <w:rPr>
          <w:rStyle w:val="Emphasis"/>
          <w:rFonts w:ascii="Aptos" w:hAnsi="Aptos"/>
          <w:i w:val="0"/>
          <w:iCs w:val="0"/>
        </w:rPr>
      </w:pPr>
      <w:r>
        <w:rPr>
          <w:rStyle w:val="Emphasis"/>
          <w:rFonts w:ascii="Aptos" w:hAnsi="Aptos"/>
          <w:i w:val="0"/>
          <w:iCs w:val="0"/>
        </w:rPr>
        <w:t xml:space="preserve">Section 6 of the bill acknowledges potential ‘constitutional </w:t>
      </w:r>
      <w:proofErr w:type="gramStart"/>
      <w:r>
        <w:rPr>
          <w:rStyle w:val="Emphasis"/>
          <w:rFonts w:ascii="Aptos" w:hAnsi="Aptos"/>
          <w:i w:val="0"/>
          <w:iCs w:val="0"/>
        </w:rPr>
        <w:t>limits’</w:t>
      </w:r>
      <w:proofErr w:type="gramEnd"/>
      <w:r w:rsidR="005F41E9">
        <w:rPr>
          <w:rStyle w:val="Emphasis"/>
          <w:rFonts w:ascii="Aptos" w:hAnsi="Aptos"/>
          <w:i w:val="0"/>
          <w:iCs w:val="0"/>
        </w:rPr>
        <w:t>.</w:t>
      </w:r>
      <w:r w:rsidR="002878BD">
        <w:rPr>
          <w:rStyle w:val="Emphasis"/>
          <w:rFonts w:ascii="Aptos" w:hAnsi="Aptos"/>
          <w:i w:val="0"/>
          <w:iCs w:val="0"/>
        </w:rPr>
        <w:t xml:space="preserve"> </w:t>
      </w:r>
      <w:r w:rsidR="0089051A">
        <w:rPr>
          <w:rStyle w:val="Emphasis"/>
          <w:rFonts w:ascii="Aptos" w:hAnsi="Aptos"/>
          <w:i w:val="0"/>
          <w:iCs w:val="0"/>
        </w:rPr>
        <w:t xml:space="preserve">A principle of Commonwealth legislative interpretation is that Acts cannot exceed the Commonwealth’s legislative power: section 15A </w:t>
      </w:r>
      <w:r w:rsidR="0089051A" w:rsidRPr="0089051A">
        <w:rPr>
          <w:rStyle w:val="Emphasis"/>
          <w:rFonts w:ascii="Aptos" w:hAnsi="Aptos"/>
        </w:rPr>
        <w:t>Acts Interpretation Act 2001</w:t>
      </w:r>
      <w:r w:rsidR="0089051A">
        <w:rPr>
          <w:rStyle w:val="Emphasis"/>
          <w:rFonts w:ascii="Aptos" w:hAnsi="Aptos"/>
          <w:i w:val="0"/>
          <w:iCs w:val="0"/>
        </w:rPr>
        <w:t>.</w:t>
      </w:r>
      <w:r w:rsidR="002878BD">
        <w:rPr>
          <w:rStyle w:val="Emphasis"/>
          <w:rFonts w:ascii="Aptos" w:hAnsi="Aptos"/>
          <w:i w:val="0"/>
          <w:iCs w:val="0"/>
        </w:rPr>
        <w:t xml:space="preserve"> </w:t>
      </w:r>
      <w:r w:rsidR="00720099">
        <w:rPr>
          <w:rStyle w:val="Emphasis"/>
          <w:rFonts w:ascii="Aptos" w:hAnsi="Aptos"/>
          <w:i w:val="0"/>
          <w:iCs w:val="0"/>
        </w:rPr>
        <w:t xml:space="preserve">Consequently, neither the minister nor ATEC could set priorities or take other actions that would exceed the Commonwealth’s constitutional authority. </w:t>
      </w:r>
    </w:p>
    <w:p w14:paraId="2615F3B9" w14:textId="7CC246F9" w:rsidR="00C04EBC" w:rsidRDefault="00C04EBC" w:rsidP="00932D6A">
      <w:pPr>
        <w:pStyle w:val="NormalWeb"/>
        <w:rPr>
          <w:rStyle w:val="Emphasis"/>
          <w:rFonts w:ascii="Aptos" w:hAnsi="Aptos"/>
          <w:i w:val="0"/>
          <w:iCs w:val="0"/>
        </w:rPr>
      </w:pPr>
      <w:r>
        <w:rPr>
          <w:rStyle w:val="Emphasis"/>
          <w:rFonts w:ascii="Aptos" w:hAnsi="Aptos"/>
          <w:i w:val="0"/>
          <w:iCs w:val="0"/>
        </w:rPr>
        <w:t xml:space="preserve">The Australian Constitution </w:t>
      </w:r>
      <w:r w:rsidR="00720099">
        <w:rPr>
          <w:rStyle w:val="Emphasis"/>
          <w:rFonts w:ascii="Aptos" w:hAnsi="Aptos"/>
          <w:i w:val="0"/>
          <w:iCs w:val="0"/>
        </w:rPr>
        <w:t xml:space="preserve">contains </w:t>
      </w:r>
      <w:r w:rsidR="005F41E9">
        <w:rPr>
          <w:rStyle w:val="Emphasis"/>
          <w:rFonts w:ascii="Aptos" w:hAnsi="Aptos"/>
          <w:i w:val="0"/>
          <w:iCs w:val="0"/>
        </w:rPr>
        <w:t>no</w:t>
      </w:r>
      <w:r>
        <w:rPr>
          <w:rStyle w:val="Emphasis"/>
          <w:rFonts w:ascii="Aptos" w:hAnsi="Aptos"/>
          <w:i w:val="0"/>
          <w:iCs w:val="0"/>
        </w:rPr>
        <w:t xml:space="preserve"> express power to legislate for education. The ATEC bill</w:t>
      </w:r>
      <w:r w:rsidR="00932D6A">
        <w:rPr>
          <w:rStyle w:val="Emphasis"/>
          <w:rFonts w:ascii="Aptos" w:hAnsi="Aptos"/>
          <w:i w:val="0"/>
          <w:iCs w:val="0"/>
        </w:rPr>
        <w:t xml:space="preserve"> nominates as </w:t>
      </w:r>
      <w:r>
        <w:rPr>
          <w:rStyle w:val="Emphasis"/>
          <w:rFonts w:ascii="Aptos" w:hAnsi="Aptos"/>
          <w:i w:val="0"/>
          <w:iCs w:val="0"/>
        </w:rPr>
        <w:t>its constitutional</w:t>
      </w:r>
      <w:r w:rsidR="00932D6A">
        <w:rPr>
          <w:rStyle w:val="Emphasis"/>
          <w:rFonts w:ascii="Aptos" w:hAnsi="Aptos"/>
          <w:i w:val="0"/>
          <w:iCs w:val="0"/>
        </w:rPr>
        <w:t xml:space="preserve"> basis the executive power of the Commonwealth, the </w:t>
      </w:r>
      <w:proofErr w:type="gramStart"/>
      <w:r w:rsidR="00932D6A">
        <w:rPr>
          <w:rStyle w:val="Emphasis"/>
          <w:rFonts w:ascii="Aptos" w:hAnsi="Aptos"/>
          <w:i w:val="0"/>
          <w:iCs w:val="0"/>
        </w:rPr>
        <w:t>corporations</w:t>
      </w:r>
      <w:proofErr w:type="gramEnd"/>
      <w:r w:rsidR="00932D6A">
        <w:rPr>
          <w:rStyle w:val="Emphasis"/>
          <w:rFonts w:ascii="Aptos" w:hAnsi="Aptos"/>
          <w:i w:val="0"/>
          <w:iCs w:val="0"/>
        </w:rPr>
        <w:t xml:space="preserve"> power and the race power. </w:t>
      </w:r>
      <w:r w:rsidR="005F41E9">
        <w:rPr>
          <w:rStyle w:val="Emphasis"/>
          <w:rFonts w:ascii="Aptos" w:hAnsi="Aptos"/>
          <w:i w:val="0"/>
          <w:iCs w:val="0"/>
        </w:rPr>
        <w:t xml:space="preserve">The executive and </w:t>
      </w:r>
      <w:proofErr w:type="gramStart"/>
      <w:r w:rsidR="005F41E9">
        <w:rPr>
          <w:rStyle w:val="Emphasis"/>
          <w:rFonts w:ascii="Aptos" w:hAnsi="Aptos"/>
          <w:i w:val="0"/>
          <w:iCs w:val="0"/>
        </w:rPr>
        <w:t>corporations</w:t>
      </w:r>
      <w:proofErr w:type="gramEnd"/>
      <w:r w:rsidR="00932D6A">
        <w:rPr>
          <w:rStyle w:val="Emphasis"/>
          <w:rFonts w:ascii="Aptos" w:hAnsi="Aptos"/>
          <w:i w:val="0"/>
          <w:iCs w:val="0"/>
        </w:rPr>
        <w:t xml:space="preserve"> powers can be quite broad. </w:t>
      </w:r>
      <w:r>
        <w:rPr>
          <w:rStyle w:val="Emphasis"/>
          <w:rFonts w:ascii="Aptos" w:hAnsi="Aptos"/>
          <w:i w:val="0"/>
          <w:iCs w:val="0"/>
        </w:rPr>
        <w:t xml:space="preserve">While the </w:t>
      </w:r>
      <w:proofErr w:type="gramStart"/>
      <w:r>
        <w:rPr>
          <w:rStyle w:val="Emphasis"/>
          <w:rFonts w:ascii="Aptos" w:hAnsi="Aptos"/>
          <w:i w:val="0"/>
          <w:iCs w:val="0"/>
        </w:rPr>
        <w:t>corporations</w:t>
      </w:r>
      <w:proofErr w:type="gramEnd"/>
      <w:r>
        <w:rPr>
          <w:rStyle w:val="Emphasis"/>
          <w:rFonts w:ascii="Aptos" w:hAnsi="Aptos"/>
          <w:i w:val="0"/>
          <w:iCs w:val="0"/>
        </w:rPr>
        <w:t xml:space="preserve"> power </w:t>
      </w:r>
      <w:r w:rsidR="005F41E9">
        <w:rPr>
          <w:rStyle w:val="Emphasis"/>
          <w:rFonts w:ascii="Aptos" w:hAnsi="Aptos"/>
          <w:i w:val="0"/>
          <w:iCs w:val="0"/>
        </w:rPr>
        <w:t>is already</w:t>
      </w:r>
      <w:r>
        <w:rPr>
          <w:rStyle w:val="Emphasis"/>
          <w:rFonts w:ascii="Aptos" w:hAnsi="Aptos"/>
          <w:i w:val="0"/>
          <w:iCs w:val="0"/>
        </w:rPr>
        <w:t xml:space="preserve"> used to regulate universities, </w:t>
      </w:r>
      <w:proofErr w:type="gramStart"/>
      <w:r>
        <w:rPr>
          <w:rStyle w:val="Emphasis"/>
          <w:rFonts w:ascii="Aptos" w:hAnsi="Aptos"/>
          <w:i w:val="0"/>
          <w:iCs w:val="0"/>
        </w:rPr>
        <w:t>mission based</w:t>
      </w:r>
      <w:proofErr w:type="gramEnd"/>
      <w:r>
        <w:rPr>
          <w:rStyle w:val="Emphasis"/>
          <w:rFonts w:ascii="Aptos" w:hAnsi="Aptos"/>
          <w:i w:val="0"/>
          <w:iCs w:val="0"/>
        </w:rPr>
        <w:t xml:space="preserve"> compacts that set different requirements for different universities </w:t>
      </w:r>
      <w:r w:rsidR="005F41E9">
        <w:rPr>
          <w:rStyle w:val="Emphasis"/>
          <w:rFonts w:ascii="Aptos" w:hAnsi="Aptos"/>
          <w:i w:val="0"/>
          <w:iCs w:val="0"/>
        </w:rPr>
        <w:t>look</w:t>
      </w:r>
      <w:r w:rsidR="004211B1">
        <w:rPr>
          <w:rStyle w:val="Emphasis"/>
          <w:rFonts w:ascii="Aptos" w:hAnsi="Aptos"/>
          <w:i w:val="0"/>
          <w:iCs w:val="0"/>
        </w:rPr>
        <w:t xml:space="preserve"> more</w:t>
      </w:r>
      <w:r w:rsidR="005F41E9">
        <w:rPr>
          <w:rStyle w:val="Emphasis"/>
          <w:rFonts w:ascii="Aptos" w:hAnsi="Aptos"/>
          <w:i w:val="0"/>
          <w:iCs w:val="0"/>
        </w:rPr>
        <w:t xml:space="preserve"> like</w:t>
      </w:r>
      <w:r>
        <w:rPr>
          <w:rStyle w:val="Emphasis"/>
          <w:rFonts w:ascii="Aptos" w:hAnsi="Aptos"/>
          <w:i w:val="0"/>
          <w:iCs w:val="0"/>
        </w:rPr>
        <w:t xml:space="preserve"> management than regulation. </w:t>
      </w:r>
    </w:p>
    <w:p w14:paraId="4D37F610" w14:textId="13404CB9" w:rsidR="00E92771" w:rsidRDefault="00E92771" w:rsidP="00932D6A">
      <w:pPr>
        <w:pStyle w:val="NormalWeb"/>
        <w:rPr>
          <w:rStyle w:val="Emphasis"/>
          <w:rFonts w:ascii="Aptos" w:hAnsi="Aptos"/>
          <w:i w:val="0"/>
          <w:iCs w:val="0"/>
        </w:rPr>
      </w:pPr>
      <w:r>
        <w:rPr>
          <w:rStyle w:val="Emphasis"/>
          <w:rFonts w:ascii="Aptos" w:hAnsi="Aptos"/>
          <w:i w:val="0"/>
          <w:iCs w:val="0"/>
        </w:rPr>
        <w:t>Recommendation:</w:t>
      </w:r>
    </w:p>
    <w:p w14:paraId="17B8A257" w14:textId="77777777" w:rsidR="00E92771" w:rsidRDefault="00E92771" w:rsidP="00E92771">
      <w:pPr>
        <w:pStyle w:val="NormalWeb"/>
        <w:rPr>
          <w:rFonts w:ascii="Aptos" w:hAnsi="Aptos"/>
        </w:rPr>
      </w:pPr>
      <w:r>
        <w:rPr>
          <w:rFonts w:ascii="Aptos" w:hAnsi="Aptos"/>
        </w:rPr>
        <w:t xml:space="preserve">A constitutional lawyer should be asked to give evidence on what limits the Constitution imposes on ATEC. </w:t>
      </w:r>
    </w:p>
    <w:p w14:paraId="68B8FBE1" w14:textId="77777777" w:rsidR="00BA18CF" w:rsidRDefault="00E92771" w:rsidP="00BA18CF">
      <w:pPr>
        <w:pStyle w:val="Heading3"/>
      </w:pPr>
      <w:bookmarkStart w:id="45" w:name="_Toc219380913"/>
      <w:r>
        <w:t>C</w:t>
      </w:r>
      <w:r w:rsidR="0086361B">
        <w:t xml:space="preserve">onstraints on compact </w:t>
      </w:r>
      <w:r w:rsidR="009B27B2">
        <w:t>decisions</w:t>
      </w:r>
      <w:bookmarkEnd w:id="45"/>
    </w:p>
    <w:p w14:paraId="435D2097" w14:textId="3265068C" w:rsidR="00096441" w:rsidRPr="00E8074E" w:rsidRDefault="004211B1" w:rsidP="00BA18CF">
      <w:r>
        <w:t xml:space="preserve">Under the ATEC bill, </w:t>
      </w:r>
      <w:r w:rsidR="00096441" w:rsidRPr="00E8074E">
        <w:t xml:space="preserve">ATEC </w:t>
      </w:r>
      <w:r w:rsidR="00844D1C">
        <w:t>must</w:t>
      </w:r>
      <w:r w:rsidR="00096441" w:rsidRPr="00E8074E">
        <w:t xml:space="preserve"> 'consider', but not necessarily </w:t>
      </w:r>
      <w:r w:rsidR="00844D1C">
        <w:t xml:space="preserve">let </w:t>
      </w:r>
      <w:r w:rsidR="00096441">
        <w:t>influence its decision</w:t>
      </w:r>
      <w:r w:rsidR="00096441" w:rsidRPr="00E8074E">
        <w:t xml:space="preserve">, the </w:t>
      </w:r>
      <w:r w:rsidR="00720099">
        <w:t>‘</w:t>
      </w:r>
      <w:r w:rsidR="00096441" w:rsidRPr="00E8074E">
        <w:t>goals, mission, strategic plan, geographic location and local community' of the provider: section 29(2)(c).</w:t>
      </w:r>
    </w:p>
    <w:p w14:paraId="66B81081" w14:textId="6AEE66D7" w:rsidR="00096441" w:rsidRPr="00E8074E" w:rsidRDefault="00096441" w:rsidP="00096441">
      <w:pPr>
        <w:pStyle w:val="NormalWeb"/>
        <w:rPr>
          <w:rFonts w:ascii="Aptos" w:hAnsi="Aptos"/>
        </w:rPr>
      </w:pPr>
      <w:r w:rsidRPr="00E8074E">
        <w:rPr>
          <w:rFonts w:ascii="Aptos" w:hAnsi="Aptos"/>
        </w:rPr>
        <w:t xml:space="preserve">ATEC </w:t>
      </w:r>
      <w:r w:rsidR="00844D1C">
        <w:rPr>
          <w:rFonts w:ascii="Aptos" w:hAnsi="Aptos"/>
        </w:rPr>
        <w:t>must</w:t>
      </w:r>
      <w:r w:rsidRPr="00E8074E">
        <w:rPr>
          <w:rFonts w:ascii="Aptos" w:hAnsi="Aptos"/>
        </w:rPr>
        <w:t xml:space="preserve"> 'consider', but not necessarily </w:t>
      </w:r>
      <w:r w:rsidR="00844D1C">
        <w:rPr>
          <w:rFonts w:ascii="Aptos" w:hAnsi="Aptos"/>
        </w:rPr>
        <w:t xml:space="preserve">let </w:t>
      </w:r>
      <w:r>
        <w:rPr>
          <w:rFonts w:ascii="Aptos" w:hAnsi="Aptos"/>
        </w:rPr>
        <w:t>influence its decision</w:t>
      </w:r>
      <w:r w:rsidRPr="00E8074E">
        <w:rPr>
          <w:rFonts w:ascii="Aptos" w:hAnsi="Aptos"/>
        </w:rPr>
        <w:t xml:space="preserve">, 'the effect (if any) the </w:t>
      </w:r>
      <w:r w:rsidR="00720099">
        <w:rPr>
          <w:rFonts w:ascii="Aptos" w:hAnsi="Aptos"/>
        </w:rPr>
        <w:t xml:space="preserve">[compact’s] </w:t>
      </w:r>
      <w:r w:rsidRPr="00E8074E">
        <w:rPr>
          <w:rFonts w:ascii="Aptos" w:hAnsi="Aptos"/>
        </w:rPr>
        <w:t>proposed terms may have on the academic freedom of the provider': section 29(2)</w:t>
      </w:r>
      <w:r w:rsidR="00720099">
        <w:rPr>
          <w:rFonts w:ascii="Aptos" w:hAnsi="Aptos"/>
        </w:rPr>
        <w:t>(</w:t>
      </w:r>
      <w:r w:rsidRPr="00E8074E">
        <w:rPr>
          <w:rFonts w:ascii="Aptos" w:hAnsi="Aptos"/>
        </w:rPr>
        <w:t xml:space="preserve">e). This use of 'academic freedom' is a cross-reference to the </w:t>
      </w:r>
      <w:r w:rsidRPr="00E8074E">
        <w:rPr>
          <w:rStyle w:val="Emphasis"/>
          <w:rFonts w:ascii="Aptos" w:hAnsi="Aptos"/>
        </w:rPr>
        <w:t>Higher Education Support Act 2003</w:t>
      </w:r>
      <w:r w:rsidRPr="00E8074E">
        <w:rPr>
          <w:rFonts w:ascii="Aptos" w:hAnsi="Aptos"/>
        </w:rPr>
        <w:t xml:space="preserve"> definition that includes 'the autonomy of the higher education provider in relation to the choice of academic courses and offerings, the ways in which they are taught and the choices of research activities and the ways in which they are conducted.'</w:t>
      </w:r>
    </w:p>
    <w:p w14:paraId="377CAB81" w14:textId="64B56A17" w:rsidR="00096441" w:rsidRDefault="00844D1C" w:rsidP="009B27B2">
      <w:pPr>
        <w:pStyle w:val="NormalWeb"/>
        <w:rPr>
          <w:rFonts w:ascii="Aptos" w:hAnsi="Aptos"/>
        </w:rPr>
      </w:pPr>
      <w:r>
        <w:rPr>
          <w:rFonts w:ascii="Aptos" w:hAnsi="Aptos"/>
        </w:rPr>
        <w:t>J</w:t>
      </w:r>
      <w:r w:rsidR="00096441" w:rsidRPr="00E8074E">
        <w:rPr>
          <w:rFonts w:ascii="Aptos" w:hAnsi="Aptos"/>
        </w:rPr>
        <w:t>ust having to 'consider' these things provide</w:t>
      </w:r>
      <w:r w:rsidR="00E745E6">
        <w:rPr>
          <w:rFonts w:ascii="Aptos" w:hAnsi="Aptos"/>
        </w:rPr>
        <w:t>s</w:t>
      </w:r>
      <w:r w:rsidR="00096441" w:rsidRPr="00E8074E">
        <w:rPr>
          <w:rFonts w:ascii="Aptos" w:hAnsi="Aptos"/>
        </w:rPr>
        <w:t xml:space="preserve"> </w:t>
      </w:r>
      <w:r w:rsidR="00E745E6">
        <w:rPr>
          <w:rFonts w:ascii="Aptos" w:hAnsi="Aptos"/>
        </w:rPr>
        <w:t>no</w:t>
      </w:r>
      <w:r w:rsidR="00096441" w:rsidRPr="00E8074E">
        <w:rPr>
          <w:rFonts w:ascii="Aptos" w:hAnsi="Aptos"/>
        </w:rPr>
        <w:t xml:space="preserve"> workable legal remedy if ATEC ignore</w:t>
      </w:r>
      <w:r w:rsidR="007C6624">
        <w:rPr>
          <w:rFonts w:ascii="Aptos" w:hAnsi="Aptos"/>
        </w:rPr>
        <w:t>s</w:t>
      </w:r>
      <w:r w:rsidR="00096441" w:rsidRPr="00E8074E">
        <w:rPr>
          <w:rFonts w:ascii="Aptos" w:hAnsi="Aptos"/>
        </w:rPr>
        <w:t xml:space="preserve"> the provider's mission or breach</w:t>
      </w:r>
      <w:r w:rsidR="007C6624">
        <w:rPr>
          <w:rFonts w:ascii="Aptos" w:hAnsi="Aptos"/>
        </w:rPr>
        <w:t>es</w:t>
      </w:r>
      <w:r w:rsidR="00096441" w:rsidRPr="00E8074E">
        <w:rPr>
          <w:rFonts w:ascii="Aptos" w:hAnsi="Aptos"/>
        </w:rPr>
        <w:t xml:space="preserve"> the</w:t>
      </w:r>
      <w:r w:rsidR="007C6624">
        <w:rPr>
          <w:rFonts w:ascii="Aptos" w:hAnsi="Aptos"/>
        </w:rPr>
        <w:t xml:space="preserve"> provider’s</w:t>
      </w:r>
      <w:r w:rsidR="00096441" w:rsidRPr="00E8074E">
        <w:rPr>
          <w:rFonts w:ascii="Aptos" w:hAnsi="Aptos"/>
        </w:rPr>
        <w:t xml:space="preserve"> 'academic freedom'.</w:t>
      </w:r>
      <w:r w:rsidR="00096441">
        <w:rPr>
          <w:rFonts w:ascii="Aptos" w:hAnsi="Aptos"/>
        </w:rPr>
        <w:t xml:space="preserve"> ATEC could just say that it considered the</w:t>
      </w:r>
      <w:r w:rsidR="00E745E6">
        <w:rPr>
          <w:rFonts w:ascii="Aptos" w:hAnsi="Aptos"/>
        </w:rPr>
        <w:t>se matters</w:t>
      </w:r>
      <w:r w:rsidR="00096441">
        <w:rPr>
          <w:rFonts w:ascii="Aptos" w:hAnsi="Aptos"/>
        </w:rPr>
        <w:t xml:space="preserve"> but decided against them influencing its </w:t>
      </w:r>
      <w:r w:rsidR="00E92771">
        <w:rPr>
          <w:rFonts w:ascii="Aptos" w:hAnsi="Aptos"/>
        </w:rPr>
        <w:t>decision.</w:t>
      </w:r>
    </w:p>
    <w:p w14:paraId="1EB3E294" w14:textId="45220A8F" w:rsidR="00720099" w:rsidRDefault="00720099" w:rsidP="00720099">
      <w:pPr>
        <w:pStyle w:val="Heading3"/>
      </w:pPr>
      <w:bookmarkStart w:id="46" w:name="_Toc219380914"/>
      <w:r>
        <w:t>Constraints coming from other legislation</w:t>
      </w:r>
      <w:bookmarkEnd w:id="46"/>
      <w:r>
        <w:t xml:space="preserve"> </w:t>
      </w:r>
    </w:p>
    <w:p w14:paraId="45FBED62" w14:textId="7F4B45D9" w:rsidR="00720099" w:rsidRDefault="004211B1" w:rsidP="00720099">
      <w:pPr>
        <w:rPr>
          <w:rFonts w:ascii="Calibri" w:hAnsi="Calibri" w:cs="Calibri"/>
          <w:color w:val="000000"/>
        </w:rPr>
      </w:pPr>
      <w:r>
        <w:t xml:space="preserve">Mission based compacts appear to give ATEC very wide powers over universities. Exercise of these powers may conflict with </w:t>
      </w:r>
      <w:r w:rsidR="00720099">
        <w:t xml:space="preserve">other legislation </w:t>
      </w:r>
      <w:r>
        <w:t xml:space="preserve">that </w:t>
      </w:r>
      <w:r w:rsidR="00720099">
        <w:t xml:space="preserve">gives universities a specific power </w:t>
      </w:r>
      <w:r w:rsidR="00720099">
        <w:lastRenderedPageBreak/>
        <w:t>to do something or specifically prohibits the</w:t>
      </w:r>
      <w:r>
        <w:t>m</w:t>
      </w:r>
      <w:r w:rsidR="00720099">
        <w:t xml:space="preserve"> from doing something</w:t>
      </w:r>
      <w:r>
        <w:t>. A</w:t>
      </w:r>
      <w:r w:rsidR="00720099">
        <w:t xml:space="preserve"> principle of statutory interpretation </w:t>
      </w:r>
      <w:r w:rsidR="00BA18CF">
        <w:t xml:space="preserve">is </w:t>
      </w:r>
      <w:r w:rsidR="00720099">
        <w:t xml:space="preserve">that a general provision will not over-rule a specific provision </w:t>
      </w:r>
      <w:sdt>
        <w:sdtPr>
          <w:rPr>
            <w:rFonts w:ascii="Calibri" w:hAnsi="Calibri" w:cs="Calibri"/>
            <w:color w:val="000000"/>
          </w:rPr>
          <w:tag w:val="MENDELEY_CITATION_v3_eyJjaXRhdGlvbklEIjoiTUVOREVMRVlfQ0lUQVRJT05fMmZiMmNjZDItMjNiZS00MTVjLWFiOGUtOTI5ZGY5MThjMWIwIiwicHJvcGVydGllcyI6eyJub3RlSW5kZXgiOjB9LCJpc0VkaXRlZCI6ZmFsc2UsIm1hbnVhbE92ZXJyaWRlIjp7ImlzTWFudWFsbHlPdmVycmlkZGVuIjpmYWxzZSwiY2l0ZXByb2NUZXh0IjoiKFBlYXJjZSwgMjAyNCwgcHAuIDMzNuKAkzM0MC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MzNi0zNDAifV19"/>
          <w:id w:val="710699784"/>
          <w:placeholder>
            <w:docPart w:val="DefaultPlaceholder_-1854013440"/>
          </w:placeholder>
        </w:sdtPr>
        <w:sdtContent>
          <w:r w:rsidR="00094A58" w:rsidRPr="00094A58">
            <w:rPr>
              <w:rFonts w:ascii="Calibri" w:hAnsi="Calibri" w:cs="Calibri"/>
              <w:color w:val="000000"/>
            </w:rPr>
            <w:t>(Pearce, 2024, pp. 336–340)</w:t>
          </w:r>
        </w:sdtContent>
      </w:sdt>
      <w:r>
        <w:t>.</w:t>
      </w:r>
      <w:r w:rsidR="00BA18CF">
        <w:t xml:space="preserve"> </w:t>
      </w:r>
      <w:proofErr w:type="gramStart"/>
      <w:r w:rsidR="00BA18CF">
        <w:t>Consequently</w:t>
      </w:r>
      <w:proofErr w:type="gramEnd"/>
      <w:r w:rsidR="00BA18CF">
        <w:t xml:space="preserve"> the broad power to set the terms of a </w:t>
      </w:r>
      <w:proofErr w:type="gramStart"/>
      <w:r w:rsidR="00BA18CF">
        <w:t>mission based</w:t>
      </w:r>
      <w:proofErr w:type="gramEnd"/>
      <w:r w:rsidR="00BA18CF">
        <w:t xml:space="preserve"> compact </w:t>
      </w:r>
      <w:r w:rsidR="00E80DF0">
        <w:t>w</w:t>
      </w:r>
      <w:r w:rsidR="00BA18CF">
        <w:t xml:space="preserve">ould not over-ride a specific statutory power. </w:t>
      </w:r>
    </w:p>
    <w:p w14:paraId="430D2BAB" w14:textId="77777777" w:rsidR="004211B1" w:rsidRPr="00720099" w:rsidRDefault="004211B1" w:rsidP="00720099"/>
    <w:p w14:paraId="733529F0" w14:textId="77777777" w:rsidR="00BA18CF" w:rsidRDefault="0086361B" w:rsidP="00BA18CF">
      <w:pPr>
        <w:pStyle w:val="Heading3"/>
      </w:pPr>
      <w:bookmarkStart w:id="47" w:name="_Toc219380915"/>
      <w:r>
        <w:t>Constraints in the current funding system</w:t>
      </w:r>
      <w:bookmarkEnd w:id="47"/>
    </w:p>
    <w:p w14:paraId="44CC3580" w14:textId="6D26591A" w:rsidR="00096441" w:rsidRDefault="00096441" w:rsidP="00BA18CF">
      <w:r>
        <w:t>The constraints on ATEC’s powers are weaker than apply to the current funding agreements. These include</w:t>
      </w:r>
      <w:r w:rsidR="00E92771">
        <w:t>:</w:t>
      </w:r>
    </w:p>
    <w:p w14:paraId="692D4DD5" w14:textId="70239B70" w:rsidR="00096441" w:rsidRDefault="00BA18CF" w:rsidP="00096441">
      <w:pPr>
        <w:pStyle w:val="NormalWeb"/>
        <w:numPr>
          <w:ilvl w:val="0"/>
          <w:numId w:val="24"/>
        </w:numPr>
        <w:rPr>
          <w:rFonts w:ascii="Aptos" w:hAnsi="Aptos"/>
        </w:rPr>
      </w:pPr>
      <w:r>
        <w:rPr>
          <w:rFonts w:ascii="Aptos" w:hAnsi="Aptos"/>
        </w:rPr>
        <w:t>Funding agreement c</w:t>
      </w:r>
      <w:r w:rsidR="00096441">
        <w:rPr>
          <w:rFonts w:ascii="Aptos" w:hAnsi="Aptos"/>
        </w:rPr>
        <w:t>onditions cannot relate to industrial relations matters: section 30-25(2B)</w:t>
      </w:r>
      <w:r w:rsidR="00A87A57">
        <w:rPr>
          <w:rFonts w:ascii="Aptos" w:hAnsi="Aptos"/>
        </w:rPr>
        <w:t xml:space="preserve">, </w:t>
      </w:r>
      <w:r w:rsidR="00A87A57">
        <w:rPr>
          <w:rFonts w:ascii="Aptos" w:hAnsi="Aptos"/>
          <w:i/>
          <w:iCs/>
        </w:rPr>
        <w:t>HESA 2003</w:t>
      </w:r>
      <w:r w:rsidR="00096441">
        <w:rPr>
          <w:rFonts w:ascii="Aptos" w:hAnsi="Aptos"/>
        </w:rPr>
        <w:t xml:space="preserve">. </w:t>
      </w:r>
      <w:r w:rsidR="00A87A57">
        <w:rPr>
          <w:rFonts w:ascii="Aptos" w:hAnsi="Aptos"/>
        </w:rPr>
        <w:t>T</w:t>
      </w:r>
      <w:r w:rsidR="00096441">
        <w:rPr>
          <w:rFonts w:ascii="Aptos" w:hAnsi="Aptos"/>
        </w:rPr>
        <w:t xml:space="preserve">he National Student Ombudsman legislation </w:t>
      </w:r>
      <w:r w:rsidR="00A87A57">
        <w:rPr>
          <w:rFonts w:ascii="Aptos" w:hAnsi="Aptos"/>
        </w:rPr>
        <w:t xml:space="preserve">similarly </w:t>
      </w:r>
      <w:r w:rsidR="00096441">
        <w:rPr>
          <w:rFonts w:ascii="Aptos" w:hAnsi="Aptos"/>
        </w:rPr>
        <w:t>p</w:t>
      </w:r>
      <w:r w:rsidR="00A87A57">
        <w:rPr>
          <w:rFonts w:ascii="Aptos" w:hAnsi="Aptos"/>
        </w:rPr>
        <w:t xml:space="preserve">uts </w:t>
      </w:r>
      <w:r w:rsidR="00096441">
        <w:rPr>
          <w:rFonts w:ascii="Aptos" w:hAnsi="Aptos"/>
        </w:rPr>
        <w:t>employment matters largely beyond NSO review: section 21</w:t>
      </w:r>
      <w:proofErr w:type="gramStart"/>
      <w:r w:rsidR="00096441">
        <w:rPr>
          <w:rFonts w:ascii="Aptos" w:hAnsi="Aptos"/>
        </w:rPr>
        <w:t>AD(</w:t>
      </w:r>
      <w:proofErr w:type="gramEnd"/>
      <w:r w:rsidR="00096441">
        <w:rPr>
          <w:rFonts w:ascii="Aptos" w:hAnsi="Aptos"/>
        </w:rPr>
        <w:t xml:space="preserve">3) of the </w:t>
      </w:r>
      <w:r w:rsidR="00096441" w:rsidRPr="00A8666D">
        <w:rPr>
          <w:rFonts w:ascii="Aptos" w:hAnsi="Aptos"/>
          <w:i/>
          <w:iCs/>
        </w:rPr>
        <w:t>Ombudsman Act 1976</w:t>
      </w:r>
      <w:r w:rsidR="00096441">
        <w:rPr>
          <w:rFonts w:ascii="Aptos" w:hAnsi="Aptos"/>
        </w:rPr>
        <w:t>. Given the history of concerns about government interference in industrial matters that le</w:t>
      </w:r>
      <w:r w:rsidR="00A87A57">
        <w:rPr>
          <w:rFonts w:ascii="Aptos" w:hAnsi="Aptos"/>
        </w:rPr>
        <w:t>d</w:t>
      </w:r>
      <w:r w:rsidR="00096441">
        <w:rPr>
          <w:rFonts w:ascii="Aptos" w:hAnsi="Aptos"/>
        </w:rPr>
        <w:t xml:space="preserve"> to section 30-25(2B) such provisions should be added to the ATEC bill. </w:t>
      </w:r>
    </w:p>
    <w:p w14:paraId="0A0FD885" w14:textId="554F928F" w:rsidR="00096441" w:rsidRDefault="00BA18CF" w:rsidP="00096441">
      <w:pPr>
        <w:pStyle w:val="NormalWeb"/>
        <w:numPr>
          <w:ilvl w:val="0"/>
          <w:numId w:val="24"/>
        </w:numPr>
        <w:rPr>
          <w:rFonts w:ascii="Aptos" w:hAnsi="Aptos"/>
        </w:rPr>
      </w:pPr>
      <w:r>
        <w:rPr>
          <w:rFonts w:ascii="Aptos" w:hAnsi="Aptos"/>
        </w:rPr>
        <w:t>Funding agreements cannot include c</w:t>
      </w:r>
      <w:r w:rsidR="00096441">
        <w:rPr>
          <w:rFonts w:ascii="Aptos" w:hAnsi="Aptos"/>
        </w:rPr>
        <w:t xml:space="preserve">onditions relating </w:t>
      </w:r>
      <w:r w:rsidR="007C6624">
        <w:rPr>
          <w:rFonts w:ascii="Aptos" w:hAnsi="Aptos"/>
        </w:rPr>
        <w:t xml:space="preserve">to </w:t>
      </w:r>
      <w:r w:rsidR="00096441">
        <w:rPr>
          <w:rFonts w:ascii="Aptos" w:hAnsi="Aptos"/>
        </w:rPr>
        <w:t xml:space="preserve">matters for which the minister could have </w:t>
      </w:r>
      <w:proofErr w:type="gramStart"/>
      <w:r w:rsidR="00096441">
        <w:rPr>
          <w:rFonts w:ascii="Aptos" w:hAnsi="Aptos"/>
        </w:rPr>
        <w:t>made a determination</w:t>
      </w:r>
      <w:proofErr w:type="gramEnd"/>
      <w:r w:rsidR="00096441">
        <w:rPr>
          <w:rFonts w:ascii="Aptos" w:hAnsi="Aptos"/>
        </w:rPr>
        <w:t xml:space="preserve"> to remove a course from Commonwealth funding: section 30-25(2A)</w:t>
      </w:r>
      <w:r w:rsidR="00A87A57">
        <w:rPr>
          <w:rFonts w:ascii="Aptos" w:hAnsi="Aptos"/>
        </w:rPr>
        <w:t xml:space="preserve">, </w:t>
      </w:r>
      <w:r w:rsidR="00A87A57">
        <w:rPr>
          <w:rFonts w:ascii="Aptos" w:hAnsi="Aptos"/>
          <w:i/>
          <w:iCs/>
        </w:rPr>
        <w:t>HESA 2003</w:t>
      </w:r>
      <w:r w:rsidR="00096441">
        <w:rPr>
          <w:rFonts w:ascii="Aptos" w:hAnsi="Aptos"/>
        </w:rPr>
        <w:t xml:space="preserve">. The broad principle behind this constraint is that where the minister has the power to </w:t>
      </w:r>
      <w:proofErr w:type="gramStart"/>
      <w:r w:rsidR="00096441">
        <w:rPr>
          <w:rFonts w:ascii="Aptos" w:hAnsi="Aptos"/>
        </w:rPr>
        <w:t>make a decision</w:t>
      </w:r>
      <w:proofErr w:type="gramEnd"/>
      <w:r w:rsidR="00096441">
        <w:rPr>
          <w:rFonts w:ascii="Aptos" w:hAnsi="Aptos"/>
        </w:rPr>
        <w:t xml:space="preserve"> through a disallowable legislative instrument, as in this case, the minister should not bypass th</w:t>
      </w:r>
      <w:r w:rsidR="00A87A57">
        <w:rPr>
          <w:rFonts w:ascii="Aptos" w:hAnsi="Aptos"/>
        </w:rPr>
        <w:t>e associated parliamentary</w:t>
      </w:r>
      <w:r w:rsidR="00096441">
        <w:rPr>
          <w:rFonts w:ascii="Aptos" w:hAnsi="Aptos"/>
        </w:rPr>
        <w:t xml:space="preserve"> scrutiny by using funding agreement conditions instead.</w:t>
      </w:r>
    </w:p>
    <w:p w14:paraId="1CF22EA0" w14:textId="1A8262B8" w:rsidR="00096441" w:rsidRDefault="00096441" w:rsidP="00096441">
      <w:pPr>
        <w:pStyle w:val="NormalWeb"/>
        <w:rPr>
          <w:rFonts w:ascii="Aptos" w:hAnsi="Aptos"/>
        </w:rPr>
      </w:pPr>
      <w:r>
        <w:rPr>
          <w:rFonts w:ascii="Aptos" w:hAnsi="Aptos"/>
        </w:rPr>
        <w:t>Recommendation:</w:t>
      </w:r>
    </w:p>
    <w:p w14:paraId="42E1A9DD" w14:textId="75374220" w:rsidR="00096441" w:rsidRDefault="0086361B" w:rsidP="00096441">
      <w:pPr>
        <w:pStyle w:val="NormalWeb"/>
        <w:rPr>
          <w:rFonts w:ascii="Aptos" w:hAnsi="Aptos"/>
        </w:rPr>
      </w:pPr>
      <w:r>
        <w:rPr>
          <w:rFonts w:ascii="Aptos" w:hAnsi="Aptos"/>
        </w:rPr>
        <w:t xml:space="preserve">ATEC should be prevented from adding </w:t>
      </w:r>
      <w:r w:rsidR="00693598">
        <w:rPr>
          <w:rFonts w:ascii="Aptos" w:hAnsi="Aptos"/>
        </w:rPr>
        <w:t xml:space="preserve">compact </w:t>
      </w:r>
      <w:r>
        <w:rPr>
          <w:rFonts w:ascii="Aptos" w:hAnsi="Aptos"/>
        </w:rPr>
        <w:t xml:space="preserve">conditions of a specified nature, such as those that already apply in </w:t>
      </w:r>
      <w:r w:rsidR="00034FC0">
        <w:rPr>
          <w:rFonts w:ascii="Aptos" w:hAnsi="Aptos"/>
        </w:rPr>
        <w:t xml:space="preserve">other </w:t>
      </w:r>
      <w:r w:rsidR="004911A3">
        <w:rPr>
          <w:rFonts w:ascii="Aptos" w:hAnsi="Aptos"/>
        </w:rPr>
        <w:t>higher education</w:t>
      </w:r>
      <w:r w:rsidR="00034FC0">
        <w:rPr>
          <w:rFonts w:ascii="Aptos" w:hAnsi="Aptos"/>
        </w:rPr>
        <w:t xml:space="preserve"> legislation. </w:t>
      </w:r>
    </w:p>
    <w:p w14:paraId="05582431" w14:textId="3963BC2D" w:rsidR="00F54688" w:rsidRDefault="00F54688" w:rsidP="00F54688">
      <w:pPr>
        <w:pStyle w:val="Heading2"/>
      </w:pPr>
      <w:bookmarkStart w:id="48" w:name="_Toc219380916"/>
      <w:r>
        <w:t>Penalties for breach of a mission based compact</w:t>
      </w:r>
      <w:bookmarkEnd w:id="48"/>
    </w:p>
    <w:p w14:paraId="68F247DD" w14:textId="77777777" w:rsidR="009D2614" w:rsidRDefault="004211B1" w:rsidP="009D2614">
      <w:pPr>
        <w:pStyle w:val="Heading3"/>
      </w:pPr>
      <w:bookmarkStart w:id="49" w:name="_Toc219380917"/>
      <w:r>
        <w:t>Performance assessment</w:t>
      </w:r>
      <w:bookmarkEnd w:id="49"/>
      <w:r>
        <w:t xml:space="preserve"> </w:t>
      </w:r>
    </w:p>
    <w:p w14:paraId="230F5E08" w14:textId="6A0BFCE8" w:rsidR="004211B1" w:rsidRDefault="004211B1" w:rsidP="009D2614">
      <w:pPr>
        <w:pStyle w:val="BodyText"/>
      </w:pPr>
      <w:r>
        <w:t>C</w:t>
      </w:r>
      <w:r w:rsidRPr="00E8074E">
        <w:t xml:space="preserve">ompacts must set out the methodologies to be used to assess performance: section 29(4). This </w:t>
      </w:r>
      <w:r>
        <w:t xml:space="preserve">at least </w:t>
      </w:r>
      <w:r w:rsidRPr="00E8074E">
        <w:t>helps avoid purely subjective assessments of provider performance.</w:t>
      </w:r>
      <w:r>
        <w:t xml:space="preserve"> </w:t>
      </w:r>
    </w:p>
    <w:p w14:paraId="1F971D51" w14:textId="526AE707" w:rsidR="004211B1" w:rsidRDefault="004211B1" w:rsidP="004211B1">
      <w:pPr>
        <w:pStyle w:val="NormalWeb"/>
        <w:rPr>
          <w:rFonts w:ascii="Aptos" w:hAnsi="Aptos"/>
        </w:rPr>
      </w:pPr>
      <w:r>
        <w:rPr>
          <w:rFonts w:ascii="Aptos" w:hAnsi="Aptos"/>
        </w:rPr>
        <w:t xml:space="preserve">In assessing performance, ATEC must consider the steps taken by the provider to meet the terms of the compact and can </w:t>
      </w:r>
      <w:proofErr w:type="gramStart"/>
      <w:r>
        <w:rPr>
          <w:rFonts w:ascii="Aptos" w:hAnsi="Aptos"/>
        </w:rPr>
        <w:t>take into account</w:t>
      </w:r>
      <w:proofErr w:type="gramEnd"/>
      <w:r>
        <w:rPr>
          <w:rFonts w:ascii="Aptos" w:hAnsi="Aptos"/>
        </w:rPr>
        <w:t xml:space="preserve"> matters beyond </w:t>
      </w:r>
      <w:r w:rsidR="00BA18CF">
        <w:rPr>
          <w:rFonts w:ascii="Aptos" w:hAnsi="Aptos"/>
        </w:rPr>
        <w:t>the provider’s</w:t>
      </w:r>
      <w:r>
        <w:rPr>
          <w:rFonts w:ascii="Aptos" w:hAnsi="Aptos"/>
        </w:rPr>
        <w:t xml:space="preserve"> control: section 30(3). </w:t>
      </w:r>
    </w:p>
    <w:p w14:paraId="169C4DB1" w14:textId="77777777" w:rsidR="009D2614" w:rsidRDefault="00500E6A" w:rsidP="009D2614">
      <w:pPr>
        <w:pStyle w:val="Heading3"/>
      </w:pPr>
      <w:bookmarkStart w:id="50" w:name="_Toc219380918"/>
      <w:r>
        <w:t>Compact-specific penalties</w:t>
      </w:r>
      <w:bookmarkEnd w:id="50"/>
    </w:p>
    <w:p w14:paraId="7ACE28F5" w14:textId="3CEEBACC" w:rsidR="00500E6A" w:rsidRDefault="00500E6A" w:rsidP="009D2614">
      <w:pPr>
        <w:pStyle w:val="BodyText"/>
        <w:rPr>
          <w:rFonts w:ascii="Aptos" w:hAnsi="Aptos"/>
        </w:rPr>
      </w:pPr>
      <w:r w:rsidRPr="009D2614">
        <w:t xml:space="preserve">There could be reputational damage </w:t>
      </w:r>
      <w:r w:rsidR="00BA18CF">
        <w:t>from</w:t>
      </w:r>
      <w:r w:rsidRPr="009D2614">
        <w:t xml:space="preserve"> not complying</w:t>
      </w:r>
      <w:r w:rsidR="00A87A57" w:rsidRPr="009D2614">
        <w:t xml:space="preserve"> with a compact</w:t>
      </w:r>
      <w:r w:rsidRPr="009D2614">
        <w:t xml:space="preserve">, as ATEC can publish a report of its assessment of compliance: section 30(4), </w:t>
      </w:r>
      <w:r w:rsidRPr="00BA18CF">
        <w:rPr>
          <w:i/>
          <w:iCs/>
        </w:rPr>
        <w:t>Universities Accord (Australian Tertiary Education Commission) Bill 2025</w:t>
      </w:r>
      <w:r w:rsidRPr="009D2614">
        <w:t xml:space="preserve">. But the level of damage would depend on whether the sector more broadly or the </w:t>
      </w:r>
      <w:proofErr w:type="gramStart"/>
      <w:r w:rsidRPr="009D2614">
        <w:t>general public</w:t>
      </w:r>
      <w:proofErr w:type="gramEnd"/>
      <w:r w:rsidRPr="009D2614">
        <w:t xml:space="preserve"> thought that the shortcoming was significant</w:t>
      </w:r>
      <w:r>
        <w:rPr>
          <w:rFonts w:ascii="Aptos" w:hAnsi="Aptos"/>
        </w:rPr>
        <w:t xml:space="preserve">. </w:t>
      </w:r>
    </w:p>
    <w:p w14:paraId="3DAC7F5D" w14:textId="77777777" w:rsidR="00500E6A" w:rsidRDefault="00B95364" w:rsidP="00E8074E">
      <w:pPr>
        <w:pStyle w:val="NormalWeb"/>
        <w:rPr>
          <w:rStyle w:val="Emphasis"/>
          <w:rFonts w:ascii="Aptos" w:hAnsi="Aptos"/>
          <w:i w:val="0"/>
          <w:iCs w:val="0"/>
        </w:rPr>
      </w:pPr>
      <w:r>
        <w:rPr>
          <w:rFonts w:ascii="Aptos" w:hAnsi="Aptos"/>
        </w:rPr>
        <w:t xml:space="preserve">There </w:t>
      </w:r>
      <w:r w:rsidR="007C6624">
        <w:rPr>
          <w:rFonts w:ascii="Aptos" w:hAnsi="Aptos"/>
        </w:rPr>
        <w:t>bill includes</w:t>
      </w:r>
      <w:r>
        <w:rPr>
          <w:rFonts w:ascii="Aptos" w:hAnsi="Aptos"/>
        </w:rPr>
        <w:t xml:space="preserve"> power to suspend a compact (section 33</w:t>
      </w:r>
      <w:r>
        <w:rPr>
          <w:rStyle w:val="Emphasis"/>
          <w:rFonts w:ascii="Aptos" w:hAnsi="Aptos"/>
          <w:i w:val="0"/>
          <w:iCs w:val="0"/>
        </w:rPr>
        <w:t xml:space="preserve">), but if this happens a default compact comes into force: section 36. </w:t>
      </w:r>
      <w:r w:rsidR="00E92771">
        <w:rPr>
          <w:rStyle w:val="Emphasis"/>
          <w:rFonts w:ascii="Aptos" w:hAnsi="Aptos"/>
          <w:i w:val="0"/>
          <w:iCs w:val="0"/>
        </w:rPr>
        <w:t xml:space="preserve">As compacts do not appear to offer universities any benefits a default compact might be an embarrassment but not a major practical problem. </w:t>
      </w:r>
    </w:p>
    <w:p w14:paraId="4236E250" w14:textId="1DA77E7F" w:rsidR="00F54688" w:rsidRDefault="00B4023B" w:rsidP="00E8074E">
      <w:pPr>
        <w:pStyle w:val="NormalWeb"/>
        <w:rPr>
          <w:rStyle w:val="Emphasis"/>
          <w:rFonts w:ascii="Aptos" w:hAnsi="Aptos"/>
          <w:i w:val="0"/>
          <w:iCs w:val="0"/>
        </w:rPr>
      </w:pPr>
      <w:r>
        <w:rPr>
          <w:rStyle w:val="Emphasis"/>
          <w:rFonts w:ascii="Aptos" w:hAnsi="Aptos"/>
          <w:i w:val="0"/>
          <w:iCs w:val="0"/>
        </w:rPr>
        <w:lastRenderedPageBreak/>
        <w:t xml:space="preserve">Without a compact all Commonwealth funding under </w:t>
      </w:r>
      <w:r w:rsidRPr="00B4023B">
        <w:rPr>
          <w:rStyle w:val="Emphasis"/>
          <w:rFonts w:ascii="Aptos" w:hAnsi="Aptos"/>
        </w:rPr>
        <w:t>HESA 2003</w:t>
      </w:r>
      <w:r>
        <w:rPr>
          <w:rStyle w:val="Emphasis"/>
          <w:rFonts w:ascii="Aptos" w:hAnsi="Aptos"/>
          <w:i w:val="0"/>
          <w:iCs w:val="0"/>
        </w:rPr>
        <w:t xml:space="preserve"> would cease. No government </w:t>
      </w:r>
      <w:r w:rsidR="00470E4C">
        <w:rPr>
          <w:rStyle w:val="Emphasis"/>
          <w:rFonts w:ascii="Aptos" w:hAnsi="Aptos"/>
          <w:i w:val="0"/>
          <w:iCs w:val="0"/>
        </w:rPr>
        <w:t>will</w:t>
      </w:r>
      <w:r>
        <w:rPr>
          <w:rStyle w:val="Emphasis"/>
          <w:rFonts w:ascii="Aptos" w:hAnsi="Aptos"/>
          <w:i w:val="0"/>
          <w:iCs w:val="0"/>
        </w:rPr>
        <w:t xml:space="preserve"> let a public university </w:t>
      </w:r>
      <w:r w:rsidR="00470E4C">
        <w:rPr>
          <w:rStyle w:val="Emphasis"/>
          <w:rFonts w:ascii="Aptos" w:hAnsi="Aptos"/>
          <w:i w:val="0"/>
          <w:iCs w:val="0"/>
        </w:rPr>
        <w:t>go broke</w:t>
      </w:r>
      <w:r>
        <w:rPr>
          <w:rStyle w:val="Emphasis"/>
          <w:rFonts w:ascii="Aptos" w:hAnsi="Aptos"/>
          <w:i w:val="0"/>
          <w:iCs w:val="0"/>
        </w:rPr>
        <w:t xml:space="preserve">, so ATEC declining to agree a compact with one of them is not a practical penalty option. </w:t>
      </w:r>
    </w:p>
    <w:p w14:paraId="05C8A6F3" w14:textId="567543F7" w:rsidR="00500E6A" w:rsidRDefault="00500E6A" w:rsidP="0045314A">
      <w:pPr>
        <w:pStyle w:val="Heading3"/>
        <w:rPr>
          <w:rStyle w:val="Emphasis"/>
          <w:i w:val="0"/>
          <w:iCs w:val="0"/>
        </w:rPr>
      </w:pPr>
      <w:bookmarkStart w:id="51" w:name="_Toc219380919"/>
      <w:r w:rsidRPr="0045314A">
        <w:rPr>
          <w:rStyle w:val="Emphasis"/>
          <w:i w:val="0"/>
          <w:iCs w:val="0"/>
        </w:rPr>
        <w:t xml:space="preserve">No </w:t>
      </w:r>
      <w:r w:rsidR="004429D2">
        <w:rPr>
          <w:rStyle w:val="Emphasis"/>
          <w:i w:val="0"/>
          <w:iCs w:val="0"/>
        </w:rPr>
        <w:t>civil penalty fines</w:t>
      </w:r>
      <w:bookmarkEnd w:id="51"/>
      <w:r w:rsidRPr="0045314A">
        <w:rPr>
          <w:rStyle w:val="Emphasis"/>
          <w:i w:val="0"/>
          <w:iCs w:val="0"/>
        </w:rPr>
        <w:t xml:space="preserve"> </w:t>
      </w:r>
    </w:p>
    <w:p w14:paraId="2B6A3225" w14:textId="0F8ED88A" w:rsidR="007B73DC" w:rsidRDefault="007B73DC" w:rsidP="007B73DC">
      <w:pPr>
        <w:rPr>
          <w:i/>
          <w:iCs/>
        </w:rPr>
      </w:pPr>
      <w:r>
        <w:t xml:space="preserve">Recent higher education legislation has made extensive use of </w:t>
      </w:r>
      <w:r w:rsidR="004429D2">
        <w:t xml:space="preserve">civil penalty </w:t>
      </w:r>
      <w:r>
        <w:t xml:space="preserve">fines. For example, a university can be fined up to $330,000 for not complying with the gender-based violence code that came into effect on 1 January 2026: section 20, </w:t>
      </w:r>
      <w:r w:rsidRPr="007B73DC">
        <w:rPr>
          <w:i/>
          <w:iCs/>
        </w:rPr>
        <w:t>Universities Accord (National Higher Education Code to Prevent and Respond to Gender-based Violence) Act 2025</w:t>
      </w:r>
      <w:r>
        <w:t xml:space="preserve">. </w:t>
      </w:r>
      <w:r w:rsidR="001E5049">
        <w:t xml:space="preserve">The maximum fine for breaching the new law offering courses at offshore campuses without TEQSA approval is $396,000: section 106A, </w:t>
      </w:r>
      <w:r w:rsidR="001E5049">
        <w:rPr>
          <w:i/>
          <w:iCs/>
        </w:rPr>
        <w:t xml:space="preserve">Tertiary Education Quality and Standards Agency Act 2011. </w:t>
      </w:r>
    </w:p>
    <w:p w14:paraId="69AF4D09" w14:textId="094ABA09" w:rsidR="001E5049" w:rsidRDefault="001E5049" w:rsidP="007B73DC">
      <w:pPr>
        <w:rPr>
          <w:i/>
          <w:iCs/>
        </w:rPr>
      </w:pPr>
    </w:p>
    <w:p w14:paraId="11BA7479" w14:textId="55C74900" w:rsidR="00B4023B" w:rsidRDefault="004429D2" w:rsidP="004429D2">
      <w:pPr>
        <w:rPr>
          <w:rFonts w:ascii="Aptos" w:hAnsi="Aptos"/>
        </w:rPr>
      </w:pPr>
      <w:r>
        <w:t xml:space="preserve">But the ATEC bill has no fines. </w:t>
      </w:r>
      <w:r w:rsidR="00B4023B">
        <w:rPr>
          <w:rFonts w:ascii="Aptos" w:hAnsi="Aptos"/>
        </w:rPr>
        <w:t>While the minister can, by legislative instrument, create rules ‘necessary or convenient for carrying out or giving effect to this Act’, this instrument cannot ‘create an offence or civil penalty’: section</w:t>
      </w:r>
      <w:r w:rsidR="00755C66">
        <w:rPr>
          <w:rFonts w:ascii="Aptos" w:hAnsi="Aptos"/>
        </w:rPr>
        <w:t>s</w:t>
      </w:r>
      <w:r w:rsidR="00B4023B">
        <w:rPr>
          <w:rFonts w:ascii="Aptos" w:hAnsi="Aptos"/>
        </w:rPr>
        <w:t xml:space="preserve"> 75(1)(b) &amp; 75(2)(a</w:t>
      </w:r>
      <w:r w:rsidR="00500E6A">
        <w:rPr>
          <w:rFonts w:ascii="Aptos" w:hAnsi="Aptos"/>
        </w:rPr>
        <w:t>).</w:t>
      </w:r>
    </w:p>
    <w:p w14:paraId="594875EA" w14:textId="55B48C40" w:rsidR="004429D2" w:rsidRDefault="004429D2" w:rsidP="004429D2">
      <w:pPr>
        <w:rPr>
          <w:rFonts w:ascii="Aptos" w:hAnsi="Aptos"/>
        </w:rPr>
      </w:pPr>
    </w:p>
    <w:p w14:paraId="1E166312" w14:textId="058A32BA" w:rsidR="004429D2" w:rsidRDefault="004429D2" w:rsidP="004429D2">
      <w:pPr>
        <w:tabs>
          <w:tab w:val="left" w:pos="5925"/>
        </w:tabs>
        <w:rPr>
          <w:rFonts w:ascii="Aptos" w:hAnsi="Aptos"/>
        </w:rPr>
      </w:pPr>
      <w:r>
        <w:rPr>
          <w:rFonts w:ascii="Aptos" w:hAnsi="Aptos"/>
        </w:rPr>
        <w:t xml:space="preserve">The absence of civil penalty fines may reflect the </w:t>
      </w:r>
      <w:r w:rsidR="0094271F">
        <w:rPr>
          <w:rFonts w:ascii="Aptos" w:hAnsi="Aptos"/>
        </w:rPr>
        <w:t>c</w:t>
      </w:r>
      <w:r>
        <w:rPr>
          <w:rFonts w:ascii="Aptos" w:hAnsi="Aptos"/>
        </w:rPr>
        <w:t>haracter of the compacts</w:t>
      </w:r>
      <w:r w:rsidR="00FC441F">
        <w:rPr>
          <w:rFonts w:ascii="Aptos" w:hAnsi="Aptos"/>
        </w:rPr>
        <w:t xml:space="preserve"> as </w:t>
      </w:r>
      <w:r w:rsidR="0094271F">
        <w:rPr>
          <w:rFonts w:ascii="Aptos" w:hAnsi="Aptos"/>
        </w:rPr>
        <w:t>quasi-agreements rather</w:t>
      </w:r>
      <w:r w:rsidR="00FC441F">
        <w:rPr>
          <w:rFonts w:ascii="Aptos" w:hAnsi="Aptos"/>
        </w:rPr>
        <w:t xml:space="preserve"> than law</w:t>
      </w:r>
      <w:r w:rsidR="0094271F">
        <w:rPr>
          <w:rFonts w:ascii="Aptos" w:hAnsi="Aptos"/>
        </w:rPr>
        <w:t>s</w:t>
      </w:r>
      <w:r w:rsidR="00FC441F">
        <w:rPr>
          <w:rFonts w:ascii="Aptos" w:hAnsi="Aptos"/>
        </w:rPr>
        <w:t xml:space="preserve">. </w:t>
      </w:r>
    </w:p>
    <w:p w14:paraId="6BE8A073" w14:textId="56603F35" w:rsidR="004211B1" w:rsidRDefault="004211B1" w:rsidP="004429D2">
      <w:pPr>
        <w:tabs>
          <w:tab w:val="left" w:pos="5925"/>
        </w:tabs>
        <w:rPr>
          <w:rFonts w:ascii="Aptos" w:hAnsi="Aptos"/>
        </w:rPr>
      </w:pPr>
    </w:p>
    <w:p w14:paraId="4565AF97" w14:textId="22BCBA64" w:rsidR="004211B1" w:rsidRDefault="004211B1" w:rsidP="004211B1">
      <w:pPr>
        <w:pStyle w:val="Heading3"/>
      </w:pPr>
      <w:bookmarkStart w:id="52" w:name="_Toc219380920"/>
      <w:r>
        <w:t>Reference to TEQSA</w:t>
      </w:r>
      <w:bookmarkEnd w:id="52"/>
      <w:r>
        <w:t xml:space="preserve"> </w:t>
      </w:r>
    </w:p>
    <w:p w14:paraId="3CF3DB96" w14:textId="4C138B38" w:rsidR="00FC441F" w:rsidRDefault="004211B1" w:rsidP="004429D2">
      <w:pPr>
        <w:tabs>
          <w:tab w:val="left" w:pos="5925"/>
        </w:tabs>
        <w:rPr>
          <w:rStyle w:val="Emphasis"/>
          <w:rFonts w:ascii="Aptos" w:hAnsi="Aptos"/>
          <w:i w:val="0"/>
          <w:iCs w:val="0"/>
        </w:rPr>
      </w:pPr>
      <w:r>
        <w:rPr>
          <w:rStyle w:val="Emphasis"/>
          <w:rFonts w:ascii="Aptos" w:hAnsi="Aptos"/>
          <w:i w:val="0"/>
          <w:iCs w:val="0"/>
        </w:rPr>
        <w:t>Note 2 to section 27 says that failure to comply with a term may also constitute a failure to comply with other requirements, such as TEQSA ‘taking regulatory action in relation to the provider’s compliance with the Higher Education Standards Framework [i.e., the Threshold Standards]’.</w:t>
      </w:r>
    </w:p>
    <w:p w14:paraId="24D0C0A2" w14:textId="777ABFCB" w:rsidR="004211B1" w:rsidRDefault="004211B1" w:rsidP="004429D2">
      <w:pPr>
        <w:tabs>
          <w:tab w:val="left" w:pos="5925"/>
        </w:tabs>
        <w:rPr>
          <w:rStyle w:val="Emphasis"/>
          <w:rFonts w:ascii="Aptos" w:hAnsi="Aptos"/>
          <w:i w:val="0"/>
          <w:iCs w:val="0"/>
        </w:rPr>
      </w:pPr>
    </w:p>
    <w:p w14:paraId="3B1CD0BF" w14:textId="4B7CA49A" w:rsidR="004211B1" w:rsidRDefault="009D2614" w:rsidP="004429D2">
      <w:pPr>
        <w:tabs>
          <w:tab w:val="left" w:pos="5925"/>
        </w:tabs>
        <w:rPr>
          <w:rStyle w:val="Emphasis"/>
          <w:rFonts w:ascii="Aptos" w:hAnsi="Aptos"/>
          <w:i w:val="0"/>
          <w:iCs w:val="0"/>
        </w:rPr>
      </w:pPr>
      <w:r>
        <w:rPr>
          <w:rStyle w:val="Emphasis"/>
          <w:rFonts w:ascii="Aptos" w:hAnsi="Aptos"/>
          <w:i w:val="0"/>
          <w:iCs w:val="0"/>
        </w:rPr>
        <w:t>The Threshold Standards have a general requirement that providers comply with ‘any other legislative requirements’: clause 6.2(1)(a). But as the bill stands the compact terms will not be directly legislated.</w:t>
      </w:r>
    </w:p>
    <w:p w14:paraId="44F65352" w14:textId="3BBBD72F" w:rsidR="009D2614" w:rsidRDefault="009D2614" w:rsidP="004429D2">
      <w:pPr>
        <w:tabs>
          <w:tab w:val="left" w:pos="5925"/>
        </w:tabs>
        <w:rPr>
          <w:rStyle w:val="Emphasis"/>
          <w:rFonts w:ascii="Aptos" w:hAnsi="Aptos"/>
          <w:i w:val="0"/>
          <w:iCs w:val="0"/>
        </w:rPr>
      </w:pPr>
    </w:p>
    <w:p w14:paraId="1E519B34" w14:textId="1B766BA9" w:rsidR="009D2614" w:rsidRDefault="009D2614" w:rsidP="004429D2">
      <w:pPr>
        <w:tabs>
          <w:tab w:val="left" w:pos="5925"/>
        </w:tabs>
        <w:rPr>
          <w:rStyle w:val="Emphasis"/>
          <w:rFonts w:ascii="Aptos" w:hAnsi="Aptos"/>
          <w:i w:val="0"/>
          <w:iCs w:val="0"/>
        </w:rPr>
      </w:pPr>
      <w:r>
        <w:rPr>
          <w:rStyle w:val="Emphasis"/>
          <w:rFonts w:ascii="Aptos" w:hAnsi="Aptos"/>
          <w:i w:val="0"/>
          <w:iCs w:val="0"/>
        </w:rPr>
        <w:t>It may be the case that, as part of its work on the compacts, ATEC observes matters that are potential breaches of the Threshold Standards. It may be advisable for the bill to add a specific clause giving ATEC the power to transfer such information to TEQSA.</w:t>
      </w:r>
    </w:p>
    <w:p w14:paraId="69EF6142" w14:textId="77777777" w:rsidR="009D2614" w:rsidRDefault="009D2614" w:rsidP="004429D2">
      <w:pPr>
        <w:tabs>
          <w:tab w:val="left" w:pos="5925"/>
        </w:tabs>
        <w:rPr>
          <w:rStyle w:val="Emphasis"/>
          <w:rFonts w:ascii="Aptos" w:hAnsi="Aptos"/>
          <w:i w:val="0"/>
          <w:iCs w:val="0"/>
        </w:rPr>
      </w:pPr>
    </w:p>
    <w:p w14:paraId="728F3789" w14:textId="77777777" w:rsidR="009D2614" w:rsidRDefault="00500E6A" w:rsidP="009D2614">
      <w:pPr>
        <w:pStyle w:val="Heading3"/>
        <w:rPr>
          <w:rStyle w:val="Emphasis"/>
          <w:i w:val="0"/>
          <w:iCs w:val="0"/>
        </w:rPr>
      </w:pPr>
      <w:bookmarkStart w:id="53" w:name="_Toc219380921"/>
      <w:r w:rsidRPr="0045314A">
        <w:rPr>
          <w:rStyle w:val="Emphasis"/>
          <w:i w:val="0"/>
          <w:iCs w:val="0"/>
        </w:rPr>
        <w:t>Reductions in grants or student places</w:t>
      </w:r>
      <w:bookmarkEnd w:id="53"/>
    </w:p>
    <w:p w14:paraId="612E14C8" w14:textId="71C6CC0E" w:rsidR="00B4023B" w:rsidRDefault="00B4023B" w:rsidP="009D2614">
      <w:pPr>
        <w:pStyle w:val="BodyText"/>
        <w:rPr>
          <w:rStyle w:val="Emphasis"/>
          <w:rFonts w:ascii="Aptos" w:hAnsi="Aptos"/>
          <w:i w:val="0"/>
          <w:iCs w:val="0"/>
        </w:rPr>
      </w:pPr>
      <w:r>
        <w:t xml:space="preserve">There may be </w:t>
      </w:r>
      <w:r w:rsidR="00FC441F">
        <w:t xml:space="preserve">penalty </w:t>
      </w:r>
      <w:r>
        <w:t xml:space="preserve">options via </w:t>
      </w:r>
      <w:r w:rsidR="00755C66">
        <w:t xml:space="preserve">an existing provision allowing the reduction of grants due to a breach of </w:t>
      </w:r>
      <w:r w:rsidR="00755C66">
        <w:rPr>
          <w:i/>
          <w:iCs/>
        </w:rPr>
        <w:t xml:space="preserve">HESA 2003 </w:t>
      </w:r>
      <w:r w:rsidR="00755C66">
        <w:t xml:space="preserve">conditions: division 54, </w:t>
      </w:r>
      <w:r w:rsidR="00755C66">
        <w:rPr>
          <w:i/>
          <w:iCs/>
        </w:rPr>
        <w:t xml:space="preserve">HESA 2003. </w:t>
      </w:r>
      <w:r w:rsidR="00755C66">
        <w:t xml:space="preserve">The explanatory memorandum to </w:t>
      </w:r>
      <w:r w:rsidR="00755C66" w:rsidRPr="00E8311D">
        <w:rPr>
          <w:rStyle w:val="Emphasis"/>
          <w:rFonts w:ascii="Aptos" w:hAnsi="Aptos"/>
        </w:rPr>
        <w:t>Universities Accord (Australian Tertiary Education Commission) Bill 2025</w:t>
      </w:r>
      <w:r w:rsidR="00755C66">
        <w:rPr>
          <w:rStyle w:val="Emphasis"/>
          <w:rFonts w:ascii="Aptos" w:hAnsi="Aptos"/>
          <w:i w:val="0"/>
          <w:iCs w:val="0"/>
        </w:rPr>
        <w:t xml:space="preserve"> supports a view that the government is considering something similar (p</w:t>
      </w:r>
      <w:r w:rsidR="00AA3A0C">
        <w:rPr>
          <w:rStyle w:val="Emphasis"/>
          <w:rFonts w:ascii="Aptos" w:hAnsi="Aptos"/>
          <w:i w:val="0"/>
          <w:iCs w:val="0"/>
        </w:rPr>
        <w:t>p</w:t>
      </w:r>
      <w:r w:rsidR="00755C66">
        <w:rPr>
          <w:rStyle w:val="Emphasis"/>
          <w:rFonts w:ascii="Aptos" w:hAnsi="Aptos"/>
          <w:i w:val="0"/>
          <w:iCs w:val="0"/>
        </w:rPr>
        <w:t xml:space="preserve">. </w:t>
      </w:r>
      <w:r w:rsidR="00AA3A0C">
        <w:rPr>
          <w:rStyle w:val="Emphasis"/>
          <w:rFonts w:ascii="Aptos" w:hAnsi="Aptos"/>
          <w:i w:val="0"/>
          <w:iCs w:val="0"/>
        </w:rPr>
        <w:t>2-</w:t>
      </w:r>
      <w:r w:rsidR="00755C66">
        <w:rPr>
          <w:rStyle w:val="Emphasis"/>
          <w:rFonts w:ascii="Aptos" w:hAnsi="Aptos"/>
          <w:i w:val="0"/>
          <w:iCs w:val="0"/>
        </w:rPr>
        <w:t>3):</w:t>
      </w:r>
    </w:p>
    <w:p w14:paraId="3514F0CE" w14:textId="1C3D320B" w:rsidR="00755C66" w:rsidRDefault="00755C66" w:rsidP="00E8074E">
      <w:pPr>
        <w:pStyle w:val="NormalWeb"/>
        <w:rPr>
          <w:rFonts w:ascii="Aptos" w:hAnsi="Aptos"/>
        </w:rPr>
      </w:pPr>
      <w:r>
        <w:rPr>
          <w:rFonts w:ascii="Aptos" w:hAnsi="Aptos"/>
        </w:rPr>
        <w:t>‘</w:t>
      </w:r>
      <w:r w:rsidRPr="00755C66">
        <w:rPr>
          <w:rFonts w:ascii="Aptos" w:hAnsi="Aptos"/>
        </w:rPr>
        <w:t>It is intended that any future decisions made by the ATEC about future student profile allocations will be informed by provider performance against agreed objectives within compacts, and this will ensure that growth is managed sustainably across the system and is oriented to providers achieving their mission and supporting national priorities.</w:t>
      </w:r>
      <w:r>
        <w:rPr>
          <w:rFonts w:ascii="Aptos" w:hAnsi="Aptos"/>
        </w:rPr>
        <w:t>’</w:t>
      </w:r>
    </w:p>
    <w:p w14:paraId="72B581F8" w14:textId="2ECA6E62" w:rsidR="00755C66" w:rsidRDefault="00470E4C" w:rsidP="00E8074E">
      <w:pPr>
        <w:pStyle w:val="NormalWeb"/>
        <w:rPr>
          <w:rFonts w:ascii="Aptos" w:hAnsi="Aptos"/>
        </w:rPr>
      </w:pPr>
      <w:r>
        <w:rPr>
          <w:rFonts w:ascii="Aptos" w:hAnsi="Aptos"/>
        </w:rPr>
        <w:t>In this case, w</w:t>
      </w:r>
      <w:r w:rsidR="00BD49F2">
        <w:rPr>
          <w:rFonts w:ascii="Aptos" w:hAnsi="Aptos"/>
        </w:rPr>
        <w:t>ho</w:t>
      </w:r>
      <w:r w:rsidR="00755C66">
        <w:rPr>
          <w:rFonts w:ascii="Aptos" w:hAnsi="Aptos"/>
        </w:rPr>
        <w:t xml:space="preserve"> suffers the penalty from </w:t>
      </w:r>
      <w:r w:rsidR="00545C0A">
        <w:rPr>
          <w:rFonts w:ascii="Aptos" w:hAnsi="Aptos"/>
        </w:rPr>
        <w:t xml:space="preserve">a </w:t>
      </w:r>
      <w:r w:rsidR="00755C66">
        <w:rPr>
          <w:rFonts w:ascii="Aptos" w:hAnsi="Aptos"/>
        </w:rPr>
        <w:t>loss of student places? In a system</w:t>
      </w:r>
      <w:r w:rsidR="00BD49F2">
        <w:rPr>
          <w:rFonts w:ascii="Aptos" w:hAnsi="Aptos"/>
        </w:rPr>
        <w:t xml:space="preserve"> with tightly capped student places</w:t>
      </w:r>
      <w:r w:rsidR="00755C66">
        <w:rPr>
          <w:rFonts w:ascii="Aptos" w:hAnsi="Aptos"/>
        </w:rPr>
        <w:t xml:space="preserve">, </w:t>
      </w:r>
      <w:r w:rsidR="009F045D">
        <w:rPr>
          <w:rFonts w:ascii="Aptos" w:hAnsi="Aptos"/>
        </w:rPr>
        <w:t xml:space="preserve">which the government plans to legislate, </w:t>
      </w:r>
      <w:r w:rsidR="00755C66">
        <w:rPr>
          <w:rFonts w:ascii="Aptos" w:hAnsi="Aptos"/>
        </w:rPr>
        <w:t xml:space="preserve">the students who might </w:t>
      </w:r>
      <w:r w:rsidR="00755C66">
        <w:rPr>
          <w:rFonts w:ascii="Aptos" w:hAnsi="Aptos"/>
        </w:rPr>
        <w:lastRenderedPageBreak/>
        <w:t>otherwise have attended that university lose their opportunit</w:t>
      </w:r>
      <w:r w:rsidR="00BD49F2">
        <w:rPr>
          <w:rFonts w:ascii="Aptos" w:hAnsi="Aptos"/>
        </w:rPr>
        <w:t>ies</w:t>
      </w:r>
      <w:r w:rsidR="00755C66">
        <w:rPr>
          <w:rFonts w:ascii="Aptos" w:hAnsi="Aptos"/>
        </w:rPr>
        <w:t xml:space="preserve">. </w:t>
      </w:r>
      <w:r w:rsidR="008D4181">
        <w:rPr>
          <w:rFonts w:ascii="Aptos" w:hAnsi="Aptos"/>
        </w:rPr>
        <w:t>If cuts are significant, the university will retrench staff.</w:t>
      </w:r>
      <w:r w:rsidR="002878BD">
        <w:rPr>
          <w:rFonts w:ascii="Aptos" w:hAnsi="Aptos"/>
        </w:rPr>
        <w:t xml:space="preserve"> </w:t>
      </w:r>
      <w:r w:rsidR="00BD49F2">
        <w:rPr>
          <w:rFonts w:ascii="Aptos" w:hAnsi="Aptos"/>
        </w:rPr>
        <w:t xml:space="preserve">Funding penalties </w:t>
      </w:r>
      <w:r w:rsidR="00545C0A">
        <w:rPr>
          <w:rFonts w:ascii="Aptos" w:hAnsi="Aptos"/>
        </w:rPr>
        <w:t>could</w:t>
      </w:r>
      <w:r w:rsidR="00BD49F2">
        <w:rPr>
          <w:rFonts w:ascii="Aptos" w:hAnsi="Aptos"/>
        </w:rPr>
        <w:t xml:space="preserve"> cause</w:t>
      </w:r>
      <w:r w:rsidR="008D4181">
        <w:rPr>
          <w:rFonts w:ascii="Aptos" w:hAnsi="Aptos"/>
        </w:rPr>
        <w:t xml:space="preserve"> more collateral damage than damage to the intended target. </w:t>
      </w:r>
    </w:p>
    <w:p w14:paraId="51B3573A" w14:textId="1DD2C71F" w:rsidR="00470E4C" w:rsidRDefault="00470E4C" w:rsidP="00E8074E">
      <w:pPr>
        <w:pStyle w:val="NormalWeb"/>
        <w:rPr>
          <w:rFonts w:ascii="Aptos" w:hAnsi="Aptos"/>
        </w:rPr>
      </w:pPr>
      <w:r>
        <w:rPr>
          <w:rFonts w:ascii="Aptos" w:hAnsi="Aptos"/>
        </w:rPr>
        <w:t xml:space="preserve">Another possibility is that </w:t>
      </w:r>
      <w:r w:rsidR="00BD64F6">
        <w:rPr>
          <w:rFonts w:ascii="Aptos" w:hAnsi="Aptos"/>
        </w:rPr>
        <w:t>international student commencing places will be tied to compact compliance. The bill includes a power to allocate these places, in section 11(h)</w:t>
      </w:r>
      <w:r w:rsidR="009F045D">
        <w:rPr>
          <w:rFonts w:ascii="Aptos" w:hAnsi="Aptos"/>
        </w:rPr>
        <w:t>,</w:t>
      </w:r>
      <w:r w:rsidR="00BD64F6">
        <w:rPr>
          <w:rFonts w:ascii="Aptos" w:hAnsi="Aptos"/>
        </w:rPr>
        <w:t xml:space="preserve"> although as it stands this provision also lacks a penalty provision. International student caps are discussed further in chapter </w:t>
      </w:r>
      <w:r w:rsidR="00BD64F6">
        <w:rPr>
          <w:rFonts w:ascii="Aptos" w:hAnsi="Aptos"/>
        </w:rPr>
        <w:fldChar w:fldCharType="begin"/>
      </w:r>
      <w:r w:rsidR="00BD64F6">
        <w:rPr>
          <w:rFonts w:ascii="Aptos" w:hAnsi="Aptos"/>
        </w:rPr>
        <w:instrText xml:space="preserve"> REF _Ref218850771 \r \h </w:instrText>
      </w:r>
      <w:r w:rsidR="00BD64F6">
        <w:rPr>
          <w:rFonts w:ascii="Aptos" w:hAnsi="Aptos"/>
        </w:rPr>
      </w:r>
      <w:r w:rsidR="00BD64F6">
        <w:rPr>
          <w:rFonts w:ascii="Aptos" w:hAnsi="Aptos"/>
        </w:rPr>
        <w:fldChar w:fldCharType="separate"/>
      </w:r>
      <w:r w:rsidR="0055214B">
        <w:rPr>
          <w:rFonts w:ascii="Aptos" w:hAnsi="Aptos"/>
        </w:rPr>
        <w:t>6</w:t>
      </w:r>
      <w:r w:rsidR="00BD64F6">
        <w:rPr>
          <w:rFonts w:ascii="Aptos" w:hAnsi="Aptos"/>
        </w:rPr>
        <w:fldChar w:fldCharType="end"/>
      </w:r>
      <w:r w:rsidR="00BD64F6">
        <w:rPr>
          <w:rFonts w:ascii="Aptos" w:hAnsi="Aptos"/>
        </w:rPr>
        <w:t xml:space="preserve">. </w:t>
      </w:r>
    </w:p>
    <w:p w14:paraId="2237B131" w14:textId="77777777" w:rsidR="00E41907" w:rsidRDefault="00FC441F" w:rsidP="00E41907">
      <w:pPr>
        <w:pStyle w:val="Heading3"/>
      </w:pPr>
      <w:bookmarkStart w:id="54" w:name="_Toc219380922"/>
      <w:r>
        <w:t>The lack of mission based compact benefits limits penalties</w:t>
      </w:r>
      <w:bookmarkEnd w:id="54"/>
      <w:r>
        <w:t xml:space="preserve"> </w:t>
      </w:r>
    </w:p>
    <w:p w14:paraId="6A267DFC" w14:textId="2D47453B" w:rsidR="0048250F" w:rsidRDefault="00BD49F2" w:rsidP="00E41907">
      <w:pPr>
        <w:pStyle w:val="BodyText"/>
      </w:pPr>
      <w:r>
        <w:t>A</w:t>
      </w:r>
      <w:r w:rsidR="008D4181">
        <w:t xml:space="preserve"> core problem </w:t>
      </w:r>
      <w:r>
        <w:t>with</w:t>
      </w:r>
      <w:r w:rsidR="008D4181">
        <w:t xml:space="preserve"> the ATEC bill </w:t>
      </w:r>
      <w:r>
        <w:t xml:space="preserve">is that it </w:t>
      </w:r>
      <w:r w:rsidR="008D4181">
        <w:t xml:space="preserve">offers universities </w:t>
      </w:r>
      <w:r w:rsidR="007C6624">
        <w:t>only</w:t>
      </w:r>
      <w:r w:rsidR="008D4181">
        <w:t xml:space="preserve"> extra bureaucracy and less control over the</w:t>
      </w:r>
      <w:r w:rsidR="007C6624">
        <w:t>ir</w:t>
      </w:r>
      <w:r w:rsidR="008D4181">
        <w:t xml:space="preserve"> affairs. As ATEC has nothing attractive to offer universities – no funding for a truly unique </w:t>
      </w:r>
      <w:r w:rsidR="0081362A">
        <w:t>mission</w:t>
      </w:r>
      <w:r w:rsidR="008D4181">
        <w:t xml:space="preserve"> of the university, no discretionary funds that could support </w:t>
      </w:r>
      <w:r w:rsidR="0081362A">
        <w:t>that mission</w:t>
      </w:r>
      <w:r w:rsidR="008D4181">
        <w:t xml:space="preserve"> – it also lacks strong incentives or tough penalties. </w:t>
      </w:r>
    </w:p>
    <w:p w14:paraId="2CF26965" w14:textId="77777777" w:rsidR="0048250F" w:rsidRDefault="0048250F" w:rsidP="00E41907">
      <w:pPr>
        <w:pStyle w:val="BodyText"/>
        <w:rPr>
          <w:rFonts w:eastAsia="Times New Roman" w:cs="Times New Roman"/>
          <w:szCs w:val="24"/>
          <w:lang w:eastAsia="en-AU"/>
        </w:rPr>
      </w:pPr>
      <w:r>
        <w:br w:type="page"/>
      </w:r>
    </w:p>
    <w:p w14:paraId="7140D91B" w14:textId="0CE622EA" w:rsidR="00983B5F" w:rsidRPr="006864BB" w:rsidRDefault="00167543" w:rsidP="00983B5F">
      <w:pPr>
        <w:pStyle w:val="Heading1"/>
        <w:numPr>
          <w:ilvl w:val="0"/>
          <w:numId w:val="7"/>
        </w:numPr>
        <w:ind w:left="357" w:hanging="357"/>
        <w:rPr>
          <w:rFonts w:ascii="Aptos" w:hAnsi="Aptos" w:cstheme="minorHAnsi"/>
          <w:sz w:val="32"/>
          <w:szCs w:val="32"/>
        </w:rPr>
      </w:pPr>
      <w:bookmarkStart w:id="55" w:name="_Ref216878611"/>
      <w:bookmarkStart w:id="56" w:name="_Toc219380923"/>
      <w:r>
        <w:rPr>
          <w:rFonts w:ascii="Aptos" w:hAnsi="Aptos" w:cstheme="minorHAnsi"/>
          <w:color w:val="4F81BD" w:themeColor="accent1"/>
          <w:sz w:val="32"/>
          <w:szCs w:val="32"/>
        </w:rPr>
        <w:lastRenderedPageBreak/>
        <w:t>I</w:t>
      </w:r>
      <w:r w:rsidR="00983B5F">
        <w:rPr>
          <w:rFonts w:ascii="Aptos" w:hAnsi="Aptos" w:cstheme="minorHAnsi"/>
          <w:color w:val="4F81BD" w:themeColor="accent1"/>
          <w:sz w:val="32"/>
          <w:szCs w:val="32"/>
        </w:rPr>
        <w:t>nstitutions covered by mission-based compacts</w:t>
      </w:r>
      <w:bookmarkEnd w:id="55"/>
      <w:bookmarkEnd w:id="56"/>
      <w:r w:rsidR="00983B5F">
        <w:rPr>
          <w:rFonts w:ascii="Aptos" w:hAnsi="Aptos" w:cstheme="minorHAnsi"/>
          <w:color w:val="4F81BD" w:themeColor="accent1"/>
          <w:sz w:val="32"/>
          <w:szCs w:val="32"/>
        </w:rPr>
        <w:t xml:space="preserve"> </w:t>
      </w:r>
    </w:p>
    <w:p w14:paraId="49E059EF" w14:textId="2B2B359A" w:rsidR="00ED5C5A" w:rsidRDefault="00593854" w:rsidP="00E8074E">
      <w:pPr>
        <w:pStyle w:val="NormalWeb"/>
        <w:rPr>
          <w:rFonts w:ascii="Aptos" w:hAnsi="Aptos"/>
        </w:rPr>
      </w:pPr>
      <w:r>
        <w:rPr>
          <w:rFonts w:ascii="Aptos" w:hAnsi="Aptos"/>
        </w:rPr>
        <w:t xml:space="preserve">ATEC can </w:t>
      </w:r>
      <w:proofErr w:type="gramStart"/>
      <w:r>
        <w:rPr>
          <w:rFonts w:ascii="Aptos" w:hAnsi="Aptos"/>
        </w:rPr>
        <w:t>enter into</w:t>
      </w:r>
      <w:proofErr w:type="gramEnd"/>
      <w:r>
        <w:rPr>
          <w:rFonts w:ascii="Aptos" w:hAnsi="Aptos"/>
        </w:rPr>
        <w:t xml:space="preserve"> a mission based compact with Table A (public universit</w:t>
      </w:r>
      <w:r w:rsidR="00A60B1E">
        <w:rPr>
          <w:rFonts w:ascii="Aptos" w:hAnsi="Aptos"/>
        </w:rPr>
        <w:t>ies</w:t>
      </w:r>
      <w:r w:rsidR="00E41907">
        <w:rPr>
          <w:rFonts w:ascii="Aptos" w:hAnsi="Aptos"/>
        </w:rPr>
        <w:t xml:space="preserve"> plus Batchelor Institute of Indigenous Tertiary Education</w:t>
      </w:r>
      <w:r>
        <w:rPr>
          <w:rFonts w:ascii="Aptos" w:hAnsi="Aptos"/>
        </w:rPr>
        <w:t>) or Table B (private university) provider</w:t>
      </w:r>
      <w:r w:rsidR="00A60B1E">
        <w:rPr>
          <w:rFonts w:ascii="Aptos" w:hAnsi="Aptos"/>
        </w:rPr>
        <w:t>s</w:t>
      </w:r>
      <w:r w:rsidR="00BA2569">
        <w:rPr>
          <w:rFonts w:ascii="Aptos" w:hAnsi="Aptos"/>
        </w:rPr>
        <w:t>: section 27</w:t>
      </w:r>
      <w:r w:rsidR="00ED5C5A">
        <w:rPr>
          <w:rFonts w:ascii="Aptos" w:hAnsi="Aptos"/>
        </w:rPr>
        <w:t xml:space="preserve"> </w:t>
      </w:r>
      <w:r w:rsidR="00ED5C5A" w:rsidRPr="00E8311D">
        <w:rPr>
          <w:rStyle w:val="Emphasis"/>
          <w:rFonts w:ascii="Aptos" w:hAnsi="Aptos"/>
        </w:rPr>
        <w:t>Universities Accord (Australian Tertiary Education Commission) Bill 2025</w:t>
      </w:r>
      <w:r w:rsidR="00ED5C5A">
        <w:rPr>
          <w:rStyle w:val="Emphasis"/>
          <w:rFonts w:ascii="Aptos" w:hAnsi="Aptos"/>
          <w:i w:val="0"/>
          <w:iCs w:val="0"/>
        </w:rPr>
        <w:t>.</w:t>
      </w:r>
      <w:r w:rsidR="002878BD">
        <w:rPr>
          <w:rStyle w:val="Emphasis"/>
          <w:rFonts w:ascii="Aptos" w:hAnsi="Aptos"/>
          <w:i w:val="0"/>
          <w:iCs w:val="0"/>
        </w:rPr>
        <w:t xml:space="preserve"> </w:t>
      </w:r>
      <w:r>
        <w:rPr>
          <w:rFonts w:ascii="Aptos" w:hAnsi="Aptos"/>
        </w:rPr>
        <w:t>Non-university higher education providers and universities not on Table B</w:t>
      </w:r>
      <w:r w:rsidR="00B80995">
        <w:rPr>
          <w:rFonts w:ascii="Aptos" w:hAnsi="Aptos"/>
        </w:rPr>
        <w:t xml:space="preserve"> are not covered by </w:t>
      </w:r>
      <w:proofErr w:type="gramStart"/>
      <w:r w:rsidR="00B80995">
        <w:rPr>
          <w:rFonts w:ascii="Aptos" w:hAnsi="Aptos"/>
        </w:rPr>
        <w:t>mission based</w:t>
      </w:r>
      <w:proofErr w:type="gramEnd"/>
      <w:r w:rsidR="00B80995">
        <w:rPr>
          <w:rFonts w:ascii="Aptos" w:hAnsi="Aptos"/>
        </w:rPr>
        <w:t xml:space="preserve"> compacts</w:t>
      </w:r>
      <w:r w:rsidR="00ED5C5A">
        <w:rPr>
          <w:rFonts w:ascii="Aptos" w:hAnsi="Aptos"/>
        </w:rPr>
        <w:t>.</w:t>
      </w:r>
      <w:r w:rsidR="00ED5C5A">
        <w:rPr>
          <w:rStyle w:val="FootnoteReference"/>
          <w:rFonts w:ascii="Aptos" w:hAnsi="Aptos"/>
        </w:rPr>
        <w:footnoteReference w:id="8"/>
      </w:r>
      <w:r w:rsidR="002878BD">
        <w:rPr>
          <w:rFonts w:ascii="Aptos" w:hAnsi="Aptos"/>
        </w:rPr>
        <w:t xml:space="preserve"> </w:t>
      </w:r>
    </w:p>
    <w:p w14:paraId="30D111CC" w14:textId="49A01F1A" w:rsidR="00FC441F" w:rsidRPr="00446CD0" w:rsidRDefault="00FC441F" w:rsidP="00E8074E">
      <w:pPr>
        <w:pStyle w:val="NormalWeb"/>
        <w:rPr>
          <w:rFonts w:ascii="Aptos" w:hAnsi="Aptos"/>
        </w:rPr>
      </w:pPr>
      <w:r>
        <w:rPr>
          <w:rFonts w:ascii="Aptos" w:hAnsi="Aptos"/>
        </w:rPr>
        <w:t xml:space="preserve">It is unclear whether Table B providers </w:t>
      </w:r>
      <w:r w:rsidR="00446CD0">
        <w:rPr>
          <w:rFonts w:ascii="Aptos" w:hAnsi="Aptos"/>
        </w:rPr>
        <w:t xml:space="preserve">are included in the ATEC bill </w:t>
      </w:r>
      <w:r w:rsidR="00E41907">
        <w:rPr>
          <w:rFonts w:ascii="Aptos" w:hAnsi="Aptos"/>
        </w:rPr>
        <w:t>due to</w:t>
      </w:r>
      <w:r w:rsidR="00446CD0">
        <w:rPr>
          <w:rFonts w:ascii="Aptos" w:hAnsi="Aptos"/>
        </w:rPr>
        <w:t xml:space="preserve"> a clear policy decision, </w:t>
      </w:r>
      <w:r>
        <w:rPr>
          <w:rFonts w:ascii="Aptos" w:hAnsi="Aptos"/>
        </w:rPr>
        <w:t xml:space="preserve">or </w:t>
      </w:r>
      <w:r w:rsidR="00446CD0">
        <w:rPr>
          <w:rFonts w:ascii="Aptos" w:hAnsi="Aptos"/>
        </w:rPr>
        <w:t xml:space="preserve">whether their inclusion is just </w:t>
      </w:r>
      <w:r w:rsidR="00416A86">
        <w:rPr>
          <w:rFonts w:ascii="Aptos" w:hAnsi="Aptos"/>
        </w:rPr>
        <w:t xml:space="preserve">carried over </w:t>
      </w:r>
      <w:r>
        <w:rPr>
          <w:rFonts w:ascii="Aptos" w:hAnsi="Aptos"/>
        </w:rPr>
        <w:t xml:space="preserve">from </w:t>
      </w:r>
      <w:r w:rsidR="00446CD0">
        <w:rPr>
          <w:rFonts w:ascii="Aptos" w:hAnsi="Aptos"/>
        </w:rPr>
        <w:t xml:space="preserve">a parallel provision in the </w:t>
      </w:r>
      <w:r w:rsidR="00446CD0" w:rsidRPr="00ED5C5A">
        <w:rPr>
          <w:rFonts w:ascii="Aptos" w:hAnsi="Aptos"/>
          <w:i/>
          <w:iCs/>
        </w:rPr>
        <w:t>Higher Education Support Act 2003</w:t>
      </w:r>
      <w:r w:rsidR="00446CD0">
        <w:rPr>
          <w:rFonts w:ascii="Aptos" w:hAnsi="Aptos"/>
        </w:rPr>
        <w:t xml:space="preserve">. </w:t>
      </w:r>
      <w:r w:rsidR="00416A86">
        <w:rPr>
          <w:rFonts w:ascii="Aptos" w:hAnsi="Aptos"/>
        </w:rPr>
        <w:t>M</w:t>
      </w:r>
      <w:r w:rsidR="00446CD0">
        <w:rPr>
          <w:rFonts w:ascii="Aptos" w:hAnsi="Aptos"/>
        </w:rPr>
        <w:t>ission based compacts</w:t>
      </w:r>
      <w:r w:rsidR="00416A86">
        <w:rPr>
          <w:rFonts w:ascii="Aptos" w:hAnsi="Aptos"/>
        </w:rPr>
        <w:t xml:space="preserve"> already exist</w:t>
      </w:r>
      <w:r w:rsidR="00446CD0">
        <w:rPr>
          <w:rFonts w:ascii="Aptos" w:hAnsi="Aptos"/>
        </w:rPr>
        <w:t xml:space="preserve"> under </w:t>
      </w:r>
      <w:r w:rsidR="00446CD0" w:rsidRPr="00446CD0">
        <w:rPr>
          <w:rFonts w:ascii="Aptos" w:hAnsi="Aptos"/>
          <w:i/>
          <w:iCs/>
        </w:rPr>
        <w:t>HESA 2003</w:t>
      </w:r>
      <w:r w:rsidR="00446CD0">
        <w:rPr>
          <w:rFonts w:ascii="Aptos" w:hAnsi="Aptos"/>
        </w:rPr>
        <w:t>, but the</w:t>
      </w:r>
      <w:r w:rsidR="00416A86">
        <w:rPr>
          <w:rFonts w:ascii="Aptos" w:hAnsi="Aptos"/>
        </w:rPr>
        <w:t>y</w:t>
      </w:r>
      <w:r w:rsidR="00446CD0">
        <w:rPr>
          <w:rFonts w:ascii="Aptos" w:hAnsi="Aptos"/>
        </w:rPr>
        <w:t xml:space="preserve"> are just summaries of university policies on matters of interest to the government.</w:t>
      </w:r>
      <w:r w:rsidR="00E41907">
        <w:rPr>
          <w:rStyle w:val="FootnoteReference"/>
          <w:rFonts w:ascii="Aptos" w:hAnsi="Aptos"/>
        </w:rPr>
        <w:footnoteReference w:id="9"/>
      </w:r>
      <w:r w:rsidR="00446CD0">
        <w:rPr>
          <w:rFonts w:ascii="Aptos" w:hAnsi="Aptos"/>
        </w:rPr>
        <w:t xml:space="preserve"> </w:t>
      </w:r>
      <w:r w:rsidR="00E41907">
        <w:rPr>
          <w:rFonts w:ascii="Aptos" w:hAnsi="Aptos"/>
        </w:rPr>
        <w:t>T</w:t>
      </w:r>
      <w:r w:rsidR="00416A86">
        <w:rPr>
          <w:rFonts w:ascii="Aptos" w:hAnsi="Aptos"/>
        </w:rPr>
        <w:t xml:space="preserve">hey do not interfere with university missions or management. </w:t>
      </w:r>
    </w:p>
    <w:p w14:paraId="4E541DD6" w14:textId="035FA1CD" w:rsidR="00C761B7" w:rsidRDefault="00416A86" w:rsidP="00E8074E">
      <w:pPr>
        <w:pStyle w:val="NormalWeb"/>
        <w:rPr>
          <w:rFonts w:ascii="Aptos" w:hAnsi="Aptos"/>
        </w:rPr>
      </w:pPr>
      <w:r>
        <w:rPr>
          <w:rFonts w:ascii="Aptos" w:hAnsi="Aptos"/>
        </w:rPr>
        <w:t xml:space="preserve">The </w:t>
      </w:r>
      <w:proofErr w:type="gramStart"/>
      <w:r>
        <w:rPr>
          <w:rFonts w:ascii="Aptos" w:hAnsi="Aptos"/>
        </w:rPr>
        <w:t>mission based</w:t>
      </w:r>
      <w:proofErr w:type="gramEnd"/>
      <w:r>
        <w:rPr>
          <w:rFonts w:ascii="Aptos" w:hAnsi="Aptos"/>
        </w:rPr>
        <w:t xml:space="preserve"> compacts proposed under the ATEC bill</w:t>
      </w:r>
      <w:r w:rsidR="00FB35FD">
        <w:rPr>
          <w:rFonts w:ascii="Aptos" w:hAnsi="Aptos"/>
        </w:rPr>
        <w:t xml:space="preserve"> are</w:t>
      </w:r>
      <w:r>
        <w:rPr>
          <w:rFonts w:ascii="Aptos" w:hAnsi="Aptos"/>
        </w:rPr>
        <w:t>, however, of a very different character. T</w:t>
      </w:r>
      <w:r w:rsidR="00593854">
        <w:rPr>
          <w:rFonts w:ascii="Aptos" w:hAnsi="Aptos"/>
        </w:rPr>
        <w:t xml:space="preserve">he problems of the minister and ATEC’s broad powers, discussed in </w:t>
      </w:r>
      <w:r w:rsidR="004911A3">
        <w:rPr>
          <w:rFonts w:ascii="Aptos" w:hAnsi="Aptos"/>
        </w:rPr>
        <w:t>chapter</w:t>
      </w:r>
      <w:r w:rsidR="00593854">
        <w:rPr>
          <w:rFonts w:ascii="Aptos" w:hAnsi="Aptos"/>
        </w:rPr>
        <w:t xml:space="preserve"> </w:t>
      </w:r>
      <w:r w:rsidR="00593854">
        <w:rPr>
          <w:rFonts w:ascii="Aptos" w:hAnsi="Aptos"/>
        </w:rPr>
        <w:fldChar w:fldCharType="begin"/>
      </w:r>
      <w:r w:rsidR="00593854">
        <w:rPr>
          <w:rFonts w:ascii="Aptos" w:hAnsi="Aptos"/>
        </w:rPr>
        <w:instrText xml:space="preserve"> REF _Ref216282209 \r \h </w:instrText>
      </w:r>
      <w:r w:rsidR="00593854">
        <w:rPr>
          <w:rFonts w:ascii="Aptos" w:hAnsi="Aptos"/>
        </w:rPr>
      </w:r>
      <w:r w:rsidR="00593854">
        <w:rPr>
          <w:rFonts w:ascii="Aptos" w:hAnsi="Aptos"/>
        </w:rPr>
        <w:fldChar w:fldCharType="separate"/>
      </w:r>
      <w:r w:rsidR="0055214B">
        <w:rPr>
          <w:rFonts w:ascii="Aptos" w:hAnsi="Aptos"/>
        </w:rPr>
        <w:t>4</w:t>
      </w:r>
      <w:r w:rsidR="00593854">
        <w:rPr>
          <w:rFonts w:ascii="Aptos" w:hAnsi="Aptos"/>
        </w:rPr>
        <w:fldChar w:fldCharType="end"/>
      </w:r>
      <w:r w:rsidR="00593854">
        <w:rPr>
          <w:rFonts w:ascii="Aptos" w:hAnsi="Aptos"/>
        </w:rPr>
        <w:t xml:space="preserve"> of this submission, are more acute for Table B </w:t>
      </w:r>
      <w:r>
        <w:rPr>
          <w:rFonts w:ascii="Aptos" w:hAnsi="Aptos"/>
        </w:rPr>
        <w:t xml:space="preserve">than Table A </w:t>
      </w:r>
      <w:r w:rsidR="00FB35FD">
        <w:rPr>
          <w:rFonts w:ascii="Aptos" w:hAnsi="Aptos"/>
        </w:rPr>
        <w:t>universities</w:t>
      </w:r>
      <w:r w:rsidR="00593854">
        <w:rPr>
          <w:rFonts w:ascii="Aptos" w:hAnsi="Aptos"/>
        </w:rPr>
        <w:t xml:space="preserve">. </w:t>
      </w:r>
      <w:r>
        <w:rPr>
          <w:rFonts w:ascii="Aptos" w:hAnsi="Aptos"/>
        </w:rPr>
        <w:t>Table B</w:t>
      </w:r>
      <w:r w:rsidR="00BA2569">
        <w:rPr>
          <w:rFonts w:ascii="Aptos" w:hAnsi="Aptos"/>
        </w:rPr>
        <w:t xml:space="preserve"> </w:t>
      </w:r>
      <w:r w:rsidR="00FB35FD">
        <w:rPr>
          <w:rFonts w:ascii="Aptos" w:hAnsi="Aptos"/>
        </w:rPr>
        <w:t>universities</w:t>
      </w:r>
      <w:r w:rsidR="00BA2569">
        <w:rPr>
          <w:rFonts w:ascii="Aptos" w:hAnsi="Aptos"/>
        </w:rPr>
        <w:t xml:space="preserve"> have more distinct missions and styles of operation than Table A </w:t>
      </w:r>
      <w:r w:rsidR="00FB35FD">
        <w:rPr>
          <w:rFonts w:ascii="Aptos" w:hAnsi="Aptos"/>
        </w:rPr>
        <w:t>universities</w:t>
      </w:r>
      <w:r w:rsidR="00BA2569">
        <w:rPr>
          <w:rFonts w:ascii="Aptos" w:hAnsi="Aptos"/>
        </w:rPr>
        <w:t>, so the ATEC threat to conscript them into meeting</w:t>
      </w:r>
      <w:r w:rsidR="0045714F">
        <w:rPr>
          <w:rFonts w:ascii="Aptos" w:hAnsi="Aptos"/>
        </w:rPr>
        <w:t xml:space="preserve"> its own or</w:t>
      </w:r>
      <w:r w:rsidR="00BA2569">
        <w:rPr>
          <w:rFonts w:ascii="Aptos" w:hAnsi="Aptos"/>
        </w:rPr>
        <w:t xml:space="preserve"> the minister’s strategic priorities poses a greater risk. </w:t>
      </w:r>
    </w:p>
    <w:p w14:paraId="14D1A8CC" w14:textId="42D92B50" w:rsidR="00E41907" w:rsidRDefault="00E41907" w:rsidP="00E8074E">
      <w:pPr>
        <w:pStyle w:val="NormalWeb"/>
        <w:rPr>
          <w:rFonts w:ascii="Aptos" w:hAnsi="Aptos"/>
        </w:rPr>
      </w:pPr>
      <w:r>
        <w:rPr>
          <w:rFonts w:ascii="Aptos" w:hAnsi="Aptos"/>
        </w:rPr>
        <w:t xml:space="preserve">The goals of the Batchelor Institute of Indigenous Tertiary Education are aligned with those of ATEC, with multiple mentions of Indigenous matters through the </w:t>
      </w:r>
      <w:r w:rsidR="00FB35FD">
        <w:rPr>
          <w:rFonts w:ascii="Aptos" w:hAnsi="Aptos"/>
        </w:rPr>
        <w:t xml:space="preserve">main ATEC </w:t>
      </w:r>
      <w:r>
        <w:rPr>
          <w:rFonts w:ascii="Aptos" w:hAnsi="Aptos"/>
        </w:rPr>
        <w:t xml:space="preserve">bill. </w:t>
      </w:r>
      <w:r w:rsidR="00EB2131">
        <w:rPr>
          <w:rFonts w:ascii="Aptos" w:hAnsi="Aptos"/>
        </w:rPr>
        <w:t>However</w:t>
      </w:r>
      <w:r w:rsidR="00C44E05">
        <w:rPr>
          <w:rFonts w:ascii="Aptos" w:hAnsi="Aptos"/>
        </w:rPr>
        <w:t>,</w:t>
      </w:r>
      <w:r w:rsidR="00EB2131">
        <w:rPr>
          <w:rFonts w:ascii="Aptos" w:hAnsi="Aptos"/>
        </w:rPr>
        <w:t xml:space="preserve"> Batchelor’s higher education operations are smaller than any other provider in the compact system, with 23 students in 2024, all of them research students </w:t>
      </w:r>
      <w:sdt>
        <w:sdtPr>
          <w:rPr>
            <w:rFonts w:ascii="Aptos" w:hAnsi="Aptos"/>
            <w:color w:val="000000"/>
          </w:rPr>
          <w:tag w:val="MENDELEY_CITATION_v3_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"/>
          <w:id w:val="-1223285595"/>
          <w:placeholder>
            <w:docPart w:val="DefaultPlaceholder_-1854013440"/>
          </w:placeholder>
        </w:sdtPr>
        <w:sdtContent>
          <w:r w:rsidR="00094A58" w:rsidRPr="00094A58">
            <w:rPr>
              <w:rFonts w:ascii="Aptos" w:hAnsi="Aptos"/>
              <w:color w:val="000000"/>
            </w:rPr>
            <w:t>(DofE, 2025b, Section 2.5)</w:t>
          </w:r>
        </w:sdtContent>
      </w:sdt>
      <w:r w:rsidR="00EB2131">
        <w:rPr>
          <w:rFonts w:ascii="Aptos" w:hAnsi="Aptos"/>
        </w:rPr>
        <w:t xml:space="preserve">. Its compact will need to differ significantly from those of other Table A institutions. </w:t>
      </w:r>
    </w:p>
    <w:p w14:paraId="76297976" w14:textId="4B10FA1D" w:rsidR="00697331" w:rsidRDefault="00697331" w:rsidP="00697331">
      <w:pPr>
        <w:pStyle w:val="Heading2"/>
      </w:pPr>
      <w:bookmarkStart w:id="57" w:name="_Toc219380924"/>
      <w:r>
        <w:t>Opting out of a compact</w:t>
      </w:r>
      <w:bookmarkEnd w:id="57"/>
      <w:r>
        <w:t xml:space="preserve"> </w:t>
      </w:r>
    </w:p>
    <w:p w14:paraId="65887851" w14:textId="1376523B" w:rsidR="00ED5C5A" w:rsidRDefault="00ED5C5A" w:rsidP="00E8074E">
      <w:pPr>
        <w:pStyle w:val="NormalWeb"/>
        <w:rPr>
          <w:rStyle w:val="Emphasis"/>
          <w:rFonts w:ascii="Aptos" w:hAnsi="Aptos"/>
          <w:i w:val="0"/>
          <w:iCs w:val="0"/>
        </w:rPr>
      </w:pPr>
      <w:r>
        <w:rPr>
          <w:rFonts w:ascii="Aptos" w:hAnsi="Aptos"/>
        </w:rPr>
        <w:t xml:space="preserve">Table B universities could decline to </w:t>
      </w:r>
      <w:proofErr w:type="gramStart"/>
      <w:r>
        <w:rPr>
          <w:rFonts w:ascii="Aptos" w:hAnsi="Aptos"/>
        </w:rPr>
        <w:t>enter into</w:t>
      </w:r>
      <w:proofErr w:type="gramEnd"/>
      <w:r>
        <w:rPr>
          <w:rFonts w:ascii="Aptos" w:hAnsi="Aptos"/>
        </w:rPr>
        <w:t xml:space="preserve"> a mission based compact, but at the cost of access to funding under the </w:t>
      </w:r>
      <w:r w:rsidRPr="00ED5C5A">
        <w:rPr>
          <w:rFonts w:ascii="Aptos" w:hAnsi="Aptos"/>
          <w:i/>
          <w:iCs/>
        </w:rPr>
        <w:t>Higher Education Support Act 2003</w:t>
      </w:r>
      <w:r>
        <w:rPr>
          <w:rFonts w:ascii="Aptos" w:hAnsi="Aptos"/>
        </w:rPr>
        <w:t xml:space="preserve">: </w:t>
      </w:r>
      <w:r>
        <w:rPr>
          <w:rStyle w:val="Emphasis"/>
          <w:rFonts w:ascii="Aptos" w:hAnsi="Aptos"/>
          <w:i w:val="0"/>
          <w:iCs w:val="0"/>
        </w:rPr>
        <w:t xml:space="preserve">revised section 19-110 in schedule 1, item 1 in the </w:t>
      </w:r>
      <w:r w:rsidRPr="003D2549">
        <w:rPr>
          <w:rStyle w:val="Emphasis"/>
          <w:rFonts w:ascii="Aptos" w:hAnsi="Aptos"/>
        </w:rPr>
        <w:t>Universities Accord (Australian Tertiary Education Commission) (Consequential and Transitional Provisions) Bill 2025</w:t>
      </w:r>
      <w:r>
        <w:rPr>
          <w:rStyle w:val="Emphasis"/>
          <w:rFonts w:ascii="Aptos" w:hAnsi="Aptos"/>
          <w:i w:val="0"/>
          <w:iCs w:val="0"/>
        </w:rPr>
        <w:t xml:space="preserve">. </w:t>
      </w:r>
      <w:r w:rsidRPr="00416A86">
        <w:rPr>
          <w:rStyle w:val="Emphasis"/>
          <w:rFonts w:ascii="Aptos" w:hAnsi="Aptos"/>
          <w:i w:val="0"/>
          <w:iCs w:val="0"/>
        </w:rPr>
        <w:fldChar w:fldCharType="begin"/>
      </w:r>
      <w:r w:rsidRPr="00416A86">
        <w:rPr>
          <w:rStyle w:val="Emphasis"/>
          <w:rFonts w:ascii="Aptos" w:hAnsi="Aptos"/>
          <w:i w:val="0"/>
          <w:iCs w:val="0"/>
        </w:rPr>
        <w:instrText xml:space="preserve"> REF _Ref218845266 \h </w:instrText>
      </w:r>
      <w:r w:rsidR="00416A86">
        <w:rPr>
          <w:rStyle w:val="Emphasis"/>
          <w:rFonts w:ascii="Aptos" w:hAnsi="Aptos"/>
          <w:i w:val="0"/>
          <w:iCs w:val="0"/>
        </w:rPr>
        <w:instrText xml:space="preserve"> \* MERGEFORMAT </w:instrText>
      </w:r>
      <w:r w:rsidRPr="00416A86">
        <w:rPr>
          <w:rStyle w:val="Emphasis"/>
          <w:rFonts w:ascii="Aptos" w:hAnsi="Aptos"/>
          <w:i w:val="0"/>
          <w:iCs w:val="0"/>
        </w:rPr>
      </w:r>
      <w:r w:rsidRPr="00416A86">
        <w:rPr>
          <w:rStyle w:val="Emphasis"/>
          <w:rFonts w:ascii="Aptos" w:hAnsi="Aptos"/>
          <w:i w:val="0"/>
          <w:iCs w:val="0"/>
        </w:rPr>
        <w:fldChar w:fldCharType="separate"/>
      </w:r>
      <w:r w:rsidR="0055214B" w:rsidRPr="0055214B">
        <w:rPr>
          <w:rFonts w:ascii="Aptos" w:hAnsi="Aptos"/>
        </w:rPr>
        <w:t xml:space="preserve">Table </w:t>
      </w:r>
      <w:r w:rsidR="0055214B" w:rsidRPr="0055214B">
        <w:rPr>
          <w:rFonts w:ascii="Aptos" w:hAnsi="Aptos"/>
          <w:noProof/>
        </w:rPr>
        <w:t>1</w:t>
      </w:r>
      <w:r w:rsidRPr="00416A86">
        <w:rPr>
          <w:rStyle w:val="Emphasis"/>
          <w:rFonts w:ascii="Aptos" w:hAnsi="Aptos"/>
          <w:i w:val="0"/>
          <w:iCs w:val="0"/>
        </w:rPr>
        <w:fldChar w:fldCharType="end"/>
      </w:r>
      <w:r>
        <w:rPr>
          <w:rStyle w:val="Emphasis"/>
          <w:rFonts w:ascii="Aptos" w:hAnsi="Aptos"/>
          <w:i w:val="0"/>
          <w:iCs w:val="0"/>
        </w:rPr>
        <w:t xml:space="preserve"> </w:t>
      </w:r>
      <w:r w:rsidR="00416A86">
        <w:rPr>
          <w:rStyle w:val="Emphasis"/>
          <w:rFonts w:ascii="Aptos" w:hAnsi="Aptos"/>
          <w:i w:val="0"/>
          <w:iCs w:val="0"/>
        </w:rPr>
        <w:t xml:space="preserve">on the next page </w:t>
      </w:r>
      <w:r>
        <w:rPr>
          <w:rStyle w:val="Emphasis"/>
          <w:rFonts w:ascii="Aptos" w:hAnsi="Aptos"/>
          <w:i w:val="0"/>
          <w:iCs w:val="0"/>
        </w:rPr>
        <w:t xml:space="preserve">shows 2025 payments under </w:t>
      </w:r>
      <w:r w:rsidRPr="00ED5C5A">
        <w:rPr>
          <w:rStyle w:val="Emphasis"/>
          <w:rFonts w:ascii="Aptos" w:hAnsi="Aptos"/>
        </w:rPr>
        <w:t>HESA 2003</w:t>
      </w:r>
      <w:r>
        <w:rPr>
          <w:rStyle w:val="Emphasis"/>
          <w:rFonts w:ascii="Aptos" w:hAnsi="Aptos"/>
          <w:i w:val="0"/>
          <w:iCs w:val="0"/>
        </w:rPr>
        <w:t xml:space="preserve"> to Table B universities. </w:t>
      </w:r>
    </w:p>
    <w:p w14:paraId="3F8DFA1B" w14:textId="764A3584" w:rsidR="00416A86" w:rsidRDefault="0045714F" w:rsidP="00E8074E">
      <w:pPr>
        <w:pStyle w:val="NormalWeb"/>
        <w:rPr>
          <w:rFonts w:ascii="Aptos" w:hAnsi="Aptos"/>
        </w:rPr>
      </w:pPr>
      <w:r>
        <w:rPr>
          <w:rFonts w:ascii="Aptos" w:hAnsi="Aptos"/>
        </w:rPr>
        <w:t xml:space="preserve">Based on 2024 total revenues for Table B universities opting out of a compact is not realistic for Avondale University, as more than a third of its income comes from </w:t>
      </w:r>
      <w:r w:rsidRPr="00857625">
        <w:rPr>
          <w:rFonts w:ascii="Aptos" w:hAnsi="Aptos"/>
          <w:i/>
          <w:iCs/>
        </w:rPr>
        <w:t>HESA 2003</w:t>
      </w:r>
      <w:r>
        <w:rPr>
          <w:rFonts w:ascii="Aptos" w:hAnsi="Aptos"/>
        </w:rPr>
        <w:t xml:space="preserve"> sources </w:t>
      </w:r>
      <w:sdt>
        <w:sdtPr>
          <w:rPr>
            <w:rFonts w:ascii="Aptos" w:hAnsi="Aptos"/>
            <w:color w:val="000000"/>
          </w:rPr>
          <w:tag w:val="MENDELEY_CITATION_v3_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49121262"/>
          <w:placeholder>
            <w:docPart w:val="B71F28DE2C7A44A3AA751E97B0558E4A"/>
          </w:placeholder>
        </w:sdtPr>
        <w:sdtContent>
          <w:r w:rsidR="00094A58" w:rsidRPr="00094A58">
            <w:rPr>
              <w:rFonts w:ascii="Aptos" w:hAnsi="Aptos"/>
              <w:color w:val="000000"/>
            </w:rPr>
            <w:t>(DofE, 2025a)</w:t>
          </w:r>
        </w:sdtContent>
      </w:sdt>
      <w:r>
        <w:rPr>
          <w:rFonts w:ascii="Aptos" w:hAnsi="Aptos"/>
        </w:rPr>
        <w:t xml:space="preserve">. For the other universities declining a compact may be </w:t>
      </w:r>
      <w:r w:rsidR="00416A86">
        <w:rPr>
          <w:rFonts w:ascii="Aptos" w:hAnsi="Aptos"/>
        </w:rPr>
        <w:t xml:space="preserve">financially </w:t>
      </w:r>
      <w:r>
        <w:rPr>
          <w:rFonts w:ascii="Aptos" w:hAnsi="Aptos"/>
        </w:rPr>
        <w:t xml:space="preserve">viable. </w:t>
      </w:r>
    </w:p>
    <w:p w14:paraId="7A2B0B34" w14:textId="77777777" w:rsidR="00416A86" w:rsidRDefault="00416A86">
      <w:pPr>
        <w:rPr>
          <w:rFonts w:ascii="Aptos" w:eastAsia="Times New Roman" w:hAnsi="Aptos" w:cs="Times New Roman"/>
          <w:szCs w:val="24"/>
          <w:lang w:eastAsia="en-AU"/>
        </w:rPr>
      </w:pPr>
      <w:r>
        <w:rPr>
          <w:rFonts w:ascii="Aptos" w:hAnsi="Aptos"/>
        </w:rPr>
        <w:br w:type="page"/>
      </w:r>
    </w:p>
    <w:p w14:paraId="371A3CB8" w14:textId="1A909031" w:rsidR="00ED5C5A" w:rsidRDefault="00ED5C5A" w:rsidP="00ED5C5A">
      <w:pPr>
        <w:pStyle w:val="Caption"/>
        <w:keepNext/>
      </w:pPr>
      <w:bookmarkStart w:id="58" w:name="_Ref218845266"/>
      <w:r>
        <w:lastRenderedPageBreak/>
        <w:t xml:space="preserve">Table </w:t>
      </w:r>
      <w:r>
        <w:fldChar w:fldCharType="begin"/>
      </w:r>
      <w:r>
        <w:instrText xml:space="preserve"> SEQ Table \* ARABIC </w:instrText>
      </w:r>
      <w:r>
        <w:fldChar w:fldCharType="separate"/>
      </w:r>
      <w:r w:rsidR="0055214B">
        <w:rPr>
          <w:noProof/>
        </w:rPr>
        <w:t>1</w:t>
      </w:r>
      <w:r>
        <w:fldChar w:fldCharType="end"/>
      </w:r>
      <w:bookmarkEnd w:id="58"/>
      <w:r>
        <w:t>: Table B grant schemes and payments 2025</w:t>
      </w:r>
    </w:p>
    <w:p w14:paraId="04982A27" w14:textId="3B2BBD71" w:rsidR="00ED5C5A" w:rsidRDefault="00F97F8E" w:rsidP="00ED5C5A">
      <w:pPr>
        <w:pStyle w:val="NormalWeb"/>
        <w:rPr>
          <w:rFonts w:ascii="Aptos" w:hAnsi="Aptos"/>
        </w:rPr>
      </w:pPr>
      <w:r w:rsidRPr="00F97F8E">
        <w:rPr>
          <w:rFonts w:ascii="Aptos" w:hAnsi="Aptos"/>
        </w:rPr>
        <w:drawing>
          <wp:inline distT="0" distB="0" distL="0" distR="0" wp14:anchorId="180F763D" wp14:editId="2F6EFDA8">
            <wp:extent cx="5731510" cy="1141095"/>
            <wp:effectExtent l="0" t="0" r="2540" b="1905"/>
            <wp:docPr id="16342632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4263229" name=""/>
                    <pic:cNvPicPr/>
                  </pic:nvPicPr>
                  <pic:blipFill>
                    <a:blip r:embed="rId8"/>
                    <a:stretch>
                      <a:fillRect/>
                    </a:stretch>
                  </pic:blipFill>
                  <pic:spPr>
                    <a:xfrm>
                      <a:off x="0" y="0"/>
                      <a:ext cx="5731510" cy="1141095"/>
                    </a:xfrm>
                    <a:prstGeom prst="rect">
                      <a:avLst/>
                    </a:prstGeom>
                  </pic:spPr>
                </pic:pic>
              </a:graphicData>
            </a:graphic>
          </wp:inline>
        </w:drawing>
      </w:r>
    </w:p>
    <w:p w14:paraId="5C95BC55" w14:textId="2B4C58C0" w:rsidR="00ED5C5A" w:rsidRPr="00B80995" w:rsidRDefault="00ED5C5A" w:rsidP="00ED5C5A">
      <w:pPr>
        <w:pStyle w:val="NormalWeb"/>
        <w:rPr>
          <w:rFonts w:ascii="Aptos" w:hAnsi="Aptos"/>
          <w:sz w:val="22"/>
          <w:szCs w:val="22"/>
        </w:rPr>
      </w:pPr>
      <w:r w:rsidRPr="00B80995">
        <w:rPr>
          <w:rFonts w:ascii="Aptos" w:hAnsi="Aptos"/>
          <w:sz w:val="22"/>
          <w:szCs w:val="22"/>
        </w:rPr>
        <w:t xml:space="preserve">Note: The table shows funding </w:t>
      </w:r>
      <w:r w:rsidR="00E21780">
        <w:rPr>
          <w:rFonts w:ascii="Aptos" w:hAnsi="Aptos"/>
          <w:sz w:val="22"/>
          <w:szCs w:val="22"/>
        </w:rPr>
        <w:t>grants</w:t>
      </w:r>
      <w:r w:rsidRPr="00B80995">
        <w:rPr>
          <w:rFonts w:ascii="Aptos" w:hAnsi="Aptos"/>
          <w:sz w:val="22"/>
          <w:szCs w:val="22"/>
        </w:rPr>
        <w:t xml:space="preserve"> Table B providers </w:t>
      </w:r>
      <w:r>
        <w:rPr>
          <w:rFonts w:ascii="Aptos" w:hAnsi="Aptos"/>
          <w:sz w:val="22"/>
          <w:szCs w:val="22"/>
        </w:rPr>
        <w:t>can</w:t>
      </w:r>
      <w:r w:rsidRPr="00B80995">
        <w:rPr>
          <w:rFonts w:ascii="Aptos" w:hAnsi="Aptos"/>
          <w:sz w:val="22"/>
          <w:szCs w:val="22"/>
        </w:rPr>
        <w:t xml:space="preserve"> receive under </w:t>
      </w:r>
      <w:r w:rsidRPr="00B80995">
        <w:rPr>
          <w:rFonts w:ascii="Aptos" w:hAnsi="Aptos"/>
          <w:i/>
          <w:iCs/>
          <w:sz w:val="22"/>
          <w:szCs w:val="22"/>
        </w:rPr>
        <w:t>HESA 2003</w:t>
      </w:r>
      <w:r>
        <w:rPr>
          <w:rFonts w:ascii="Aptos" w:hAnsi="Aptos"/>
          <w:i/>
          <w:iCs/>
          <w:sz w:val="22"/>
          <w:szCs w:val="22"/>
        </w:rPr>
        <w:t xml:space="preserve">, </w:t>
      </w:r>
      <w:proofErr w:type="gramStart"/>
      <w:r>
        <w:rPr>
          <w:rFonts w:ascii="Aptos" w:hAnsi="Aptos"/>
          <w:sz w:val="22"/>
          <w:szCs w:val="22"/>
        </w:rPr>
        <w:t>whether or not</w:t>
      </w:r>
      <w:proofErr w:type="gramEnd"/>
      <w:r>
        <w:rPr>
          <w:rFonts w:ascii="Aptos" w:hAnsi="Aptos"/>
          <w:sz w:val="22"/>
          <w:szCs w:val="22"/>
        </w:rPr>
        <w:t xml:space="preserve"> </w:t>
      </w:r>
      <w:r w:rsidR="00697331">
        <w:rPr>
          <w:rFonts w:ascii="Aptos" w:hAnsi="Aptos"/>
          <w:sz w:val="22"/>
          <w:szCs w:val="22"/>
        </w:rPr>
        <w:t>money</w:t>
      </w:r>
      <w:r>
        <w:rPr>
          <w:rFonts w:ascii="Aptos" w:hAnsi="Aptos"/>
          <w:sz w:val="22"/>
          <w:szCs w:val="22"/>
        </w:rPr>
        <w:t xml:space="preserve"> was received in 2025</w:t>
      </w:r>
      <w:r w:rsidRPr="00B80995">
        <w:rPr>
          <w:rFonts w:ascii="Aptos" w:hAnsi="Aptos"/>
          <w:sz w:val="22"/>
          <w:szCs w:val="22"/>
        </w:rPr>
        <w:t xml:space="preserve">. </w:t>
      </w:r>
      <w:r>
        <w:rPr>
          <w:rFonts w:ascii="Aptos" w:hAnsi="Aptos"/>
          <w:sz w:val="22"/>
          <w:szCs w:val="22"/>
        </w:rPr>
        <w:t xml:space="preserve">Torrens University and the University of Divinity had equity places under the CGS in 2025, </w:t>
      </w:r>
      <w:r w:rsidR="00416A86">
        <w:rPr>
          <w:rFonts w:ascii="Aptos" w:hAnsi="Aptos"/>
          <w:sz w:val="22"/>
          <w:szCs w:val="22"/>
        </w:rPr>
        <w:t>but these places will not continue into 2026</w:t>
      </w:r>
      <w:r>
        <w:rPr>
          <w:rFonts w:ascii="Aptos" w:hAnsi="Aptos"/>
          <w:sz w:val="22"/>
          <w:szCs w:val="22"/>
        </w:rPr>
        <w:t xml:space="preserve">. </w:t>
      </w:r>
    </w:p>
    <w:p w14:paraId="5FF28C15" w14:textId="7E9D6FCD" w:rsidR="00857625" w:rsidRDefault="00857625" w:rsidP="00857625">
      <w:pPr>
        <w:pStyle w:val="Heading2"/>
      </w:pPr>
      <w:bookmarkStart w:id="59" w:name="_Toc219380925"/>
      <w:r>
        <w:t>Different types of compacts</w:t>
      </w:r>
      <w:bookmarkEnd w:id="59"/>
    </w:p>
    <w:p w14:paraId="6C2F6C44" w14:textId="77777777" w:rsidR="00ED5C5A" w:rsidRDefault="00ED5C5A" w:rsidP="00ED5C5A">
      <w:pPr>
        <w:pStyle w:val="NormalWeb"/>
        <w:rPr>
          <w:rFonts w:ascii="Aptos" w:hAnsi="Aptos"/>
        </w:rPr>
      </w:pPr>
      <w:r>
        <w:rPr>
          <w:rFonts w:ascii="Aptos" w:hAnsi="Aptos"/>
        </w:rPr>
        <w:t xml:space="preserve">The minister cannot direct ATEC to treat Table B providers differently: section 71(2)(c), which prevents directions based on a ‘class or classes of higher education provider’. </w:t>
      </w:r>
    </w:p>
    <w:p w14:paraId="2A2F1B1A" w14:textId="00D6B3B1" w:rsidR="00ED5C5A" w:rsidRDefault="00E21780" w:rsidP="00E8074E">
      <w:pPr>
        <w:pStyle w:val="NormalWeb"/>
        <w:rPr>
          <w:rFonts w:ascii="Aptos" w:hAnsi="Aptos"/>
        </w:rPr>
      </w:pPr>
      <w:r>
        <w:rPr>
          <w:rFonts w:ascii="Aptos" w:hAnsi="Aptos"/>
        </w:rPr>
        <w:t xml:space="preserve">ATEC, however, can offer compacts that respect differences between institutions, including contributing to diversity within the system: section 28(a). </w:t>
      </w:r>
    </w:p>
    <w:p w14:paraId="04AACC2D" w14:textId="4979F5CC" w:rsidR="00E21780" w:rsidRDefault="00E21780" w:rsidP="00E8074E">
      <w:pPr>
        <w:pStyle w:val="NormalWeb"/>
        <w:rPr>
          <w:rFonts w:ascii="Aptos" w:hAnsi="Aptos"/>
        </w:rPr>
      </w:pPr>
      <w:r>
        <w:rPr>
          <w:rFonts w:ascii="Aptos" w:hAnsi="Aptos"/>
        </w:rPr>
        <w:t xml:space="preserve">One option for ATEC may be to relate compact performance terms to the Commonwealth funding programs with Table B providers receive. </w:t>
      </w:r>
    </w:p>
    <w:p w14:paraId="4512F831" w14:textId="04351E29" w:rsidR="006A34D1" w:rsidRDefault="00E21780" w:rsidP="00E21780">
      <w:pPr>
        <w:pStyle w:val="NormalWeb"/>
        <w:rPr>
          <w:rFonts w:ascii="Aptos" w:hAnsi="Aptos"/>
        </w:rPr>
      </w:pPr>
      <w:r>
        <w:rPr>
          <w:rFonts w:ascii="Aptos" w:hAnsi="Aptos"/>
        </w:rPr>
        <w:t xml:space="preserve">But with no obvious benefits from compacts for Table B universities it would be better to drop them from the compact system and leave them eligible for </w:t>
      </w:r>
      <w:r w:rsidR="0045714F">
        <w:rPr>
          <w:rFonts w:ascii="Aptos" w:hAnsi="Aptos"/>
        </w:rPr>
        <w:t xml:space="preserve">the Commonwealth Grant Scheme and </w:t>
      </w:r>
      <w:r>
        <w:rPr>
          <w:rFonts w:ascii="Aptos" w:hAnsi="Aptos"/>
        </w:rPr>
        <w:t xml:space="preserve">rule-driven funding </w:t>
      </w:r>
      <w:r w:rsidR="00FB35FD">
        <w:rPr>
          <w:rFonts w:ascii="Aptos" w:hAnsi="Aptos"/>
        </w:rPr>
        <w:t>from</w:t>
      </w:r>
      <w:r>
        <w:rPr>
          <w:rFonts w:ascii="Aptos" w:hAnsi="Aptos"/>
        </w:rPr>
        <w:t xml:space="preserve"> the </w:t>
      </w:r>
      <w:r w:rsidR="00C761B7">
        <w:rPr>
          <w:rFonts w:ascii="Aptos" w:hAnsi="Aptos"/>
        </w:rPr>
        <w:t xml:space="preserve">research block grant, </w:t>
      </w:r>
      <w:proofErr w:type="spellStart"/>
      <w:r w:rsidR="00C761B7">
        <w:rPr>
          <w:rFonts w:ascii="Aptos" w:hAnsi="Aptos"/>
        </w:rPr>
        <w:t>Prac</w:t>
      </w:r>
      <w:proofErr w:type="spellEnd"/>
      <w:r w:rsidR="00C761B7">
        <w:rPr>
          <w:rFonts w:ascii="Aptos" w:hAnsi="Aptos"/>
        </w:rPr>
        <w:t xml:space="preserve"> Payment and ISSP programs</w:t>
      </w:r>
      <w:r>
        <w:rPr>
          <w:rFonts w:ascii="Aptos" w:hAnsi="Aptos"/>
        </w:rPr>
        <w:t xml:space="preserve">. </w:t>
      </w:r>
    </w:p>
    <w:p w14:paraId="17CBB12C" w14:textId="782F0039" w:rsidR="00C761B7" w:rsidRDefault="00C761B7" w:rsidP="00260205">
      <w:pPr>
        <w:rPr>
          <w:rFonts w:ascii="Aptos" w:hAnsi="Aptos"/>
        </w:rPr>
      </w:pPr>
      <w:r>
        <w:rPr>
          <w:rFonts w:ascii="Aptos" w:hAnsi="Aptos"/>
        </w:rPr>
        <w:t>Recommendation:</w:t>
      </w:r>
    </w:p>
    <w:p w14:paraId="43E405CE" w14:textId="6BD487DE" w:rsidR="00CE5C17" w:rsidRDefault="00C761B7" w:rsidP="00CE5C17">
      <w:pPr>
        <w:pStyle w:val="NormalWeb"/>
        <w:rPr>
          <w:rStyle w:val="Emphasis"/>
          <w:rFonts w:ascii="Aptos" w:hAnsi="Aptos"/>
          <w:i w:val="0"/>
          <w:iCs w:val="0"/>
        </w:rPr>
      </w:pPr>
      <w:r>
        <w:rPr>
          <w:rFonts w:ascii="Aptos" w:hAnsi="Aptos"/>
        </w:rPr>
        <w:t xml:space="preserve">Mission based compacts apply to Table A universities only. This would require an amendment to </w:t>
      </w:r>
      <w:r w:rsidR="00CE5C17">
        <w:rPr>
          <w:rStyle w:val="Emphasis"/>
          <w:rFonts w:ascii="Aptos" w:hAnsi="Aptos"/>
          <w:i w:val="0"/>
          <w:iCs w:val="0"/>
        </w:rPr>
        <w:t xml:space="preserve">section 19-110 in schedule 1, item 1 in the </w:t>
      </w:r>
      <w:r w:rsidR="00CE5C17" w:rsidRPr="003D2549">
        <w:rPr>
          <w:rStyle w:val="Emphasis"/>
          <w:rFonts w:ascii="Aptos" w:hAnsi="Aptos"/>
        </w:rPr>
        <w:t>Universities Accord (Australian Tertiary Education Commission) (Consequential and Transitional Provisions) Bill 2025.</w:t>
      </w:r>
      <w:r w:rsidR="00CE5C17">
        <w:rPr>
          <w:rStyle w:val="Emphasis"/>
          <w:rFonts w:ascii="Aptos" w:hAnsi="Aptos"/>
          <w:i w:val="0"/>
          <w:iCs w:val="0"/>
        </w:rPr>
        <w:t xml:space="preserve"> </w:t>
      </w:r>
    </w:p>
    <w:p w14:paraId="7A5B1366" w14:textId="219525C6" w:rsidR="00167543" w:rsidRDefault="00436405">
      <w:pPr>
        <w:rPr>
          <w:rFonts w:ascii="Aptos" w:hAnsi="Aptos"/>
        </w:rPr>
      </w:pPr>
      <w:r>
        <w:rPr>
          <w:rFonts w:ascii="Aptos" w:hAnsi="Aptos"/>
        </w:rPr>
        <w:t xml:space="preserve">Table B universities continue to receive funds from </w:t>
      </w:r>
      <w:r w:rsidR="0045714F">
        <w:rPr>
          <w:rFonts w:ascii="Aptos" w:hAnsi="Aptos"/>
        </w:rPr>
        <w:t xml:space="preserve">the Commonwealth Grant Scheme and </w:t>
      </w:r>
      <w:r>
        <w:rPr>
          <w:rFonts w:ascii="Aptos" w:hAnsi="Aptos"/>
        </w:rPr>
        <w:t xml:space="preserve">rule-driven programs according to their criteria. </w:t>
      </w:r>
      <w:r w:rsidR="00167543">
        <w:rPr>
          <w:rFonts w:ascii="Aptos" w:hAnsi="Aptos"/>
        </w:rPr>
        <w:br w:type="page"/>
      </w:r>
    </w:p>
    <w:p w14:paraId="777B5956" w14:textId="1F2A6F1D" w:rsidR="008C5B5A" w:rsidRPr="00F21E96" w:rsidRDefault="00F21E96" w:rsidP="00260205">
      <w:pPr>
        <w:pStyle w:val="Heading1"/>
        <w:numPr>
          <w:ilvl w:val="0"/>
          <w:numId w:val="7"/>
        </w:numPr>
        <w:ind w:left="357" w:hanging="357"/>
        <w:rPr>
          <w:rFonts w:ascii="Aptos" w:hAnsi="Aptos" w:cstheme="minorHAnsi"/>
          <w:sz w:val="32"/>
          <w:szCs w:val="32"/>
        </w:rPr>
      </w:pPr>
      <w:bookmarkStart w:id="60" w:name="_Ref218521411"/>
      <w:bookmarkStart w:id="61" w:name="_Ref218850771"/>
      <w:bookmarkStart w:id="62" w:name="_Toc219380926"/>
      <w:r>
        <w:rPr>
          <w:rFonts w:ascii="Aptos" w:hAnsi="Aptos" w:cstheme="minorHAnsi"/>
          <w:color w:val="4F81BD" w:themeColor="accent1"/>
          <w:sz w:val="32"/>
          <w:szCs w:val="32"/>
        </w:rPr>
        <w:lastRenderedPageBreak/>
        <w:t xml:space="preserve">International </w:t>
      </w:r>
      <w:bookmarkEnd w:id="60"/>
      <w:r w:rsidR="00E21780">
        <w:rPr>
          <w:rFonts w:ascii="Aptos" w:hAnsi="Aptos" w:cstheme="minorHAnsi"/>
          <w:color w:val="4F81BD" w:themeColor="accent1"/>
          <w:sz w:val="32"/>
          <w:szCs w:val="32"/>
        </w:rPr>
        <w:t>student caps</w:t>
      </w:r>
      <w:bookmarkEnd w:id="61"/>
      <w:bookmarkEnd w:id="62"/>
    </w:p>
    <w:p w14:paraId="43BE643E" w14:textId="7FEDF8BC" w:rsidR="00F21E96" w:rsidRDefault="00F21E96" w:rsidP="00F21E96">
      <w:pPr>
        <w:pStyle w:val="BodyText"/>
        <w:rPr>
          <w:rStyle w:val="Emphasis"/>
          <w:rFonts w:ascii="Aptos" w:hAnsi="Aptos"/>
          <w:i w:val="0"/>
          <w:iCs w:val="0"/>
        </w:rPr>
      </w:pPr>
      <w:r>
        <w:rPr>
          <w:rFonts w:ascii="Aptos" w:hAnsi="Aptos"/>
        </w:rPr>
        <w:t xml:space="preserve">One of ATEC’s </w:t>
      </w:r>
      <w:r w:rsidR="001B2BC7">
        <w:rPr>
          <w:rFonts w:ascii="Aptos" w:hAnsi="Aptos"/>
        </w:rPr>
        <w:t>functions</w:t>
      </w:r>
      <w:r>
        <w:rPr>
          <w:rFonts w:ascii="Aptos" w:hAnsi="Aptos"/>
        </w:rPr>
        <w:t xml:space="preserve"> foreshadows </w:t>
      </w:r>
      <w:r w:rsidR="00E21780">
        <w:rPr>
          <w:rFonts w:ascii="Aptos" w:hAnsi="Aptos"/>
        </w:rPr>
        <w:t>another</w:t>
      </w:r>
      <w:r>
        <w:rPr>
          <w:rFonts w:ascii="Aptos" w:hAnsi="Aptos"/>
        </w:rPr>
        <w:t xml:space="preserve"> government attempt to regulate international student numbers. Section 11(h) states that a function of ATEC is to ‘allocate a maximum number of international student commencements to ESOS registered providers at the direction of the Minister’</w:t>
      </w:r>
      <w:r w:rsidR="0080489C">
        <w:rPr>
          <w:rFonts w:ascii="Aptos" w:hAnsi="Aptos"/>
        </w:rPr>
        <w:t xml:space="preserve">: </w:t>
      </w:r>
      <w:r w:rsidR="0080489C" w:rsidRPr="00E8311D">
        <w:rPr>
          <w:rStyle w:val="Emphasis"/>
          <w:rFonts w:ascii="Aptos" w:hAnsi="Aptos"/>
        </w:rPr>
        <w:t>Universities Accord (Australian Tertiary Education Commission) Bill 2025</w:t>
      </w:r>
      <w:r w:rsidR="0080489C">
        <w:rPr>
          <w:rStyle w:val="Emphasis"/>
          <w:rFonts w:ascii="Aptos" w:hAnsi="Aptos"/>
          <w:i w:val="0"/>
          <w:iCs w:val="0"/>
        </w:rPr>
        <w:t xml:space="preserve">. </w:t>
      </w:r>
    </w:p>
    <w:p w14:paraId="38D553CC" w14:textId="77777777" w:rsidR="00E21780" w:rsidRDefault="00E21780" w:rsidP="00F21E96">
      <w:pPr>
        <w:pStyle w:val="BodyText"/>
        <w:rPr>
          <w:rStyle w:val="Emphasis"/>
          <w:rFonts w:ascii="Aptos" w:hAnsi="Aptos"/>
          <w:i w:val="0"/>
          <w:iCs w:val="0"/>
        </w:rPr>
      </w:pPr>
    </w:p>
    <w:p w14:paraId="4AFC67CA" w14:textId="746448B5" w:rsidR="00A15831" w:rsidRDefault="00A15831" w:rsidP="00A15831">
      <w:pPr>
        <w:pStyle w:val="BodyText"/>
        <w:rPr>
          <w:rStyle w:val="Emphasis"/>
          <w:rFonts w:ascii="Aptos" w:hAnsi="Aptos"/>
          <w:i w:val="0"/>
          <w:iCs w:val="0"/>
        </w:rPr>
      </w:pPr>
      <w:r>
        <w:rPr>
          <w:rStyle w:val="Emphasis"/>
          <w:rFonts w:ascii="Aptos" w:hAnsi="Aptos"/>
          <w:i w:val="0"/>
          <w:iCs w:val="0"/>
        </w:rPr>
        <w:t xml:space="preserve">In the bill’s definitions </w:t>
      </w:r>
      <w:r w:rsidR="00E21780">
        <w:rPr>
          <w:rStyle w:val="Emphasis"/>
          <w:rFonts w:ascii="Aptos" w:hAnsi="Aptos"/>
          <w:i w:val="0"/>
          <w:iCs w:val="0"/>
        </w:rPr>
        <w:t xml:space="preserve">‘ESOS registered providers’ </w:t>
      </w:r>
      <w:r w:rsidR="00416A86">
        <w:rPr>
          <w:rStyle w:val="Emphasis"/>
          <w:rFonts w:ascii="Aptos" w:hAnsi="Aptos"/>
          <w:i w:val="0"/>
          <w:iCs w:val="0"/>
        </w:rPr>
        <w:t>means</w:t>
      </w:r>
      <w:r>
        <w:rPr>
          <w:rStyle w:val="Emphasis"/>
          <w:rFonts w:ascii="Aptos" w:hAnsi="Aptos"/>
          <w:i w:val="0"/>
          <w:iCs w:val="0"/>
        </w:rPr>
        <w:t xml:space="preserve"> TEQSA-registered higher education providers registered</w:t>
      </w:r>
      <w:r w:rsidR="009714B7">
        <w:rPr>
          <w:rStyle w:val="Emphasis"/>
          <w:rFonts w:ascii="Aptos" w:hAnsi="Aptos"/>
          <w:i w:val="0"/>
          <w:iCs w:val="0"/>
        </w:rPr>
        <w:t xml:space="preserve"> to offer courses to international students </w:t>
      </w:r>
      <w:r>
        <w:rPr>
          <w:rStyle w:val="Emphasis"/>
          <w:rFonts w:ascii="Aptos" w:hAnsi="Aptos"/>
          <w:i w:val="0"/>
          <w:iCs w:val="0"/>
        </w:rPr>
        <w:t xml:space="preserve">under the </w:t>
      </w:r>
      <w:r w:rsidR="009714B7" w:rsidRPr="009714B7">
        <w:rPr>
          <w:rStyle w:val="Emphasis"/>
          <w:rFonts w:ascii="Aptos" w:hAnsi="Aptos"/>
        </w:rPr>
        <w:t xml:space="preserve">Education Services for Overseas Students </w:t>
      </w:r>
      <w:r w:rsidR="009714B7">
        <w:rPr>
          <w:rStyle w:val="Emphasis"/>
          <w:rFonts w:ascii="Aptos" w:hAnsi="Aptos"/>
        </w:rPr>
        <w:t xml:space="preserve">Act </w:t>
      </w:r>
      <w:r w:rsidR="009714B7" w:rsidRPr="009714B7">
        <w:rPr>
          <w:rStyle w:val="Emphasis"/>
          <w:rFonts w:ascii="Aptos" w:hAnsi="Aptos"/>
        </w:rPr>
        <w:t>2000</w:t>
      </w:r>
      <w:r>
        <w:rPr>
          <w:rStyle w:val="Emphasis"/>
          <w:rFonts w:ascii="Aptos" w:hAnsi="Aptos"/>
          <w:i w:val="0"/>
          <w:iCs w:val="0"/>
        </w:rPr>
        <w:t>: section 5</w:t>
      </w:r>
      <w:r w:rsidR="00416A86">
        <w:rPr>
          <w:rStyle w:val="Emphasis"/>
          <w:rFonts w:ascii="Aptos" w:hAnsi="Aptos"/>
          <w:i w:val="0"/>
          <w:iCs w:val="0"/>
        </w:rPr>
        <w:t xml:space="preserve">, </w:t>
      </w:r>
      <w:r w:rsidR="00416A86" w:rsidRPr="00E8311D">
        <w:rPr>
          <w:rStyle w:val="Emphasis"/>
          <w:rFonts w:ascii="Aptos" w:hAnsi="Aptos"/>
        </w:rPr>
        <w:t>Universities Accord (Australian Tertiary Education Commission) Bill 2025</w:t>
      </w:r>
      <w:r w:rsidR="00416A86">
        <w:rPr>
          <w:rStyle w:val="Emphasis"/>
          <w:rFonts w:ascii="Aptos" w:hAnsi="Aptos"/>
        </w:rPr>
        <w:t xml:space="preserve">. </w:t>
      </w:r>
    </w:p>
    <w:p w14:paraId="29C4884F" w14:textId="50269097" w:rsidR="009714B7" w:rsidRDefault="009714B7" w:rsidP="009714B7">
      <w:pPr>
        <w:pStyle w:val="BodyText"/>
        <w:rPr>
          <w:rStyle w:val="Emphasis"/>
          <w:rFonts w:ascii="Aptos" w:hAnsi="Aptos"/>
          <w:i w:val="0"/>
          <w:iCs w:val="0"/>
        </w:rPr>
      </w:pPr>
    </w:p>
    <w:p w14:paraId="7D8E9D31" w14:textId="7B9E5348" w:rsidR="00073D23" w:rsidRDefault="00073D23" w:rsidP="00073D23">
      <w:pPr>
        <w:pStyle w:val="BodyText"/>
        <w:rPr>
          <w:rFonts w:ascii="Aptos" w:hAnsi="Aptos"/>
        </w:rPr>
      </w:pPr>
      <w:r>
        <w:rPr>
          <w:rFonts w:ascii="Aptos" w:hAnsi="Aptos"/>
        </w:rPr>
        <w:t>The bill’s explanatory memorandum states that further legislation will set out a framework for how international student commencements will be allocated (p. 8). The Committee needs to consider, however, whether section 11(h) creates a power to cap international student numbers independently of this framework.</w:t>
      </w:r>
      <w:r w:rsidR="002878BD">
        <w:rPr>
          <w:rFonts w:ascii="Aptos" w:hAnsi="Aptos"/>
        </w:rPr>
        <w:t xml:space="preserve"> </w:t>
      </w:r>
      <w:r>
        <w:rPr>
          <w:rFonts w:ascii="Aptos" w:hAnsi="Aptos"/>
        </w:rPr>
        <w:t>On its plain meaning it does, and so like the rest of the bill it will take effect 28 days after it receives royal assent.</w:t>
      </w:r>
      <w:r>
        <w:rPr>
          <w:rStyle w:val="FootnoteReference"/>
          <w:rFonts w:ascii="Aptos" w:hAnsi="Aptos"/>
        </w:rPr>
        <w:footnoteReference w:id="10"/>
      </w:r>
      <w:r>
        <w:rPr>
          <w:rFonts w:ascii="Aptos" w:hAnsi="Aptos"/>
        </w:rPr>
        <w:t xml:space="preserve"> </w:t>
      </w:r>
    </w:p>
    <w:p w14:paraId="739628DD" w14:textId="73AE0B0C" w:rsidR="00E21780" w:rsidRDefault="00E21780" w:rsidP="00F21E96">
      <w:pPr>
        <w:pStyle w:val="BodyText"/>
        <w:rPr>
          <w:rStyle w:val="Emphasis"/>
          <w:rFonts w:ascii="Aptos" w:hAnsi="Aptos"/>
          <w:i w:val="0"/>
          <w:iCs w:val="0"/>
        </w:rPr>
      </w:pPr>
    </w:p>
    <w:p w14:paraId="35ABCFF2" w14:textId="04D2BDC6" w:rsidR="00E21780" w:rsidRDefault="00E21780" w:rsidP="00E21780">
      <w:pPr>
        <w:pStyle w:val="Heading2"/>
      </w:pPr>
      <w:bookmarkStart w:id="63" w:name="_Toc219380927"/>
      <w:r>
        <w:t>Who sets caps</w:t>
      </w:r>
      <w:r w:rsidR="00805318">
        <w:t xml:space="preserve"> at the provider level</w:t>
      </w:r>
      <w:r>
        <w:t>?</w:t>
      </w:r>
      <w:bookmarkEnd w:id="63"/>
    </w:p>
    <w:p w14:paraId="7A718B09" w14:textId="61072E6A" w:rsidR="00E21780" w:rsidRDefault="009714B7" w:rsidP="00E21780">
      <w:r>
        <w:t xml:space="preserve">Section 11(h) is ambiguous. On one reading, </w:t>
      </w:r>
      <w:r w:rsidR="00805318">
        <w:t xml:space="preserve">the minister will decide the provider-level caps and </w:t>
      </w:r>
      <w:r w:rsidR="00FB35FD">
        <w:t xml:space="preserve">direct </w:t>
      </w:r>
      <w:r w:rsidR="00805318">
        <w:t xml:space="preserve">ATEC </w:t>
      </w:r>
      <w:r w:rsidR="00FB35FD">
        <w:t>to</w:t>
      </w:r>
      <w:r w:rsidR="00805318">
        <w:t xml:space="preserve"> implement them. The minister personally deciding on provider-level caps was the model used in the failed 2024 capping legislation. </w:t>
      </w:r>
    </w:p>
    <w:p w14:paraId="516EAF5F" w14:textId="77777777" w:rsidR="00354D52" w:rsidRDefault="00354D52" w:rsidP="00E21780"/>
    <w:p w14:paraId="34A56CF5" w14:textId="75DDE642" w:rsidR="00354D52" w:rsidRDefault="00354D52" w:rsidP="00E21780">
      <w:r>
        <w:t>On another reading, ATEC lacks the power to cap international student commencing students unless it receives a ministerial direction. If the minister gives that direction, it could be left to ATEC to work out the detail</w:t>
      </w:r>
      <w:r w:rsidR="000D782E">
        <w:t xml:space="preserve">. </w:t>
      </w:r>
      <w:r w:rsidR="00073D23">
        <w:t>T</w:t>
      </w:r>
      <w:r w:rsidR="000D782E">
        <w:t>he explanatory memorandum</w:t>
      </w:r>
      <w:r w:rsidR="00073D23">
        <w:t xml:space="preserve"> assumes this interpretation</w:t>
      </w:r>
      <w:r w:rsidR="000D782E">
        <w:t>, mention</w:t>
      </w:r>
      <w:r w:rsidR="00073D23">
        <w:t>ing</w:t>
      </w:r>
      <w:r w:rsidR="000D782E">
        <w:t xml:space="preserve"> ‘</w:t>
      </w:r>
      <w:r w:rsidR="000D782E" w:rsidRPr="000D782E">
        <w:t>ATEC’s role in allocating international student commencements to higher education providers</w:t>
      </w:r>
      <w:r w:rsidR="000D782E">
        <w:t xml:space="preserve">’ (p.8). </w:t>
      </w:r>
    </w:p>
    <w:p w14:paraId="043E9F07" w14:textId="77777777" w:rsidR="000D782E" w:rsidRDefault="000D782E" w:rsidP="00E21780">
      <w:pPr>
        <w:rPr>
          <w:rFonts w:ascii="Aptos" w:hAnsi="Aptos"/>
        </w:rPr>
      </w:pPr>
    </w:p>
    <w:p w14:paraId="35640074" w14:textId="0E88B3A1" w:rsidR="000D782E" w:rsidRDefault="000D782E" w:rsidP="00E21780">
      <w:pPr>
        <w:rPr>
          <w:rFonts w:ascii="Aptos" w:hAnsi="Aptos"/>
        </w:rPr>
      </w:pPr>
      <w:r>
        <w:rPr>
          <w:rFonts w:ascii="Aptos" w:hAnsi="Aptos"/>
        </w:rPr>
        <w:t xml:space="preserve">The minister can, by legislative instrument, create rules ‘necessary or convenient for carrying out or giving effect to this Act’: section 75(1)(b). This legislative instrument could establish criteria for ATEC to use in dividing commencing international student places between institutions. </w:t>
      </w:r>
    </w:p>
    <w:p w14:paraId="6C03283E" w14:textId="77777777" w:rsidR="00073D23" w:rsidRDefault="00073D23" w:rsidP="00E21780">
      <w:pPr>
        <w:rPr>
          <w:rFonts w:ascii="Aptos" w:hAnsi="Aptos"/>
        </w:rPr>
      </w:pPr>
    </w:p>
    <w:p w14:paraId="0D79B73B" w14:textId="77777777" w:rsidR="00073D23" w:rsidRDefault="00073D23" w:rsidP="00073D23">
      <w:pPr>
        <w:pStyle w:val="Heading2"/>
      </w:pPr>
      <w:bookmarkStart w:id="64" w:name="_Toc219380928"/>
      <w:r>
        <w:t>Process for capping international students</w:t>
      </w:r>
      <w:bookmarkEnd w:id="64"/>
      <w:r>
        <w:t xml:space="preserve"> </w:t>
      </w:r>
    </w:p>
    <w:p w14:paraId="1176FBDF" w14:textId="176DAD73" w:rsidR="00073D23" w:rsidRDefault="00073D23" w:rsidP="00073D23">
      <w:pPr>
        <w:pStyle w:val="BodyText"/>
        <w:rPr>
          <w:rFonts w:ascii="Aptos" w:hAnsi="Aptos"/>
        </w:rPr>
      </w:pPr>
      <w:r>
        <w:rPr>
          <w:rFonts w:ascii="Aptos" w:hAnsi="Aptos"/>
        </w:rPr>
        <w:t xml:space="preserve">As the ATEC bill stands, the process for capping international students would differ significantly from other proposed processes in the bill. </w:t>
      </w:r>
    </w:p>
    <w:p w14:paraId="1CA95EA6" w14:textId="77777777" w:rsidR="00073D23" w:rsidRDefault="00073D23" w:rsidP="00073D23">
      <w:pPr>
        <w:pStyle w:val="BodyText"/>
        <w:rPr>
          <w:rFonts w:ascii="Aptos" w:hAnsi="Aptos"/>
        </w:rPr>
      </w:pPr>
    </w:p>
    <w:p w14:paraId="28A0C878" w14:textId="77777777" w:rsidR="00073D23" w:rsidRDefault="00073D23" w:rsidP="00073D23">
      <w:pPr>
        <w:pStyle w:val="BodyText"/>
        <w:rPr>
          <w:rFonts w:ascii="Aptos" w:hAnsi="Aptos"/>
        </w:rPr>
      </w:pPr>
      <w:r>
        <w:rPr>
          <w:rFonts w:ascii="Aptos" w:hAnsi="Aptos"/>
        </w:rPr>
        <w:t xml:space="preserve">There is no provision for the minister to seek advice or recommendations from ATEC on international education (nothing in section 41 ‘Advice and recommendations’). </w:t>
      </w:r>
    </w:p>
    <w:p w14:paraId="3B3765FB" w14:textId="77777777" w:rsidR="00073D23" w:rsidRDefault="00073D23" w:rsidP="00073D23">
      <w:pPr>
        <w:pStyle w:val="BodyText"/>
        <w:rPr>
          <w:rFonts w:ascii="Aptos" w:hAnsi="Aptos"/>
        </w:rPr>
      </w:pPr>
    </w:p>
    <w:p w14:paraId="57502579" w14:textId="77777777" w:rsidR="00073D23" w:rsidRDefault="00073D23" w:rsidP="00073D23">
      <w:pPr>
        <w:pStyle w:val="BodyText"/>
        <w:rPr>
          <w:rFonts w:ascii="Aptos" w:hAnsi="Aptos"/>
        </w:rPr>
      </w:pPr>
      <w:r>
        <w:rPr>
          <w:rFonts w:ascii="Aptos" w:hAnsi="Aptos"/>
        </w:rPr>
        <w:lastRenderedPageBreak/>
        <w:t xml:space="preserve">Although international student caps are primarily based on migration concerns, there is no requirement to consult the minister responsible for migration, in contrast to other consultation requirements when decisions cross portfolio responsibilities (section 15). International education is not a specifically listed topic of the proposed annual State of the Tertiary Education System report (section 42). </w:t>
      </w:r>
    </w:p>
    <w:p w14:paraId="38BA8440" w14:textId="77777777" w:rsidR="00073D23" w:rsidRDefault="00073D23" w:rsidP="00073D23">
      <w:pPr>
        <w:pStyle w:val="BodyText"/>
        <w:rPr>
          <w:rFonts w:ascii="Aptos" w:hAnsi="Aptos"/>
        </w:rPr>
      </w:pPr>
    </w:p>
    <w:p w14:paraId="6670574D" w14:textId="1D5DB7A2" w:rsidR="00073D23" w:rsidRDefault="00073D23" w:rsidP="00073D23">
      <w:pPr>
        <w:pStyle w:val="BodyText"/>
        <w:rPr>
          <w:rFonts w:ascii="Aptos" w:hAnsi="Aptos"/>
        </w:rPr>
      </w:pPr>
      <w:r>
        <w:rPr>
          <w:rFonts w:ascii="Aptos" w:hAnsi="Aptos"/>
        </w:rPr>
        <w:t xml:space="preserve">If section 11(h) means that a specific allocation of places to a university will be ‘at the direction of the minister’, it differs significantly from </w:t>
      </w:r>
      <w:r w:rsidR="006A2DCE">
        <w:rPr>
          <w:rFonts w:ascii="Aptos" w:hAnsi="Aptos"/>
        </w:rPr>
        <w:t xml:space="preserve">the </w:t>
      </w:r>
      <w:r>
        <w:rPr>
          <w:rFonts w:ascii="Aptos" w:hAnsi="Aptos"/>
        </w:rPr>
        <w:t>minister being prevented from giving directions to ATEC commissioners in allocations to specific providers: section 71(2)(c). While the rules of statutory interpretation are likely to result in section 11(h) being read as an exception to section 71(2)(c)</w:t>
      </w:r>
      <w:r w:rsidR="00416A86">
        <w:rPr>
          <w:rFonts w:ascii="Aptos" w:hAnsi="Aptos"/>
        </w:rPr>
        <w:t xml:space="preserve"> </w:t>
      </w:r>
      <w:sdt>
        <w:sdtPr>
          <w:rPr>
            <w:rFonts w:ascii="Aptos" w:hAnsi="Aptos"/>
            <w:color w:val="000000"/>
          </w:rPr>
          <w:tag w:val="MENDELEY_CITATION_v3_eyJjaXRhdGlvbklEIjoiTUVOREVMRVlfQ0lUQVRJT05fODk2YmU2MjYtNTkxYy00NjM0LWExNDMtZjA4ODNkODFlMTIxIiwicHJvcGVydGllcyI6eyJub3RlSW5kZXgiOjB9LCJpc0VkaXRlZCI6ZmFsc2UsIm1hbnVhbE92ZXJyaWRlIjp7ImlzTWFudWFsbHlPdmVycmlkZGVuIjpmYWxzZSwiY2l0ZXByb2NUZXh0IjoiKFBlYXJjZSwgMjAyNCwgcHAuIDIwOeKAkzIxM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wOS0yMTIifV19"/>
          <w:id w:val="1572847499"/>
          <w:placeholder>
            <w:docPart w:val="DefaultPlaceholder_-1854013440"/>
          </w:placeholder>
        </w:sdtPr>
        <w:sdtContent>
          <w:r w:rsidR="00094A58" w:rsidRPr="00094A58">
            <w:rPr>
              <w:rFonts w:ascii="Aptos" w:hAnsi="Aptos"/>
              <w:color w:val="000000"/>
            </w:rPr>
            <w:t>(Pearce, 2024, pp. 209–212)</w:t>
          </w:r>
        </w:sdtContent>
      </w:sdt>
      <w:r>
        <w:rPr>
          <w:rFonts w:ascii="Aptos" w:hAnsi="Aptos"/>
        </w:rPr>
        <w:t>, this should be made explicit if 11(h) is not removed from the bill</w:t>
      </w:r>
      <w:r w:rsidR="0045714F">
        <w:rPr>
          <w:rFonts w:ascii="Aptos" w:hAnsi="Aptos"/>
        </w:rPr>
        <w:t xml:space="preserve">. </w:t>
      </w:r>
    </w:p>
    <w:p w14:paraId="0FBB8EE8" w14:textId="77777777" w:rsidR="00073D23" w:rsidRDefault="00073D23" w:rsidP="00073D23">
      <w:pPr>
        <w:pStyle w:val="BodyText"/>
        <w:rPr>
          <w:rFonts w:ascii="Aptos" w:hAnsi="Aptos"/>
        </w:rPr>
      </w:pPr>
    </w:p>
    <w:p w14:paraId="1B81FDD8" w14:textId="02AE6CB2" w:rsidR="0080489C" w:rsidRDefault="00073D23" w:rsidP="0080489C">
      <w:pPr>
        <w:pStyle w:val="Heading2"/>
      </w:pPr>
      <w:bookmarkStart w:id="65" w:name="_Toc219380929"/>
      <w:r>
        <w:t>Penalties for breaching the international student cap</w:t>
      </w:r>
      <w:bookmarkEnd w:id="65"/>
    </w:p>
    <w:p w14:paraId="4CD882BD" w14:textId="346C1445" w:rsidR="0080489C" w:rsidRDefault="0080489C" w:rsidP="00636C13">
      <w:pPr>
        <w:pStyle w:val="BodyText"/>
        <w:rPr>
          <w:rFonts w:ascii="Aptos" w:hAnsi="Aptos"/>
        </w:rPr>
      </w:pPr>
    </w:p>
    <w:p w14:paraId="6AC4F2A8" w14:textId="15D09E44" w:rsidR="009C5963" w:rsidRDefault="00073D23" w:rsidP="009C5963">
      <w:pPr>
        <w:pStyle w:val="BodyText"/>
        <w:rPr>
          <w:rFonts w:ascii="Aptos" w:hAnsi="Aptos"/>
        </w:rPr>
      </w:pPr>
      <w:r>
        <w:rPr>
          <w:rFonts w:ascii="Aptos" w:hAnsi="Aptos"/>
        </w:rPr>
        <w:t xml:space="preserve">Administratively, </w:t>
      </w:r>
      <w:r w:rsidR="009C5963">
        <w:rPr>
          <w:rFonts w:ascii="Aptos" w:hAnsi="Aptos"/>
        </w:rPr>
        <w:t>the most effective way to impose international student caps is via visa processing systems. But the ATEC bill creates no power to do this.</w:t>
      </w:r>
    </w:p>
    <w:p w14:paraId="44C006C5" w14:textId="77777777" w:rsidR="009C5963" w:rsidRDefault="009C5963" w:rsidP="009C5963">
      <w:pPr>
        <w:pStyle w:val="BodyText"/>
        <w:rPr>
          <w:rFonts w:ascii="Aptos" w:hAnsi="Aptos"/>
        </w:rPr>
      </w:pPr>
    </w:p>
    <w:p w14:paraId="502DA512" w14:textId="585A1EB9" w:rsidR="009C5963" w:rsidRDefault="009C5963" w:rsidP="009C5963">
      <w:pPr>
        <w:pStyle w:val="BodyText"/>
        <w:rPr>
          <w:rFonts w:ascii="Aptos" w:hAnsi="Aptos"/>
        </w:rPr>
      </w:pPr>
      <w:r>
        <w:rPr>
          <w:rFonts w:ascii="Aptos" w:hAnsi="Aptos"/>
        </w:rPr>
        <w:t xml:space="preserve">As noted in the chapter on </w:t>
      </w:r>
      <w:proofErr w:type="gramStart"/>
      <w:r>
        <w:rPr>
          <w:rFonts w:ascii="Aptos" w:hAnsi="Aptos"/>
        </w:rPr>
        <w:t>mission based</w:t>
      </w:r>
      <w:proofErr w:type="gramEnd"/>
      <w:r>
        <w:rPr>
          <w:rFonts w:ascii="Aptos" w:hAnsi="Aptos"/>
        </w:rPr>
        <w:t xml:space="preserve"> compacts, there are no direct penalty provisions in the ATEC bill.</w:t>
      </w:r>
      <w:r w:rsidR="002878BD">
        <w:rPr>
          <w:rFonts w:ascii="Aptos" w:hAnsi="Aptos"/>
        </w:rPr>
        <w:t xml:space="preserve"> </w:t>
      </w:r>
      <w:r>
        <w:rPr>
          <w:rFonts w:ascii="Aptos" w:hAnsi="Aptos"/>
        </w:rPr>
        <w:t>The section 75 legislative instrument setting rules for allocating places cannot ‘create an offence or civil penalty’: section 75(2)(a). S</w:t>
      </w:r>
      <w:r>
        <w:rPr>
          <w:rStyle w:val="Emphasis"/>
          <w:rFonts w:ascii="Aptos" w:hAnsi="Aptos"/>
          <w:i w:val="0"/>
          <w:iCs w:val="0"/>
        </w:rPr>
        <w:t xml:space="preserve">ection 11(h) caps would therefore </w:t>
      </w:r>
      <w:r>
        <w:rPr>
          <w:rFonts w:ascii="Aptos" w:hAnsi="Aptos"/>
        </w:rPr>
        <w:t xml:space="preserve">share a problem with the migration ‘indicative allocations’ currently applying to education providers. </w:t>
      </w:r>
    </w:p>
    <w:p w14:paraId="1723B6EF" w14:textId="77777777" w:rsidR="009C5963" w:rsidRDefault="009C5963" w:rsidP="0080489C">
      <w:pPr>
        <w:pStyle w:val="BodyText"/>
        <w:rPr>
          <w:rFonts w:ascii="Aptos" w:hAnsi="Aptos"/>
        </w:rPr>
      </w:pPr>
    </w:p>
    <w:p w14:paraId="2C110E9D" w14:textId="70D2DA28" w:rsidR="00F54688" w:rsidRDefault="00636C13" w:rsidP="00636C13">
      <w:pPr>
        <w:pStyle w:val="BodyText"/>
        <w:rPr>
          <w:rFonts w:ascii="Aptos" w:hAnsi="Aptos"/>
        </w:rPr>
      </w:pPr>
      <w:r>
        <w:rPr>
          <w:rFonts w:ascii="Aptos" w:hAnsi="Aptos"/>
        </w:rPr>
        <w:t>ATEC m</w:t>
      </w:r>
      <w:r w:rsidR="00073D23">
        <w:rPr>
          <w:rFonts w:ascii="Aptos" w:hAnsi="Aptos"/>
        </w:rPr>
        <w:t>ight</w:t>
      </w:r>
      <w:r>
        <w:rPr>
          <w:rFonts w:ascii="Aptos" w:hAnsi="Aptos"/>
        </w:rPr>
        <w:t xml:space="preserve"> </w:t>
      </w:r>
      <w:r w:rsidR="00073D23">
        <w:rPr>
          <w:rFonts w:ascii="Aptos" w:hAnsi="Aptos"/>
        </w:rPr>
        <w:t xml:space="preserve">also </w:t>
      </w:r>
      <w:r w:rsidR="00416A86">
        <w:rPr>
          <w:rFonts w:ascii="Aptos" w:hAnsi="Aptos"/>
        </w:rPr>
        <w:t>link</w:t>
      </w:r>
      <w:r w:rsidR="00073D23">
        <w:rPr>
          <w:rFonts w:ascii="Aptos" w:hAnsi="Aptos"/>
        </w:rPr>
        <w:t xml:space="preserve"> compliance with</w:t>
      </w:r>
      <w:r>
        <w:rPr>
          <w:rFonts w:ascii="Aptos" w:hAnsi="Aptos"/>
        </w:rPr>
        <w:t xml:space="preserve"> international student caps </w:t>
      </w:r>
      <w:r w:rsidR="00B3143C">
        <w:rPr>
          <w:rFonts w:ascii="Aptos" w:hAnsi="Aptos"/>
        </w:rPr>
        <w:t>to domestic funding</w:t>
      </w:r>
      <w:r w:rsidR="00073D23">
        <w:rPr>
          <w:rFonts w:ascii="Aptos" w:hAnsi="Aptos"/>
        </w:rPr>
        <w:t xml:space="preserve">. </w:t>
      </w:r>
      <w:r w:rsidR="00F54688">
        <w:rPr>
          <w:rFonts w:ascii="Aptos" w:hAnsi="Aptos"/>
        </w:rPr>
        <w:t xml:space="preserve">However, </w:t>
      </w:r>
      <w:proofErr w:type="gramStart"/>
      <w:r w:rsidR="00F54688">
        <w:rPr>
          <w:rFonts w:ascii="Aptos" w:hAnsi="Aptos"/>
        </w:rPr>
        <w:t>mission based</w:t>
      </w:r>
      <w:proofErr w:type="gramEnd"/>
      <w:r w:rsidR="00F54688">
        <w:rPr>
          <w:rFonts w:ascii="Aptos" w:hAnsi="Aptos"/>
        </w:rPr>
        <w:t xml:space="preserve"> compacts only apply to Table A and B providers, leaving other providers unregulated (</w:t>
      </w:r>
      <w:r w:rsidR="004911A3">
        <w:rPr>
          <w:rFonts w:ascii="Aptos" w:hAnsi="Aptos"/>
        </w:rPr>
        <w:t>chapter</w:t>
      </w:r>
      <w:r w:rsidR="00F54688">
        <w:rPr>
          <w:rFonts w:ascii="Aptos" w:hAnsi="Aptos"/>
        </w:rPr>
        <w:t xml:space="preserve"> </w:t>
      </w:r>
      <w:r w:rsidR="00F54688">
        <w:rPr>
          <w:rFonts w:ascii="Aptos" w:hAnsi="Aptos"/>
        </w:rPr>
        <w:fldChar w:fldCharType="begin"/>
      </w:r>
      <w:r w:rsidR="00F54688">
        <w:rPr>
          <w:rFonts w:ascii="Aptos" w:hAnsi="Aptos"/>
        </w:rPr>
        <w:instrText xml:space="preserve"> REF _Ref216878611 \r \h </w:instrText>
      </w:r>
      <w:r w:rsidR="00F54688">
        <w:rPr>
          <w:rFonts w:ascii="Aptos" w:hAnsi="Aptos"/>
        </w:rPr>
      </w:r>
      <w:r w:rsidR="00F54688">
        <w:rPr>
          <w:rFonts w:ascii="Aptos" w:hAnsi="Aptos"/>
        </w:rPr>
        <w:fldChar w:fldCharType="separate"/>
      </w:r>
      <w:r w:rsidR="0055214B">
        <w:rPr>
          <w:rFonts w:ascii="Aptos" w:hAnsi="Aptos"/>
        </w:rPr>
        <w:t>5</w:t>
      </w:r>
      <w:r w:rsidR="00F54688">
        <w:rPr>
          <w:rFonts w:ascii="Aptos" w:hAnsi="Aptos"/>
        </w:rPr>
        <w:fldChar w:fldCharType="end"/>
      </w:r>
      <w:r w:rsidR="007C6624">
        <w:rPr>
          <w:rFonts w:ascii="Aptos" w:hAnsi="Aptos"/>
        </w:rPr>
        <w:t xml:space="preserve"> of this submission</w:t>
      </w:r>
      <w:r w:rsidR="00F54688">
        <w:rPr>
          <w:rFonts w:ascii="Aptos" w:hAnsi="Aptos"/>
        </w:rPr>
        <w:t>).</w:t>
      </w:r>
      <w:r w:rsidR="00073D23">
        <w:rPr>
          <w:rFonts w:ascii="Aptos" w:hAnsi="Aptos"/>
        </w:rPr>
        <w:t xml:space="preserve"> As noted in chapter 4, reducing the number of Commonwealth supported student places would hurt prospective </w:t>
      </w:r>
      <w:r w:rsidR="00FB35FD">
        <w:rPr>
          <w:rFonts w:ascii="Aptos" w:hAnsi="Aptos"/>
        </w:rPr>
        <w:t xml:space="preserve">domestic </w:t>
      </w:r>
      <w:r w:rsidR="00073D23">
        <w:rPr>
          <w:rFonts w:ascii="Aptos" w:hAnsi="Aptos"/>
        </w:rPr>
        <w:t xml:space="preserve">students more than universities. </w:t>
      </w:r>
    </w:p>
    <w:p w14:paraId="7DB03FF4" w14:textId="77777777" w:rsidR="00F54688" w:rsidRDefault="00F54688" w:rsidP="00636C13">
      <w:pPr>
        <w:pStyle w:val="BodyText"/>
        <w:rPr>
          <w:rFonts w:ascii="Aptos" w:hAnsi="Aptos"/>
        </w:rPr>
      </w:pPr>
    </w:p>
    <w:p w14:paraId="78971403" w14:textId="15066A8D" w:rsidR="00073D23" w:rsidRDefault="00073D23" w:rsidP="00073D23">
      <w:pPr>
        <w:pStyle w:val="Heading2"/>
      </w:pPr>
      <w:bookmarkStart w:id="66" w:name="_Toc219380930"/>
      <w:r>
        <w:t>Parliament should decide on international student caps</w:t>
      </w:r>
      <w:bookmarkEnd w:id="66"/>
      <w:r>
        <w:t xml:space="preserve"> </w:t>
      </w:r>
    </w:p>
    <w:p w14:paraId="71AD39EE" w14:textId="63746CED" w:rsidR="00073D23" w:rsidRDefault="00073D23" w:rsidP="00073D23">
      <w:r>
        <w:t>Caps on international student numbers are an important public policy issue, with major implications not just for education providers but also the industries that rely on international students as workers and customers. It should not be settled b</w:t>
      </w:r>
      <w:r w:rsidR="009C5963">
        <w:t>y</w:t>
      </w:r>
      <w:r>
        <w:t xml:space="preserve"> delegating a broad power to the minister or ATEC.</w:t>
      </w:r>
    </w:p>
    <w:p w14:paraId="5B8C22AB" w14:textId="77777777" w:rsidR="00073D23" w:rsidRDefault="00073D23" w:rsidP="00073D23"/>
    <w:p w14:paraId="64927B65" w14:textId="759BE070" w:rsidR="00073D23" w:rsidRPr="00073D23" w:rsidRDefault="00073D23" w:rsidP="00073D23">
      <w:r>
        <w:t xml:space="preserve">Section 11(h) should be removed from the bill, with a full legal framework for caps brought to the Parliament </w:t>
      </w:r>
      <w:proofErr w:type="gramStart"/>
      <w:r>
        <w:t>at a later time</w:t>
      </w:r>
      <w:proofErr w:type="gramEnd"/>
      <w:r>
        <w:t>.</w:t>
      </w:r>
    </w:p>
    <w:p w14:paraId="6521373E" w14:textId="77777777" w:rsidR="00073D23" w:rsidRDefault="00073D23" w:rsidP="00F21E96">
      <w:pPr>
        <w:pStyle w:val="BodyText"/>
        <w:rPr>
          <w:rFonts w:ascii="Aptos" w:hAnsi="Aptos"/>
        </w:rPr>
      </w:pPr>
    </w:p>
    <w:p w14:paraId="5ED2E846" w14:textId="0DA435F5" w:rsidR="00F21E96" w:rsidRDefault="00F125F9" w:rsidP="00F21E96">
      <w:pPr>
        <w:pStyle w:val="BodyText"/>
        <w:rPr>
          <w:rFonts w:ascii="Aptos" w:hAnsi="Aptos"/>
        </w:rPr>
      </w:pPr>
      <w:r>
        <w:rPr>
          <w:rFonts w:ascii="Aptos" w:hAnsi="Aptos"/>
        </w:rPr>
        <w:t>Recommendation:</w:t>
      </w:r>
    </w:p>
    <w:p w14:paraId="6FB6B72A" w14:textId="4F9DCB2E" w:rsidR="00F125F9" w:rsidRDefault="00F125F9" w:rsidP="00F21E96">
      <w:pPr>
        <w:pStyle w:val="BodyText"/>
        <w:rPr>
          <w:rFonts w:ascii="Aptos" w:hAnsi="Aptos"/>
        </w:rPr>
      </w:pPr>
    </w:p>
    <w:p w14:paraId="7388868A" w14:textId="5BA3BB7B" w:rsidR="00F125F9" w:rsidRDefault="00F125F9" w:rsidP="00F21E96">
      <w:pPr>
        <w:pStyle w:val="BodyText"/>
        <w:rPr>
          <w:rFonts w:ascii="Aptos" w:hAnsi="Aptos" w:cstheme="minorHAnsi"/>
          <w:color w:val="242424"/>
          <w:szCs w:val="24"/>
        </w:rPr>
      </w:pPr>
      <w:r>
        <w:rPr>
          <w:rFonts w:ascii="Aptos" w:hAnsi="Aptos"/>
        </w:rPr>
        <w:t xml:space="preserve">Remove section 11(h) from the </w:t>
      </w:r>
      <w:r w:rsidRPr="003477B6">
        <w:rPr>
          <w:rFonts w:ascii="Aptos" w:hAnsi="Aptos" w:cstheme="minorHAnsi"/>
          <w:i/>
          <w:iCs/>
          <w:color w:val="242424"/>
          <w:szCs w:val="24"/>
        </w:rPr>
        <w:t>Universities Accord (Australian Tertiary Education Commission) Bill 2025</w:t>
      </w:r>
      <w:r>
        <w:rPr>
          <w:rFonts w:ascii="Aptos" w:hAnsi="Aptos" w:cstheme="minorHAnsi"/>
          <w:i/>
          <w:iCs/>
          <w:color w:val="242424"/>
          <w:szCs w:val="24"/>
        </w:rPr>
        <w:t xml:space="preserve">. </w:t>
      </w:r>
    </w:p>
    <w:p w14:paraId="335C42EA" w14:textId="757FCDB1" w:rsidR="00F125F9" w:rsidRDefault="00F125F9" w:rsidP="00F21E96">
      <w:pPr>
        <w:pStyle w:val="BodyText"/>
        <w:rPr>
          <w:rFonts w:ascii="Aptos" w:hAnsi="Aptos" w:cstheme="minorHAnsi"/>
          <w:color w:val="242424"/>
          <w:szCs w:val="24"/>
        </w:rPr>
      </w:pPr>
    </w:p>
    <w:p w14:paraId="3083BA88" w14:textId="2E93129B" w:rsidR="00D60601" w:rsidRDefault="00F125F9" w:rsidP="00D60601">
      <w:pPr>
        <w:pStyle w:val="BodyText"/>
        <w:rPr>
          <w:rFonts w:ascii="Aptos" w:hAnsi="Aptos" w:cstheme="minorHAnsi"/>
          <w:color w:val="242424"/>
          <w:szCs w:val="24"/>
        </w:rPr>
      </w:pPr>
      <w:r>
        <w:rPr>
          <w:rFonts w:ascii="Aptos" w:hAnsi="Aptos" w:cstheme="minorHAnsi"/>
          <w:color w:val="242424"/>
          <w:szCs w:val="24"/>
        </w:rPr>
        <w:t xml:space="preserve">The Parliament can insert a functionally similar provision when the government </w:t>
      </w:r>
      <w:r w:rsidR="00D60601">
        <w:rPr>
          <w:rFonts w:ascii="Aptos" w:hAnsi="Aptos" w:cstheme="minorHAnsi"/>
          <w:color w:val="242424"/>
          <w:szCs w:val="24"/>
        </w:rPr>
        <w:t>trie</w:t>
      </w:r>
      <w:r w:rsidR="007C6624">
        <w:rPr>
          <w:rFonts w:ascii="Aptos" w:hAnsi="Aptos" w:cstheme="minorHAnsi"/>
          <w:color w:val="242424"/>
          <w:szCs w:val="24"/>
        </w:rPr>
        <w:t>s</w:t>
      </w:r>
      <w:r w:rsidR="00D60601">
        <w:rPr>
          <w:rFonts w:ascii="Aptos" w:hAnsi="Aptos" w:cstheme="minorHAnsi"/>
          <w:color w:val="242424"/>
          <w:szCs w:val="24"/>
        </w:rPr>
        <w:t xml:space="preserve"> again to legislate caps on international student enrolments. </w:t>
      </w:r>
    </w:p>
    <w:p w14:paraId="56D4CBB2" w14:textId="77777777" w:rsidR="00D60601" w:rsidRDefault="00D60601">
      <w:pPr>
        <w:rPr>
          <w:rFonts w:ascii="Aptos" w:hAnsi="Aptos" w:cstheme="minorHAnsi"/>
          <w:color w:val="242424"/>
          <w:szCs w:val="24"/>
        </w:rPr>
      </w:pPr>
      <w:r>
        <w:rPr>
          <w:rFonts w:ascii="Aptos" w:hAnsi="Aptos" w:cstheme="minorHAnsi"/>
          <w:color w:val="242424"/>
          <w:szCs w:val="24"/>
        </w:rPr>
        <w:br w:type="page"/>
      </w:r>
    </w:p>
    <w:p w14:paraId="1F0AB788" w14:textId="76B143F7" w:rsidR="00912301" w:rsidRPr="00226637" w:rsidRDefault="00226637" w:rsidP="00DB5E03">
      <w:pPr>
        <w:pStyle w:val="Heading1"/>
        <w:numPr>
          <w:ilvl w:val="0"/>
          <w:numId w:val="7"/>
        </w:numPr>
        <w:ind w:left="357" w:hanging="357"/>
        <w:rPr>
          <w:rFonts w:ascii="Aptos" w:hAnsi="Aptos" w:cstheme="minorHAnsi"/>
          <w:sz w:val="32"/>
          <w:szCs w:val="32"/>
        </w:rPr>
      </w:pPr>
      <w:bookmarkStart w:id="67" w:name="_Ref216273206"/>
      <w:bookmarkStart w:id="68" w:name="_Toc219380931"/>
      <w:r w:rsidRPr="00226637">
        <w:rPr>
          <w:rFonts w:ascii="Aptos" w:hAnsi="Aptos" w:cstheme="minorHAnsi"/>
          <w:color w:val="4F81BD" w:themeColor="accent1"/>
          <w:sz w:val="32"/>
          <w:szCs w:val="32"/>
        </w:rPr>
        <w:lastRenderedPageBreak/>
        <w:t>Funding rates and student contributions</w:t>
      </w:r>
      <w:bookmarkEnd w:id="67"/>
      <w:bookmarkEnd w:id="68"/>
    </w:p>
    <w:p w14:paraId="09894AAD" w14:textId="730290B5" w:rsidR="00226637" w:rsidRPr="00226637" w:rsidRDefault="00226637" w:rsidP="00226637">
      <w:pPr>
        <w:rPr>
          <w:rFonts w:ascii="Aptos" w:hAnsi="Aptos"/>
        </w:rPr>
      </w:pPr>
    </w:p>
    <w:p w14:paraId="447662FE" w14:textId="77178FD1" w:rsidR="00226637" w:rsidRDefault="00284335" w:rsidP="00226637">
      <w:pPr>
        <w:rPr>
          <w:rFonts w:ascii="Aptos" w:hAnsi="Aptos" w:cstheme="minorHAnsi"/>
          <w:color w:val="242424"/>
          <w:szCs w:val="24"/>
        </w:rPr>
      </w:pPr>
      <w:r>
        <w:rPr>
          <w:rFonts w:ascii="Aptos" w:hAnsi="Aptos"/>
        </w:rPr>
        <w:t>T</w:t>
      </w:r>
      <w:r w:rsidR="00226637" w:rsidRPr="00226637">
        <w:rPr>
          <w:rFonts w:ascii="Aptos" w:hAnsi="Aptos"/>
        </w:rPr>
        <w:t xml:space="preserve">he </w:t>
      </w:r>
      <w:r w:rsidR="00226637" w:rsidRPr="003477B6">
        <w:rPr>
          <w:rFonts w:ascii="Aptos" w:hAnsi="Aptos" w:cstheme="minorHAnsi"/>
          <w:i/>
          <w:iCs/>
          <w:color w:val="242424"/>
          <w:szCs w:val="24"/>
        </w:rPr>
        <w:t>Universities Accord (Australian Tertiary Education Commission) Bill 2025</w:t>
      </w:r>
      <w:r w:rsidR="00226637">
        <w:rPr>
          <w:rFonts w:ascii="Aptos" w:hAnsi="Aptos" w:cstheme="minorHAnsi"/>
          <w:color w:val="242424"/>
          <w:szCs w:val="24"/>
        </w:rPr>
        <w:t xml:space="preserve"> give</w:t>
      </w:r>
      <w:r w:rsidR="00F81E36">
        <w:rPr>
          <w:rFonts w:ascii="Aptos" w:hAnsi="Aptos" w:cstheme="minorHAnsi"/>
          <w:color w:val="242424"/>
          <w:szCs w:val="24"/>
        </w:rPr>
        <w:t>s</w:t>
      </w:r>
      <w:r w:rsidR="00226637">
        <w:rPr>
          <w:rFonts w:ascii="Aptos" w:hAnsi="Aptos" w:cstheme="minorHAnsi"/>
          <w:color w:val="242424"/>
          <w:szCs w:val="24"/>
        </w:rPr>
        <w:t xml:space="preserve"> ATEC </w:t>
      </w:r>
      <w:r w:rsidR="00F81E36">
        <w:rPr>
          <w:rFonts w:ascii="Aptos" w:hAnsi="Aptos" w:cstheme="minorHAnsi"/>
          <w:color w:val="242424"/>
          <w:szCs w:val="24"/>
        </w:rPr>
        <w:t>no</w:t>
      </w:r>
      <w:r w:rsidR="00226637">
        <w:rPr>
          <w:rFonts w:ascii="Aptos" w:hAnsi="Aptos" w:cstheme="minorHAnsi"/>
          <w:color w:val="242424"/>
          <w:szCs w:val="24"/>
        </w:rPr>
        <w:t xml:space="preserve"> </w:t>
      </w:r>
      <w:r w:rsidR="00E02725">
        <w:rPr>
          <w:rFonts w:ascii="Aptos" w:hAnsi="Aptos" w:cstheme="minorHAnsi"/>
          <w:color w:val="242424"/>
          <w:szCs w:val="24"/>
        </w:rPr>
        <w:t xml:space="preserve">direct </w:t>
      </w:r>
      <w:r w:rsidR="00F81E36">
        <w:rPr>
          <w:rFonts w:ascii="Aptos" w:hAnsi="Aptos" w:cstheme="minorHAnsi"/>
          <w:color w:val="242424"/>
          <w:szCs w:val="24"/>
        </w:rPr>
        <w:t>power</w:t>
      </w:r>
      <w:r w:rsidR="00226637">
        <w:rPr>
          <w:rFonts w:ascii="Aptos" w:hAnsi="Aptos" w:cstheme="minorHAnsi"/>
          <w:color w:val="242424"/>
          <w:szCs w:val="24"/>
        </w:rPr>
        <w:t xml:space="preserve"> to advise on setting student contributions. This is contrary to the impression given by the minister </w:t>
      </w:r>
      <w:r w:rsidR="00E02725">
        <w:rPr>
          <w:rFonts w:ascii="Aptos" w:hAnsi="Aptos" w:cstheme="minorHAnsi"/>
          <w:color w:val="242424"/>
          <w:szCs w:val="24"/>
        </w:rPr>
        <w:t>in media reports on the issue of excessive student contributions, especially in the humanities</w:t>
      </w:r>
      <w:r w:rsidR="00F81E36">
        <w:rPr>
          <w:rFonts w:ascii="Aptos" w:hAnsi="Aptos" w:cstheme="minorHAnsi"/>
          <w:color w:val="242424"/>
          <w:szCs w:val="24"/>
        </w:rPr>
        <w:t xml:space="preserve"> </w:t>
      </w:r>
      <w:sdt>
        <w:sdtPr>
          <w:rPr>
            <w:rFonts w:ascii="Aptos" w:hAnsi="Aptos" w:cstheme="minorHAnsi"/>
            <w:color w:val="000000"/>
            <w:szCs w:val="24"/>
          </w:rPr>
          <w:tag w:val="MENDELEY_CITATION_v3_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"/>
          <w:id w:val="-2093305851"/>
          <w:placeholder>
            <w:docPart w:val="DefaultPlaceholder_-1854013440"/>
          </w:placeholder>
        </w:sdtPr>
        <w:sdtContent>
          <w:r w:rsidR="00094A58" w:rsidRPr="00094A58">
            <w:rPr>
              <w:rFonts w:ascii="Aptos" w:hAnsi="Aptos" w:cstheme="minorHAnsi"/>
              <w:color w:val="000000"/>
              <w:szCs w:val="24"/>
            </w:rPr>
            <w:t>(Sakkal, 2024)</w:t>
          </w:r>
        </w:sdtContent>
      </w:sdt>
      <w:r w:rsidR="00E02725">
        <w:rPr>
          <w:rFonts w:ascii="Aptos" w:hAnsi="Aptos" w:cstheme="minorHAnsi"/>
          <w:color w:val="242424"/>
          <w:szCs w:val="24"/>
        </w:rPr>
        <w:t>.</w:t>
      </w:r>
    </w:p>
    <w:p w14:paraId="29D7C038" w14:textId="79C3BE29" w:rsidR="00226637" w:rsidRDefault="00226637" w:rsidP="00226637">
      <w:pPr>
        <w:rPr>
          <w:rFonts w:ascii="Aptos" w:hAnsi="Aptos" w:cstheme="minorHAnsi"/>
          <w:color w:val="242424"/>
          <w:szCs w:val="24"/>
        </w:rPr>
      </w:pPr>
    </w:p>
    <w:p w14:paraId="53DDFBE2" w14:textId="77777777" w:rsidR="00226637" w:rsidRPr="00226637" w:rsidRDefault="00226637" w:rsidP="00226637">
      <w:pPr>
        <w:shd w:val="clear" w:color="auto" w:fill="FFFFFF"/>
        <w:spacing w:after="384"/>
        <w:ind w:right="0"/>
        <w:textAlignment w:val="baseline"/>
        <w:rPr>
          <w:rFonts w:ascii="Aptos" w:eastAsia="Times New Roman" w:hAnsi="Aptos" w:cs="Times New Roman"/>
          <w:szCs w:val="24"/>
          <w:lang w:eastAsia="en-AU"/>
        </w:rPr>
      </w:pPr>
      <w:r w:rsidRPr="00226637">
        <w:rPr>
          <w:rFonts w:ascii="Aptos" w:eastAsia="Times New Roman" w:hAnsi="Aptos" w:cs="Times New Roman"/>
          <w:szCs w:val="24"/>
          <w:lang w:eastAsia="en-AU"/>
        </w:rPr>
        <w:t>One of ATEC’s functions, however, will be to advise the minister on:</w:t>
      </w:r>
    </w:p>
    <w:p w14:paraId="0614EC57" w14:textId="18F9E032" w:rsidR="00226637" w:rsidRPr="00226637" w:rsidRDefault="00227F48" w:rsidP="00226637">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The efficient cost of higher education across disciplines and student cohorts and in relation to the Commonwealth contribution amounts for places in funding clusters.</w:t>
      </w: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 section 11(d)(ii</w:t>
      </w:r>
      <w:r w:rsidR="00051081">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w:t>
      </w:r>
    </w:p>
    <w:p w14:paraId="6BBB73E9" w14:textId="62EE47D5" w:rsidR="00226637" w:rsidRPr="00226637" w:rsidRDefault="00226637" w:rsidP="00226637">
      <w:pPr>
        <w:shd w:val="clear" w:color="auto" w:fill="FFFFFF"/>
        <w:spacing w:after="384"/>
        <w:ind w:right="0"/>
        <w:textAlignment w:val="baseline"/>
        <w:rPr>
          <w:rFonts w:ascii="Aptos" w:eastAsia="Times New Roman" w:hAnsi="Aptos" w:cs="Times New Roman"/>
          <w:szCs w:val="24"/>
          <w:lang w:eastAsia="en-AU"/>
        </w:rPr>
      </w:pPr>
      <w:r w:rsidRPr="00226637">
        <w:rPr>
          <w:rFonts w:ascii="Aptos" w:eastAsia="Times New Roman" w:hAnsi="Aptos" w:cs="Times New Roman"/>
          <w:szCs w:val="24"/>
          <w:lang w:eastAsia="en-AU"/>
        </w:rPr>
        <w:t xml:space="preserve">In different words, in a later section on </w:t>
      </w:r>
      <w:r w:rsidR="00D41F1A">
        <w:rPr>
          <w:rFonts w:ascii="Aptos" w:eastAsia="Times New Roman" w:hAnsi="Aptos" w:cs="Times New Roman"/>
          <w:szCs w:val="24"/>
          <w:lang w:eastAsia="en-AU"/>
        </w:rPr>
        <w:t>‘</w:t>
      </w:r>
      <w:r w:rsidRPr="00226637">
        <w:rPr>
          <w:rFonts w:ascii="Aptos" w:eastAsia="Times New Roman" w:hAnsi="Aptos" w:cs="Times New Roman"/>
          <w:szCs w:val="24"/>
          <w:lang w:eastAsia="en-AU"/>
        </w:rPr>
        <w:t>Advice and recommendations</w:t>
      </w:r>
      <w:r w:rsidR="00D41F1A">
        <w:rPr>
          <w:rFonts w:ascii="Aptos" w:eastAsia="Times New Roman" w:hAnsi="Aptos" w:cs="Times New Roman"/>
          <w:szCs w:val="24"/>
          <w:lang w:eastAsia="en-AU"/>
        </w:rPr>
        <w:t>’</w:t>
      </w:r>
      <w:r w:rsidRPr="00226637">
        <w:rPr>
          <w:rFonts w:ascii="Aptos" w:eastAsia="Times New Roman" w:hAnsi="Aptos" w:cs="Times New Roman"/>
          <w:szCs w:val="24"/>
          <w:lang w:eastAsia="en-AU"/>
        </w:rPr>
        <w:t>, a topic of advice is:</w:t>
      </w:r>
    </w:p>
    <w:p w14:paraId="115A953A" w14:textId="748DE516" w:rsidR="00226637" w:rsidRPr="00226637" w:rsidRDefault="00227F48" w:rsidP="00226637">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The costs of teaching and learning in higher education and overall higher education funding amounts, including on a per student basis.</w:t>
      </w:r>
      <w:r>
        <w:rPr>
          <w:rFonts w:ascii="Aptos" w:eastAsia="Times New Roman" w:hAnsi="Aptos" w:cs="Times New Roman"/>
          <w:szCs w:val="24"/>
          <w:lang w:eastAsia="en-AU"/>
        </w:rPr>
        <w:t>’</w:t>
      </w:r>
      <w:r w:rsidR="00226637" w:rsidRPr="00226637">
        <w:rPr>
          <w:rFonts w:ascii="Aptos" w:eastAsia="Times New Roman" w:hAnsi="Aptos" w:cs="Times New Roman"/>
          <w:szCs w:val="24"/>
          <w:lang w:eastAsia="en-AU"/>
        </w:rPr>
        <w:t>: section 41(1)(b).</w:t>
      </w:r>
    </w:p>
    <w:p w14:paraId="656321F4" w14:textId="09380F9C" w:rsidR="00226637" w:rsidRDefault="00F81E36" w:rsidP="00226637">
      <w:pPr>
        <w:rPr>
          <w:rFonts w:ascii="Aptos" w:hAnsi="Aptos"/>
        </w:rPr>
      </w:pPr>
      <w:r>
        <w:rPr>
          <w:rFonts w:ascii="Aptos" w:hAnsi="Aptos"/>
        </w:rPr>
        <w:t xml:space="preserve">In both cases, the advice </w:t>
      </w:r>
      <w:r w:rsidR="00B908C8">
        <w:rPr>
          <w:rFonts w:ascii="Aptos" w:hAnsi="Aptos"/>
        </w:rPr>
        <w:t>is</w:t>
      </w:r>
      <w:r>
        <w:rPr>
          <w:rFonts w:ascii="Aptos" w:hAnsi="Aptos"/>
        </w:rPr>
        <w:t xml:space="preserve"> at the request of the minister rather than provided </w:t>
      </w:r>
      <w:r w:rsidR="00B908C8">
        <w:rPr>
          <w:rFonts w:ascii="Aptos" w:hAnsi="Aptos"/>
        </w:rPr>
        <w:t>on</w:t>
      </w:r>
      <w:r>
        <w:rPr>
          <w:rFonts w:ascii="Aptos" w:hAnsi="Aptos"/>
        </w:rPr>
        <w:t xml:space="preserve"> ATEC’s own initiative. If the minister request</w:t>
      </w:r>
      <w:r w:rsidR="00B908C8">
        <w:rPr>
          <w:rFonts w:ascii="Aptos" w:hAnsi="Aptos"/>
        </w:rPr>
        <w:t>s</w:t>
      </w:r>
      <w:r w:rsidR="00A01B15">
        <w:rPr>
          <w:rFonts w:ascii="Aptos" w:hAnsi="Aptos"/>
        </w:rPr>
        <w:t xml:space="preserve"> advice </w:t>
      </w:r>
      <w:r>
        <w:rPr>
          <w:rFonts w:ascii="Aptos" w:hAnsi="Aptos"/>
        </w:rPr>
        <w:t>it can only be released to the public with the minister’s permission: section 69.</w:t>
      </w:r>
      <w:r w:rsidR="002878BD">
        <w:rPr>
          <w:rFonts w:ascii="Aptos" w:hAnsi="Aptos"/>
        </w:rPr>
        <w:t xml:space="preserve"> </w:t>
      </w:r>
      <w:r w:rsidR="009C5963">
        <w:rPr>
          <w:rFonts w:ascii="Aptos" w:hAnsi="Aptos"/>
        </w:rPr>
        <w:t xml:space="preserve">Chapter 2 recommends consolidating these two provisions into section 41. </w:t>
      </w:r>
      <w:r w:rsidR="00416A86">
        <w:rPr>
          <w:rFonts w:ascii="Aptos" w:hAnsi="Aptos"/>
        </w:rPr>
        <w:t>This chapter considers them as they appear</w:t>
      </w:r>
      <w:r w:rsidR="005F5962">
        <w:rPr>
          <w:rFonts w:ascii="Aptos" w:hAnsi="Aptos"/>
        </w:rPr>
        <w:t xml:space="preserve"> in the bill. </w:t>
      </w:r>
    </w:p>
    <w:p w14:paraId="33704D1D" w14:textId="77777777" w:rsidR="00192F82" w:rsidRDefault="00192F82" w:rsidP="00226637">
      <w:pPr>
        <w:rPr>
          <w:rFonts w:ascii="Aptos" w:hAnsi="Aptos"/>
        </w:rPr>
      </w:pPr>
    </w:p>
    <w:p w14:paraId="1972930A" w14:textId="4A3EB719" w:rsidR="00DB5C8A" w:rsidRDefault="00DB5C8A" w:rsidP="00B12333">
      <w:pPr>
        <w:pStyle w:val="Heading2"/>
      </w:pPr>
      <w:bookmarkStart w:id="69" w:name="_Toc219380932"/>
      <w:r>
        <w:t>Providing reasons for student contributions</w:t>
      </w:r>
      <w:bookmarkEnd w:id="69"/>
      <w:r>
        <w:t xml:space="preserve"> </w:t>
      </w:r>
    </w:p>
    <w:p w14:paraId="6CE5A36C" w14:textId="78A859F3" w:rsidR="00F81E36" w:rsidRDefault="00B908C8" w:rsidP="00226637">
      <w:pPr>
        <w:rPr>
          <w:rFonts w:ascii="Aptos" w:hAnsi="Aptos"/>
        </w:rPr>
      </w:pPr>
      <w:r>
        <w:rPr>
          <w:rFonts w:ascii="Aptos" w:hAnsi="Aptos"/>
        </w:rPr>
        <w:t>Under</w:t>
      </w:r>
      <w:r w:rsidR="00F81E36">
        <w:rPr>
          <w:rFonts w:ascii="Aptos" w:hAnsi="Aptos"/>
        </w:rPr>
        <w:t xml:space="preserve"> section 11(d)(ii) </w:t>
      </w:r>
      <w:r w:rsidR="00D41F1A">
        <w:rPr>
          <w:rFonts w:ascii="Aptos" w:hAnsi="Aptos"/>
        </w:rPr>
        <w:t>ATEC will make</w:t>
      </w:r>
      <w:r w:rsidR="00F81E36">
        <w:rPr>
          <w:rFonts w:ascii="Aptos" w:hAnsi="Aptos"/>
        </w:rPr>
        <w:t xml:space="preserve"> an implied student contribution recommendation. </w:t>
      </w:r>
      <w:r w:rsidR="00976F17">
        <w:rPr>
          <w:rFonts w:ascii="Aptos" w:hAnsi="Aptos"/>
        </w:rPr>
        <w:t>The reference to a ‘per student’ basis of funding in 41(1)(b) suggests the current system</w:t>
      </w:r>
      <w:r w:rsidR="00D41F1A">
        <w:rPr>
          <w:rFonts w:ascii="Aptos" w:hAnsi="Aptos"/>
        </w:rPr>
        <w:t xml:space="preserve"> will continue</w:t>
      </w:r>
      <w:r w:rsidR="00976F17">
        <w:rPr>
          <w:rFonts w:ascii="Aptos" w:hAnsi="Aptos"/>
        </w:rPr>
        <w:t xml:space="preserve">, where the Commonwealth contribution + the maximum student contribution = the total per student funding rate. If ATEC advises on the total funding rate and the Commonwealth </w:t>
      </w:r>
      <w:proofErr w:type="gramStart"/>
      <w:r w:rsidR="00976F17">
        <w:rPr>
          <w:rFonts w:ascii="Aptos" w:hAnsi="Aptos"/>
        </w:rPr>
        <w:t>contribution</w:t>
      </w:r>
      <w:proofErr w:type="gramEnd"/>
      <w:r w:rsidR="00976F17">
        <w:rPr>
          <w:rFonts w:ascii="Aptos" w:hAnsi="Aptos"/>
        </w:rPr>
        <w:t xml:space="preserve"> then the difference between </w:t>
      </w:r>
      <w:r w:rsidR="00D41F1A">
        <w:rPr>
          <w:rFonts w:ascii="Aptos" w:hAnsi="Aptos"/>
        </w:rPr>
        <w:t>them</w:t>
      </w:r>
      <w:r w:rsidR="00976F17">
        <w:rPr>
          <w:rFonts w:ascii="Aptos" w:hAnsi="Aptos"/>
        </w:rPr>
        <w:t xml:space="preserve"> will be the student contribution. </w:t>
      </w:r>
    </w:p>
    <w:p w14:paraId="11DFE19C" w14:textId="54DEE381" w:rsidR="00826537" w:rsidRDefault="00826537" w:rsidP="00226637">
      <w:pPr>
        <w:rPr>
          <w:rFonts w:ascii="Aptos" w:hAnsi="Aptos"/>
        </w:rPr>
      </w:pPr>
    </w:p>
    <w:p w14:paraId="28ED8544" w14:textId="155990BE" w:rsidR="00826537" w:rsidRDefault="00187C83" w:rsidP="00826537">
      <w:pPr>
        <w:rPr>
          <w:rFonts w:ascii="Aptos" w:hAnsi="Aptos"/>
        </w:rPr>
      </w:pPr>
      <w:r>
        <w:rPr>
          <w:rFonts w:ascii="Aptos" w:hAnsi="Aptos"/>
        </w:rPr>
        <w:t>T</w:t>
      </w:r>
      <w:r w:rsidR="00826537">
        <w:rPr>
          <w:rFonts w:ascii="Aptos" w:hAnsi="Aptos"/>
        </w:rPr>
        <w:t>he bill errs in no</w:t>
      </w:r>
      <w:r w:rsidR="00A01B15">
        <w:rPr>
          <w:rFonts w:ascii="Aptos" w:hAnsi="Aptos"/>
        </w:rPr>
        <w:t>t</w:t>
      </w:r>
      <w:r w:rsidR="00826537">
        <w:rPr>
          <w:rFonts w:ascii="Aptos" w:hAnsi="Aptos"/>
        </w:rPr>
        <w:t xml:space="preserve"> addressing student contribution</w:t>
      </w:r>
      <w:r>
        <w:rPr>
          <w:rFonts w:ascii="Aptos" w:hAnsi="Aptos"/>
        </w:rPr>
        <w:t>s</w:t>
      </w:r>
      <w:r w:rsidR="00826537">
        <w:rPr>
          <w:rFonts w:ascii="Aptos" w:hAnsi="Aptos"/>
        </w:rPr>
        <w:t xml:space="preserve"> directly. Since higher education student charges were reintroduced in 1989 </w:t>
      </w:r>
      <w:r w:rsidR="005F5962">
        <w:rPr>
          <w:rFonts w:ascii="Aptos" w:hAnsi="Aptos"/>
        </w:rPr>
        <w:t>successive</w:t>
      </w:r>
      <w:r w:rsidR="00826537">
        <w:rPr>
          <w:rFonts w:ascii="Aptos" w:hAnsi="Aptos"/>
        </w:rPr>
        <w:t xml:space="preserve"> government</w:t>
      </w:r>
      <w:r w:rsidR="005F5962">
        <w:rPr>
          <w:rFonts w:ascii="Aptos" w:hAnsi="Aptos"/>
        </w:rPr>
        <w:t>s</w:t>
      </w:r>
      <w:r w:rsidR="00826537">
        <w:rPr>
          <w:rFonts w:ascii="Aptos" w:hAnsi="Aptos"/>
        </w:rPr>
        <w:t xml:space="preserve"> ha</w:t>
      </w:r>
      <w:r w:rsidR="005F5962">
        <w:rPr>
          <w:rFonts w:ascii="Aptos" w:hAnsi="Aptos"/>
        </w:rPr>
        <w:t>ve</w:t>
      </w:r>
      <w:r w:rsidR="00826537">
        <w:rPr>
          <w:rFonts w:ascii="Aptos" w:hAnsi="Aptos"/>
        </w:rPr>
        <w:t xml:space="preserve"> recognised that student</w:t>
      </w:r>
      <w:r w:rsidR="00A01B15">
        <w:rPr>
          <w:rFonts w:ascii="Aptos" w:hAnsi="Aptos"/>
        </w:rPr>
        <w:t xml:space="preserve"> contributions</w:t>
      </w:r>
      <w:r w:rsidR="00826537">
        <w:rPr>
          <w:rFonts w:ascii="Aptos" w:hAnsi="Aptos"/>
        </w:rPr>
        <w:t xml:space="preserve"> need political justification</w:t>
      </w:r>
      <w:r w:rsidR="00A01B15">
        <w:rPr>
          <w:rFonts w:ascii="Aptos" w:hAnsi="Aptos"/>
        </w:rPr>
        <w:t>s</w:t>
      </w:r>
      <w:r w:rsidR="00826537">
        <w:rPr>
          <w:rFonts w:ascii="Aptos" w:hAnsi="Aptos"/>
        </w:rPr>
        <w:t xml:space="preserve">. </w:t>
      </w:r>
      <w:r w:rsidR="00A01B15">
        <w:rPr>
          <w:rFonts w:ascii="Aptos" w:hAnsi="Aptos"/>
        </w:rPr>
        <w:fldChar w:fldCharType="begin"/>
      </w:r>
      <w:r w:rsidR="00A01B15">
        <w:rPr>
          <w:rFonts w:ascii="Aptos" w:hAnsi="Aptos"/>
        </w:rPr>
        <w:instrText xml:space="preserve"> REF _Ref216101997 \h </w:instrText>
      </w:r>
      <w:r w:rsidR="00A01B15">
        <w:rPr>
          <w:rFonts w:ascii="Aptos" w:hAnsi="Aptos"/>
        </w:rPr>
      </w:r>
      <w:r w:rsidR="00A01B15">
        <w:rPr>
          <w:rFonts w:ascii="Aptos" w:hAnsi="Aptos"/>
        </w:rPr>
        <w:fldChar w:fldCharType="separate"/>
      </w:r>
      <w:r w:rsidR="0055214B">
        <w:t xml:space="preserve">Table </w:t>
      </w:r>
      <w:r w:rsidR="0055214B">
        <w:rPr>
          <w:noProof/>
        </w:rPr>
        <w:t>2</w:t>
      </w:r>
      <w:r w:rsidR="00A01B15">
        <w:rPr>
          <w:rFonts w:ascii="Aptos" w:hAnsi="Aptos"/>
        </w:rPr>
        <w:fldChar w:fldCharType="end"/>
      </w:r>
      <w:r w:rsidR="00A01B15">
        <w:rPr>
          <w:rFonts w:ascii="Aptos" w:hAnsi="Aptos"/>
        </w:rPr>
        <w:t xml:space="preserve"> shows the justifications used to date. Th</w:t>
      </w:r>
      <w:r w:rsidR="00B908C8">
        <w:rPr>
          <w:rFonts w:ascii="Aptos" w:hAnsi="Aptos"/>
        </w:rPr>
        <w:t>e current</w:t>
      </w:r>
      <w:r w:rsidR="00A01B15">
        <w:rPr>
          <w:rFonts w:ascii="Aptos" w:hAnsi="Aptos"/>
        </w:rPr>
        <w:t xml:space="preserve"> government has endured dozens of negative media stories and parliamentary criticisms </w:t>
      </w:r>
      <w:r w:rsidR="00051081">
        <w:rPr>
          <w:rFonts w:ascii="Aptos" w:hAnsi="Aptos"/>
        </w:rPr>
        <w:t xml:space="preserve">for keeping a student contribution system with an unconvincing justification, </w:t>
      </w:r>
      <w:r w:rsidR="00A01B15">
        <w:rPr>
          <w:rFonts w:ascii="Aptos" w:hAnsi="Aptos"/>
        </w:rPr>
        <w:t xml:space="preserve">that </w:t>
      </w:r>
      <w:r w:rsidR="00051081">
        <w:rPr>
          <w:rFonts w:ascii="Aptos" w:hAnsi="Aptos"/>
        </w:rPr>
        <w:t>expensive</w:t>
      </w:r>
      <w:r w:rsidR="00A01B15">
        <w:rPr>
          <w:rFonts w:ascii="Aptos" w:hAnsi="Aptos"/>
        </w:rPr>
        <w:t xml:space="preserve"> Arts degrees </w:t>
      </w:r>
      <w:r>
        <w:rPr>
          <w:rFonts w:ascii="Aptos" w:hAnsi="Aptos"/>
        </w:rPr>
        <w:t>should be used</w:t>
      </w:r>
      <w:r w:rsidR="00A01B15">
        <w:rPr>
          <w:rFonts w:ascii="Aptos" w:hAnsi="Aptos"/>
        </w:rPr>
        <w:t xml:space="preserve"> to steer would-be Arts students towards more ‘job ready’ degrees</w:t>
      </w:r>
      <w:r>
        <w:rPr>
          <w:rFonts w:ascii="Aptos" w:hAnsi="Aptos"/>
        </w:rPr>
        <w:t xml:space="preserve">. </w:t>
      </w:r>
    </w:p>
    <w:p w14:paraId="05CAB0CC" w14:textId="3C974521" w:rsidR="00D60601" w:rsidRDefault="00D60601">
      <w:pPr>
        <w:rPr>
          <w:rFonts w:ascii="Aptos" w:hAnsi="Aptos"/>
        </w:rPr>
      </w:pPr>
      <w:r>
        <w:rPr>
          <w:rFonts w:ascii="Aptos" w:hAnsi="Aptos"/>
        </w:rPr>
        <w:br w:type="page"/>
      </w:r>
    </w:p>
    <w:p w14:paraId="67933DED" w14:textId="5C132B98" w:rsidR="00826537" w:rsidRDefault="00826537" w:rsidP="00826537">
      <w:pPr>
        <w:pStyle w:val="Caption"/>
        <w:rPr>
          <w:rFonts w:ascii="Aptos" w:hAnsi="Aptos"/>
        </w:rPr>
      </w:pPr>
      <w:bookmarkStart w:id="70" w:name="_Ref216101997"/>
      <w:r>
        <w:lastRenderedPageBreak/>
        <w:t xml:space="preserve">Table </w:t>
      </w:r>
      <w:r>
        <w:fldChar w:fldCharType="begin"/>
      </w:r>
      <w:r>
        <w:instrText xml:space="preserve"> SEQ Table \* ARABIC </w:instrText>
      </w:r>
      <w:r>
        <w:fldChar w:fldCharType="separate"/>
      </w:r>
      <w:r w:rsidR="0055214B">
        <w:rPr>
          <w:noProof/>
        </w:rPr>
        <w:t>2</w:t>
      </w:r>
      <w:r>
        <w:fldChar w:fldCharType="end"/>
      </w:r>
      <w:bookmarkEnd w:id="70"/>
      <w:r>
        <w:t>: Student contribution rationales since 1989</w:t>
      </w:r>
    </w:p>
    <w:p w14:paraId="152BF1D5" w14:textId="516E116E" w:rsidR="00976F17" w:rsidRDefault="00976F17" w:rsidP="00226637">
      <w:pPr>
        <w:rPr>
          <w:rFonts w:ascii="Aptos" w:hAnsi="Aptos"/>
        </w:rPr>
      </w:pPr>
    </w:p>
    <w:tbl>
      <w:tblPr>
        <w:tblW w:w="8900" w:type="dxa"/>
        <w:tblCellMar>
          <w:left w:w="0" w:type="dxa"/>
          <w:right w:w="0" w:type="dxa"/>
        </w:tblCellMar>
        <w:tblLook w:val="0420" w:firstRow="1" w:lastRow="0" w:firstColumn="0" w:lastColumn="0" w:noHBand="0" w:noVBand="1"/>
      </w:tblPr>
      <w:tblGrid>
        <w:gridCol w:w="1483"/>
        <w:gridCol w:w="1482"/>
        <w:gridCol w:w="1482"/>
        <w:gridCol w:w="1482"/>
        <w:gridCol w:w="1482"/>
        <w:gridCol w:w="1489"/>
      </w:tblGrid>
      <w:tr w:rsidR="00826537" w:rsidRPr="00826537" w14:paraId="3FAA41C1" w14:textId="77777777" w:rsidTr="00826537">
        <w:trPr>
          <w:trHeight w:val="584"/>
        </w:trPr>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3224B324" w14:textId="77777777" w:rsidR="00826537" w:rsidRPr="00826537" w:rsidRDefault="00826537" w:rsidP="00826537">
            <w:pPr>
              <w:rPr>
                <w:rFonts w:ascii="Aptos" w:hAnsi="Aptos"/>
              </w:rPr>
            </w:pPr>
            <w:r w:rsidRPr="00826537">
              <w:rPr>
                <w:rFonts w:ascii="Aptos" w:hAnsi="Aptos"/>
                <w:b/>
                <w:bCs/>
              </w:rPr>
              <w:t>Policy</w:t>
            </w:r>
          </w:p>
          <w:p w14:paraId="44F93642" w14:textId="77777777" w:rsidR="00826537" w:rsidRPr="00826537" w:rsidRDefault="00826537" w:rsidP="00826537">
            <w:pPr>
              <w:rPr>
                <w:rFonts w:ascii="Aptos" w:hAnsi="Aptos"/>
              </w:rPr>
            </w:pPr>
            <w:r w:rsidRPr="00826537">
              <w:rPr>
                <w:rFonts w:ascii="Aptos" w:hAnsi="Aptos"/>
                <w:b/>
                <w:bCs/>
              </w:rPr>
              <w:t>phase</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27A35513" w14:textId="77777777" w:rsidR="00826537" w:rsidRPr="00826537" w:rsidRDefault="00826537" w:rsidP="00826537">
            <w:pPr>
              <w:rPr>
                <w:rFonts w:ascii="Aptos" w:hAnsi="Aptos"/>
              </w:rPr>
            </w:pPr>
            <w:r w:rsidRPr="00826537">
              <w:rPr>
                <w:rFonts w:ascii="Aptos" w:hAnsi="Aptos"/>
                <w:b/>
                <w:bCs/>
              </w:rPr>
              <w:t>Private benefits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40037E3D" w14:textId="77777777" w:rsidR="00826537" w:rsidRPr="00826537" w:rsidRDefault="00826537" w:rsidP="00826537">
            <w:pPr>
              <w:rPr>
                <w:rFonts w:ascii="Aptos" w:hAnsi="Aptos"/>
              </w:rPr>
            </w:pPr>
            <w:r w:rsidRPr="00826537">
              <w:rPr>
                <w:rFonts w:ascii="Aptos" w:hAnsi="Aptos"/>
                <w:b/>
                <w:bCs/>
              </w:rPr>
              <w:t>Public benefits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610EB6CF" w14:textId="77777777" w:rsidR="00826537" w:rsidRPr="00826537" w:rsidRDefault="00826537" w:rsidP="00826537">
            <w:pPr>
              <w:rPr>
                <w:rFonts w:ascii="Aptos" w:hAnsi="Aptos"/>
              </w:rPr>
            </w:pPr>
            <w:r w:rsidRPr="00826537">
              <w:rPr>
                <w:rFonts w:ascii="Aptos" w:hAnsi="Aptos"/>
                <w:b/>
                <w:bCs/>
              </w:rPr>
              <w:t>Teaching costs</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0C881C70" w14:textId="77777777" w:rsidR="00826537" w:rsidRPr="00826537" w:rsidRDefault="00826537" w:rsidP="00826537">
            <w:pPr>
              <w:rPr>
                <w:rFonts w:ascii="Aptos" w:hAnsi="Aptos"/>
              </w:rPr>
            </w:pPr>
            <w:r w:rsidRPr="00826537">
              <w:rPr>
                <w:rFonts w:ascii="Aptos" w:hAnsi="Aptos"/>
                <w:b/>
                <w:bCs/>
              </w:rPr>
              <w:t>Increase funding per place</w:t>
            </w:r>
          </w:p>
        </w:tc>
        <w:tc>
          <w:tcPr>
            <w:tcW w:w="1480" w:type="dxa"/>
            <w:tcBorders>
              <w:top w:val="single" w:sz="8" w:space="0" w:color="FFFFFF"/>
              <w:left w:val="single" w:sz="8" w:space="0" w:color="FFFFFF"/>
              <w:bottom w:val="single" w:sz="24" w:space="0" w:color="FFFFFF"/>
              <w:right w:val="single" w:sz="8" w:space="0" w:color="FFFFFF"/>
            </w:tcBorders>
            <w:shd w:val="clear" w:color="auto" w:fill="102F86"/>
            <w:tcMar>
              <w:top w:w="72" w:type="dxa"/>
              <w:left w:w="144" w:type="dxa"/>
              <w:bottom w:w="72" w:type="dxa"/>
              <w:right w:w="144" w:type="dxa"/>
            </w:tcMar>
            <w:hideMark/>
          </w:tcPr>
          <w:p w14:paraId="5CB7A41E" w14:textId="77777777" w:rsidR="00826537" w:rsidRPr="00826537" w:rsidRDefault="00826537" w:rsidP="00826537">
            <w:pPr>
              <w:rPr>
                <w:rFonts w:ascii="Aptos" w:hAnsi="Aptos"/>
              </w:rPr>
            </w:pPr>
            <w:r w:rsidRPr="00826537">
              <w:rPr>
                <w:rFonts w:ascii="Aptos" w:hAnsi="Aptos"/>
                <w:b/>
                <w:bCs/>
              </w:rPr>
              <w:t xml:space="preserve">Course choice </w:t>
            </w:r>
          </w:p>
          <w:p w14:paraId="0C1FEBEB" w14:textId="77777777" w:rsidR="00826537" w:rsidRPr="00826537" w:rsidRDefault="00826537" w:rsidP="00826537">
            <w:pPr>
              <w:rPr>
                <w:rFonts w:ascii="Aptos" w:hAnsi="Aptos"/>
              </w:rPr>
            </w:pPr>
            <w:r w:rsidRPr="00826537">
              <w:rPr>
                <w:rFonts w:ascii="Aptos" w:hAnsi="Aptos"/>
                <w:b/>
                <w:bCs/>
              </w:rPr>
              <w:t>incentive</w:t>
            </w:r>
          </w:p>
        </w:tc>
      </w:tr>
      <w:tr w:rsidR="00826537" w:rsidRPr="00826537" w14:paraId="1B312E8A" w14:textId="77777777" w:rsidTr="00826537">
        <w:trPr>
          <w:trHeight w:val="584"/>
        </w:trPr>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1A9697A" w14:textId="77777777" w:rsidR="00826537" w:rsidRPr="00826537" w:rsidRDefault="00826537" w:rsidP="00826537">
            <w:pPr>
              <w:rPr>
                <w:rFonts w:ascii="Aptos" w:hAnsi="Aptos"/>
              </w:rPr>
            </w:pPr>
            <w:r w:rsidRPr="00826537">
              <w:rPr>
                <w:rFonts w:ascii="Aptos" w:hAnsi="Aptos"/>
              </w:rPr>
              <w:t>1989-1996</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B40110F" w14:textId="77777777" w:rsidR="00826537" w:rsidRPr="00826537" w:rsidRDefault="00826537" w:rsidP="00826537">
            <w:pPr>
              <w:rPr>
                <w:rFonts w:ascii="Aptos" w:hAnsi="Aptos"/>
              </w:rPr>
            </w:pPr>
            <w:r w:rsidRPr="00826537">
              <w:rPr>
                <w:rFonts w:ascii="Aptos" w:hAnsi="Aptos"/>
              </w:rPr>
              <w:t>Yes, general</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43DB5EF1"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1D61778" w14:textId="77777777" w:rsidR="00826537" w:rsidRPr="00826537" w:rsidRDefault="00826537" w:rsidP="00826537">
            <w:pPr>
              <w:rPr>
                <w:rFonts w:ascii="Aptos" w:hAnsi="Aptos"/>
              </w:rPr>
            </w:pPr>
            <w:r w:rsidRPr="00826537">
              <w:rPr>
                <w:rFonts w:ascii="Aptos" w:hAnsi="Aptos"/>
              </w:rPr>
              <w:t xml:space="preserve">Yes, system level </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1D4F4138"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24"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485C708" w14:textId="77777777" w:rsidR="00826537" w:rsidRPr="00826537" w:rsidRDefault="00826537" w:rsidP="00826537">
            <w:pPr>
              <w:rPr>
                <w:rFonts w:ascii="Aptos" w:hAnsi="Aptos"/>
              </w:rPr>
            </w:pPr>
            <w:r w:rsidRPr="00826537">
              <w:rPr>
                <w:rFonts w:ascii="Aptos" w:hAnsi="Aptos"/>
              </w:rPr>
              <w:t>No</w:t>
            </w:r>
          </w:p>
        </w:tc>
      </w:tr>
      <w:tr w:rsidR="00826537" w:rsidRPr="00826537" w14:paraId="01E2CD5F"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48D31330" w14:textId="77777777" w:rsidR="00826537" w:rsidRPr="00826537" w:rsidRDefault="00826537" w:rsidP="00826537">
            <w:pPr>
              <w:rPr>
                <w:rFonts w:ascii="Aptos" w:hAnsi="Aptos"/>
              </w:rPr>
            </w:pPr>
            <w:r w:rsidRPr="00826537">
              <w:rPr>
                <w:rFonts w:ascii="Aptos" w:hAnsi="Aptos"/>
              </w:rPr>
              <w:t>1997-2004</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6493F4F9" w14:textId="77777777" w:rsidR="00826537" w:rsidRPr="00826537" w:rsidRDefault="00826537" w:rsidP="00826537">
            <w:pPr>
              <w:rPr>
                <w:rFonts w:ascii="Aptos" w:hAnsi="Aptos"/>
              </w:rPr>
            </w:pPr>
            <w:r w:rsidRPr="00826537">
              <w:rPr>
                <w:rFonts w:ascii="Aptos" w:hAnsi="Aptos"/>
              </w:rPr>
              <w:t xml:space="preserve">Yes,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1B29DAD0"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FBC15AF" w14:textId="77777777" w:rsidR="00826537" w:rsidRPr="00826537" w:rsidRDefault="00826537" w:rsidP="00826537">
            <w:pPr>
              <w:rPr>
                <w:rFonts w:ascii="Aptos" w:hAnsi="Aptos"/>
              </w:rPr>
            </w:pPr>
            <w:r w:rsidRPr="00826537">
              <w:rPr>
                <w:rFonts w:ascii="Aptos" w:hAnsi="Aptos"/>
              </w:rPr>
              <w:t>Yes, course specific</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5D98B649"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4695F4F2" w14:textId="77777777" w:rsidR="00826537" w:rsidRPr="00826537" w:rsidRDefault="00826537" w:rsidP="00826537">
            <w:pPr>
              <w:rPr>
                <w:rFonts w:ascii="Aptos" w:hAnsi="Aptos"/>
              </w:rPr>
            </w:pPr>
            <w:r w:rsidRPr="00826537">
              <w:rPr>
                <w:rFonts w:ascii="Aptos" w:hAnsi="Aptos"/>
              </w:rPr>
              <w:t>No</w:t>
            </w:r>
          </w:p>
        </w:tc>
      </w:tr>
      <w:tr w:rsidR="00826537" w:rsidRPr="00826537" w14:paraId="30D571F9"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74ED66BD" w14:textId="77777777" w:rsidR="00826537" w:rsidRPr="00826537" w:rsidRDefault="00826537" w:rsidP="00826537">
            <w:pPr>
              <w:rPr>
                <w:rFonts w:ascii="Aptos" w:hAnsi="Aptos"/>
              </w:rPr>
            </w:pPr>
            <w:r w:rsidRPr="00826537">
              <w:rPr>
                <w:rFonts w:ascii="Aptos" w:hAnsi="Aptos"/>
              </w:rPr>
              <w:t>2005-2020</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28B4777" w14:textId="77777777" w:rsidR="00826537" w:rsidRPr="00826537" w:rsidRDefault="00826537" w:rsidP="00826537">
            <w:pPr>
              <w:rPr>
                <w:rFonts w:ascii="Aptos" w:hAnsi="Aptos"/>
              </w:rPr>
            </w:pPr>
            <w:r w:rsidRPr="00826537">
              <w:rPr>
                <w:rFonts w:ascii="Aptos" w:hAnsi="Aptos"/>
              </w:rPr>
              <w:t xml:space="preserve">Implied,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444172E0"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1DE0E2A1" w14:textId="77777777" w:rsidR="00826537" w:rsidRPr="00826537" w:rsidRDefault="00826537" w:rsidP="00826537">
            <w:pPr>
              <w:rPr>
                <w:rFonts w:ascii="Aptos" w:hAnsi="Aptos"/>
              </w:rPr>
            </w:pPr>
            <w:r w:rsidRPr="00826537">
              <w:rPr>
                <w:rFonts w:ascii="Aptos" w:hAnsi="Aptos"/>
              </w:rPr>
              <w:t xml:space="preserve">Implied,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5762F980" w14:textId="77777777" w:rsidR="00826537" w:rsidRPr="00826537" w:rsidRDefault="00826537" w:rsidP="00826537">
            <w:pPr>
              <w:rPr>
                <w:rFonts w:ascii="Aptos" w:hAnsi="Aptos"/>
              </w:rPr>
            </w:pPr>
            <w:r w:rsidRPr="00826537">
              <w:rPr>
                <w:rFonts w:ascii="Aptos" w:hAnsi="Aptos"/>
              </w:rPr>
              <w:t>Yes</w:t>
            </w:r>
          </w:p>
        </w:tc>
        <w:tc>
          <w:tcPr>
            <w:tcW w:w="1480" w:type="dxa"/>
            <w:tcBorders>
              <w:top w:val="single" w:sz="8" w:space="0" w:color="FFFFFF"/>
              <w:left w:val="single" w:sz="8" w:space="0" w:color="FFFFFF"/>
              <w:bottom w:val="single" w:sz="8" w:space="0" w:color="FFFFFF"/>
              <w:right w:val="single" w:sz="8" w:space="0" w:color="FFFFFF"/>
            </w:tcBorders>
            <w:shd w:val="clear" w:color="auto" w:fill="CACCD8"/>
            <w:tcMar>
              <w:top w:w="72" w:type="dxa"/>
              <w:left w:w="144" w:type="dxa"/>
              <w:bottom w:w="72" w:type="dxa"/>
              <w:right w:w="144" w:type="dxa"/>
            </w:tcMar>
            <w:hideMark/>
          </w:tcPr>
          <w:p w14:paraId="0B0A9A7D" w14:textId="77777777" w:rsidR="00826537" w:rsidRPr="00826537" w:rsidRDefault="00826537" w:rsidP="00826537">
            <w:pPr>
              <w:rPr>
                <w:rFonts w:ascii="Aptos" w:hAnsi="Aptos"/>
              </w:rPr>
            </w:pPr>
            <w:r w:rsidRPr="00826537">
              <w:rPr>
                <w:rFonts w:ascii="Aptos" w:hAnsi="Aptos"/>
              </w:rPr>
              <w:t xml:space="preserve">Yes – nursing, teaching, science </w:t>
            </w:r>
          </w:p>
        </w:tc>
      </w:tr>
      <w:tr w:rsidR="00826537" w:rsidRPr="00826537" w14:paraId="49139963" w14:textId="77777777" w:rsidTr="00826537">
        <w:trPr>
          <w:trHeight w:val="584"/>
        </w:trPr>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078218A7" w14:textId="77777777" w:rsidR="00826537" w:rsidRPr="00826537" w:rsidRDefault="00826537" w:rsidP="00826537">
            <w:pPr>
              <w:rPr>
                <w:rFonts w:ascii="Aptos" w:hAnsi="Aptos"/>
              </w:rPr>
            </w:pPr>
            <w:r w:rsidRPr="00826537">
              <w:rPr>
                <w:rFonts w:ascii="Aptos" w:hAnsi="Aptos"/>
              </w:rPr>
              <w:t>2021-?</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4F8852D" w14:textId="77777777" w:rsidR="00826537" w:rsidRPr="00826537" w:rsidRDefault="00826537" w:rsidP="00826537">
            <w:pPr>
              <w:rPr>
                <w:rFonts w:ascii="Aptos" w:hAnsi="Aptos"/>
              </w:rPr>
            </w:pPr>
            <w:r w:rsidRPr="00826537">
              <w:rPr>
                <w:rFonts w:ascii="Aptos" w:hAnsi="Aptos"/>
              </w:rPr>
              <w:t xml:space="preserve">No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6D19E643" w14:textId="77777777" w:rsidR="00826537" w:rsidRPr="00826537" w:rsidRDefault="00826537" w:rsidP="00826537">
            <w:pPr>
              <w:rPr>
                <w:rFonts w:ascii="Aptos" w:hAnsi="Aptos"/>
              </w:rPr>
            </w:pPr>
            <w:r w:rsidRPr="00826537">
              <w:rPr>
                <w:rFonts w:ascii="Aptos" w:hAnsi="Aptos"/>
              </w:rPr>
              <w:t xml:space="preserve">Yes, course specific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15A38D28" w14:textId="77777777" w:rsidR="00826537" w:rsidRPr="00826537" w:rsidRDefault="00826537" w:rsidP="00826537">
            <w:pPr>
              <w:rPr>
                <w:rFonts w:ascii="Aptos" w:hAnsi="Aptos"/>
              </w:rPr>
            </w:pPr>
            <w:r w:rsidRPr="00826537">
              <w:rPr>
                <w:rFonts w:ascii="Aptos" w:hAnsi="Aptos"/>
              </w:rPr>
              <w:t xml:space="preserve">No </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3E6AF1E7" w14:textId="77777777" w:rsidR="00826537" w:rsidRPr="00826537" w:rsidRDefault="00826537" w:rsidP="00826537">
            <w:pPr>
              <w:rPr>
                <w:rFonts w:ascii="Aptos" w:hAnsi="Aptos"/>
              </w:rPr>
            </w:pPr>
            <w:r w:rsidRPr="00826537">
              <w:rPr>
                <w:rFonts w:ascii="Aptos" w:hAnsi="Aptos"/>
              </w:rPr>
              <w:t>No</w:t>
            </w:r>
          </w:p>
        </w:tc>
        <w:tc>
          <w:tcPr>
            <w:tcW w:w="1480" w:type="dxa"/>
            <w:tcBorders>
              <w:top w:val="single" w:sz="8" w:space="0" w:color="FFFFFF"/>
              <w:left w:val="single" w:sz="8" w:space="0" w:color="FFFFFF"/>
              <w:bottom w:val="single" w:sz="8" w:space="0" w:color="FFFFFF"/>
              <w:right w:val="single" w:sz="8" w:space="0" w:color="FFFFFF"/>
            </w:tcBorders>
            <w:shd w:val="clear" w:color="auto" w:fill="E6E7ED"/>
            <w:tcMar>
              <w:top w:w="72" w:type="dxa"/>
              <w:left w:w="144" w:type="dxa"/>
              <w:bottom w:w="72" w:type="dxa"/>
              <w:right w:w="144" w:type="dxa"/>
            </w:tcMar>
            <w:hideMark/>
          </w:tcPr>
          <w:p w14:paraId="27CEF181" w14:textId="77777777" w:rsidR="00826537" w:rsidRPr="00826537" w:rsidRDefault="00826537" w:rsidP="00826537">
            <w:pPr>
              <w:rPr>
                <w:rFonts w:ascii="Aptos" w:hAnsi="Aptos"/>
              </w:rPr>
            </w:pPr>
            <w:r w:rsidRPr="00826537">
              <w:rPr>
                <w:rFonts w:ascii="Aptos" w:hAnsi="Aptos"/>
              </w:rPr>
              <w:t>Yes</w:t>
            </w:r>
          </w:p>
        </w:tc>
      </w:tr>
    </w:tbl>
    <w:p w14:paraId="069F9B9B" w14:textId="1A405519" w:rsidR="00826537" w:rsidRPr="00051081" w:rsidRDefault="00187C83" w:rsidP="00226637">
      <w:pPr>
        <w:rPr>
          <w:rFonts w:ascii="Aptos" w:hAnsi="Aptos"/>
          <w:sz w:val="22"/>
        </w:rPr>
      </w:pPr>
      <w:r w:rsidRPr="00051081">
        <w:rPr>
          <w:rFonts w:ascii="Aptos" w:hAnsi="Aptos"/>
          <w:sz w:val="22"/>
        </w:rPr>
        <w:t xml:space="preserve">Source: Andrew Norton, </w:t>
      </w:r>
      <w:r w:rsidRPr="00051081">
        <w:rPr>
          <w:rFonts w:ascii="Aptos" w:hAnsi="Aptos"/>
          <w:i/>
          <w:iCs/>
          <w:sz w:val="22"/>
        </w:rPr>
        <w:t>From private to public benefit</w:t>
      </w:r>
      <w:r w:rsidRPr="00051081">
        <w:rPr>
          <w:rFonts w:ascii="Aptos" w:hAnsi="Aptos"/>
          <w:sz w:val="22"/>
        </w:rPr>
        <w:t xml:space="preserve"> (Centre for the Study of Higher Education, 2022)</w:t>
      </w:r>
    </w:p>
    <w:p w14:paraId="4FAE669C" w14:textId="6B0E5B4B" w:rsidR="00826537" w:rsidRDefault="00826537" w:rsidP="00226637">
      <w:pPr>
        <w:rPr>
          <w:rFonts w:ascii="Aptos" w:hAnsi="Aptos"/>
        </w:rPr>
      </w:pPr>
    </w:p>
    <w:p w14:paraId="03FB82D5" w14:textId="77777777" w:rsidR="00765C46" w:rsidRDefault="00B908C8" w:rsidP="00226637">
      <w:pPr>
        <w:rPr>
          <w:rFonts w:ascii="Aptos" w:hAnsi="Aptos"/>
        </w:rPr>
      </w:pPr>
      <w:r>
        <w:rPr>
          <w:rFonts w:ascii="Aptos" w:hAnsi="Aptos"/>
        </w:rPr>
        <w:t>Politics aside, i</w:t>
      </w:r>
      <w:r w:rsidR="00187C83">
        <w:rPr>
          <w:rFonts w:ascii="Aptos" w:hAnsi="Aptos"/>
        </w:rPr>
        <w:t xml:space="preserve">n policy terms </w:t>
      </w:r>
      <w:r w:rsidR="004B06BC">
        <w:rPr>
          <w:rFonts w:ascii="Aptos" w:hAnsi="Aptos"/>
        </w:rPr>
        <w:t xml:space="preserve">total </w:t>
      </w:r>
      <w:r w:rsidR="00DB5C8A">
        <w:rPr>
          <w:rFonts w:ascii="Aptos" w:hAnsi="Aptos"/>
        </w:rPr>
        <w:t xml:space="preserve">per student </w:t>
      </w:r>
      <w:r w:rsidR="004B06BC">
        <w:rPr>
          <w:rFonts w:ascii="Aptos" w:hAnsi="Aptos"/>
        </w:rPr>
        <w:t>funding rates and student contribution</w:t>
      </w:r>
      <w:r w:rsidR="00051081">
        <w:rPr>
          <w:rFonts w:ascii="Aptos" w:hAnsi="Aptos"/>
        </w:rPr>
        <w:t>s</w:t>
      </w:r>
      <w:r w:rsidR="004B06BC">
        <w:rPr>
          <w:rFonts w:ascii="Aptos" w:hAnsi="Aptos"/>
        </w:rPr>
        <w:t xml:space="preserve"> are </w:t>
      </w:r>
      <w:r>
        <w:rPr>
          <w:rFonts w:ascii="Aptos" w:hAnsi="Aptos"/>
        </w:rPr>
        <w:t>the mo</w:t>
      </w:r>
      <w:r w:rsidR="00D41F1A">
        <w:rPr>
          <w:rFonts w:ascii="Aptos" w:hAnsi="Aptos"/>
        </w:rPr>
        <w:t>st</w:t>
      </w:r>
      <w:r>
        <w:rPr>
          <w:rFonts w:ascii="Aptos" w:hAnsi="Aptos"/>
        </w:rPr>
        <w:t xml:space="preserve"> important</w:t>
      </w:r>
      <w:r w:rsidR="004B06BC">
        <w:rPr>
          <w:rFonts w:ascii="Aptos" w:hAnsi="Aptos"/>
        </w:rPr>
        <w:t xml:space="preserve"> part</w:t>
      </w:r>
      <w:r>
        <w:rPr>
          <w:rFonts w:ascii="Aptos" w:hAnsi="Aptos"/>
        </w:rPr>
        <w:t>s</w:t>
      </w:r>
      <w:r w:rsidR="004B06BC">
        <w:rPr>
          <w:rFonts w:ascii="Aptos" w:hAnsi="Aptos"/>
        </w:rPr>
        <w:t xml:space="preserve"> of Australia’s per student funding system. </w:t>
      </w:r>
    </w:p>
    <w:p w14:paraId="6849EFB8" w14:textId="77777777" w:rsidR="00765C46" w:rsidRDefault="00765C46" w:rsidP="00226637">
      <w:pPr>
        <w:rPr>
          <w:rFonts w:ascii="Aptos" w:hAnsi="Aptos"/>
        </w:rPr>
      </w:pPr>
    </w:p>
    <w:p w14:paraId="20D14C87" w14:textId="32515714" w:rsidR="00187C83" w:rsidRDefault="004B06BC" w:rsidP="00226637">
      <w:pPr>
        <w:rPr>
          <w:rFonts w:ascii="Aptos" w:hAnsi="Aptos"/>
        </w:rPr>
      </w:pPr>
      <w:r>
        <w:rPr>
          <w:rFonts w:ascii="Aptos" w:hAnsi="Aptos"/>
        </w:rPr>
        <w:t xml:space="preserve">For universities the total funding rate drives resources per student within its overall maximum basic grant amount (or </w:t>
      </w:r>
      <w:r w:rsidR="005F5962">
        <w:rPr>
          <w:rFonts w:ascii="Aptos" w:hAnsi="Aptos"/>
        </w:rPr>
        <w:t>full-time equivalent student cap</w:t>
      </w:r>
      <w:r>
        <w:rPr>
          <w:rFonts w:ascii="Aptos" w:hAnsi="Aptos"/>
        </w:rPr>
        <w:t xml:space="preserve"> under </w:t>
      </w:r>
      <w:r w:rsidR="005F5962">
        <w:rPr>
          <w:rFonts w:ascii="Aptos" w:hAnsi="Aptos"/>
        </w:rPr>
        <w:t>planned changes</w:t>
      </w:r>
      <w:r>
        <w:rPr>
          <w:rFonts w:ascii="Aptos" w:hAnsi="Aptos"/>
        </w:rPr>
        <w:t xml:space="preserve">), while the student contribution drives payments for over-enrolments. Only for FEE-FREE Uni Ready places, which are Commonwealth contribution only, is the Commonwealth contribution the critical number. </w:t>
      </w:r>
    </w:p>
    <w:p w14:paraId="5C08C8EB" w14:textId="617D7FD4" w:rsidR="00B36B8A" w:rsidRDefault="00B36B8A" w:rsidP="00226637">
      <w:pPr>
        <w:rPr>
          <w:rFonts w:ascii="Aptos" w:hAnsi="Aptos"/>
        </w:rPr>
      </w:pPr>
    </w:p>
    <w:p w14:paraId="269DD065" w14:textId="76F09E4A" w:rsidR="0066439B" w:rsidRDefault="00B36B8A" w:rsidP="0066439B">
      <w:pPr>
        <w:rPr>
          <w:rFonts w:ascii="Aptos" w:hAnsi="Aptos"/>
        </w:rPr>
      </w:pPr>
      <w:r>
        <w:rPr>
          <w:rFonts w:ascii="Aptos" w:hAnsi="Aptos"/>
        </w:rPr>
        <w:t xml:space="preserve">For students, student contribution </w:t>
      </w:r>
      <w:r w:rsidR="00DB5C8A">
        <w:rPr>
          <w:rFonts w:ascii="Aptos" w:hAnsi="Aptos"/>
        </w:rPr>
        <w:t>level</w:t>
      </w:r>
      <w:r w:rsidR="00051081">
        <w:rPr>
          <w:rFonts w:ascii="Aptos" w:hAnsi="Aptos"/>
        </w:rPr>
        <w:t>s</w:t>
      </w:r>
      <w:r w:rsidR="00DB5C8A">
        <w:rPr>
          <w:rFonts w:ascii="Aptos" w:hAnsi="Aptos"/>
        </w:rPr>
        <w:t xml:space="preserve"> may influence some course or subject decisions </w:t>
      </w:r>
      <w:sdt>
        <w:sdtPr>
          <w:rPr>
            <w:rFonts w:ascii="Aptos" w:hAnsi="Aptos"/>
            <w:color w:val="000000"/>
          </w:rPr>
          <w:tag w:val="MENDELEY_CITATION_v3_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"/>
          <w:id w:val="565221700"/>
          <w:placeholder>
            <w:docPart w:val="DefaultPlaceholder_-1854013440"/>
          </w:placeholder>
        </w:sdtPr>
        <w:sdtContent>
          <w:r w:rsidR="00094A58" w:rsidRPr="00094A58">
            <w:rPr>
              <w:rFonts w:ascii="Aptos" w:hAnsi="Aptos"/>
              <w:color w:val="000000"/>
            </w:rPr>
            <w:t>(Norton, 2020; Yong et al., 2023)</w:t>
          </w:r>
        </w:sdtContent>
      </w:sdt>
      <w:r w:rsidR="00DB5C8A">
        <w:rPr>
          <w:rFonts w:ascii="Aptos" w:hAnsi="Aptos"/>
        </w:rPr>
        <w:t xml:space="preserve">, </w:t>
      </w:r>
      <w:r w:rsidR="00B908C8">
        <w:rPr>
          <w:rFonts w:ascii="Aptos" w:hAnsi="Aptos"/>
        </w:rPr>
        <w:t>but</w:t>
      </w:r>
      <w:r w:rsidR="00DB5C8A">
        <w:rPr>
          <w:rFonts w:ascii="Aptos" w:hAnsi="Aptos"/>
        </w:rPr>
        <w:t xml:space="preserve"> HELP loans </w:t>
      </w:r>
      <w:r w:rsidR="00B908C8">
        <w:rPr>
          <w:rFonts w:ascii="Aptos" w:hAnsi="Aptos"/>
        </w:rPr>
        <w:t>make</w:t>
      </w:r>
      <w:r w:rsidR="00DB5C8A">
        <w:rPr>
          <w:rFonts w:ascii="Aptos" w:hAnsi="Aptos"/>
        </w:rPr>
        <w:t xml:space="preserve"> </w:t>
      </w:r>
      <w:r w:rsidR="00C13AA9">
        <w:rPr>
          <w:rFonts w:ascii="Aptos" w:hAnsi="Aptos"/>
        </w:rPr>
        <w:t xml:space="preserve">field of education and career interests the dominant drivers of course choices </w:t>
      </w:r>
      <w:sdt>
        <w:sdtPr>
          <w:rPr>
            <w:rFonts w:ascii="Aptos" w:hAnsi="Aptos"/>
            <w:color w:val="000000"/>
          </w:rPr>
          <w:tag w:val="MENDELEY_CITATION_v3_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"/>
          <w:id w:val="1612545995"/>
          <w:placeholder>
            <w:docPart w:val="DefaultPlaceholder_-1854013440"/>
          </w:placeholder>
        </w:sdtPr>
        <w:sdtContent>
          <w:r w:rsidR="00094A58" w:rsidRPr="00094A58">
            <w:rPr>
              <w:rFonts w:ascii="Aptos" w:hAnsi="Aptos"/>
              <w:color w:val="000000"/>
            </w:rPr>
            <w:t>(Norton, 2020a; UAC, 2025)</w:t>
          </w:r>
        </w:sdtContent>
      </w:sdt>
      <w:r w:rsidR="00C13AA9">
        <w:rPr>
          <w:rFonts w:ascii="Aptos" w:hAnsi="Aptos"/>
        </w:rPr>
        <w:t>.</w:t>
      </w:r>
      <w:r w:rsidR="008E0E91">
        <w:rPr>
          <w:rFonts w:ascii="Aptos" w:hAnsi="Aptos"/>
        </w:rPr>
        <w:t xml:space="preserve"> </w:t>
      </w:r>
      <w:r w:rsidR="005F5962">
        <w:rPr>
          <w:rFonts w:ascii="Aptos" w:hAnsi="Aptos"/>
        </w:rPr>
        <w:t xml:space="preserve">But student contributions inevitably have financial consequences.  </w:t>
      </w:r>
      <w:r w:rsidR="0066439B">
        <w:rPr>
          <w:rFonts w:ascii="Aptos" w:hAnsi="Aptos"/>
        </w:rPr>
        <w:t>With more than 800,000 people being charged student contributions every year, and more than 700,000 taking out HECS-HELP loans, this part of the funding system i</w:t>
      </w:r>
      <w:r w:rsidR="005F5962">
        <w:rPr>
          <w:rFonts w:ascii="Aptos" w:hAnsi="Aptos"/>
        </w:rPr>
        <w:t>s</w:t>
      </w:r>
      <w:r w:rsidR="0066439B">
        <w:rPr>
          <w:rFonts w:ascii="Aptos" w:hAnsi="Aptos"/>
        </w:rPr>
        <w:t xml:space="preserve"> of high policy and political relevance. </w:t>
      </w:r>
    </w:p>
    <w:p w14:paraId="369DCB4E" w14:textId="77777777" w:rsidR="0066439B" w:rsidRDefault="0066439B" w:rsidP="0066439B">
      <w:pPr>
        <w:rPr>
          <w:rFonts w:ascii="Aptos" w:hAnsi="Aptos"/>
          <w:szCs w:val="24"/>
        </w:rPr>
      </w:pPr>
    </w:p>
    <w:p w14:paraId="35CD250C" w14:textId="48EECD28" w:rsidR="002F0D4A" w:rsidRDefault="00051081" w:rsidP="00944D95">
      <w:pPr>
        <w:rPr>
          <w:rFonts w:ascii="Aptos" w:hAnsi="Aptos"/>
          <w:szCs w:val="24"/>
        </w:rPr>
      </w:pPr>
      <w:r>
        <w:rPr>
          <w:rFonts w:ascii="Aptos" w:hAnsi="Aptos"/>
          <w:szCs w:val="24"/>
        </w:rPr>
        <w:t>I</w:t>
      </w:r>
      <w:r w:rsidR="00A1711F">
        <w:rPr>
          <w:rFonts w:ascii="Aptos" w:hAnsi="Aptos"/>
          <w:szCs w:val="24"/>
        </w:rPr>
        <w:t xml:space="preserve">t would be </w:t>
      </w:r>
      <w:r>
        <w:rPr>
          <w:rFonts w:ascii="Aptos" w:hAnsi="Aptos"/>
          <w:szCs w:val="24"/>
        </w:rPr>
        <w:t>sensible</w:t>
      </w:r>
      <w:r w:rsidR="00A1711F">
        <w:rPr>
          <w:rFonts w:ascii="Aptos" w:hAnsi="Aptos"/>
          <w:szCs w:val="24"/>
        </w:rPr>
        <w:t xml:space="preserve"> to get ATEC’s advice on the practical implications</w:t>
      </w:r>
      <w:r>
        <w:rPr>
          <w:rFonts w:ascii="Aptos" w:hAnsi="Aptos"/>
          <w:szCs w:val="24"/>
        </w:rPr>
        <w:t xml:space="preserve"> of different student contribution options. </w:t>
      </w:r>
    </w:p>
    <w:p w14:paraId="51A36E9F" w14:textId="05D7A122" w:rsidR="00A1711F" w:rsidRDefault="00A1711F" w:rsidP="00944D95">
      <w:pPr>
        <w:rPr>
          <w:rFonts w:ascii="Aptos" w:hAnsi="Aptos"/>
          <w:szCs w:val="24"/>
        </w:rPr>
      </w:pPr>
    </w:p>
    <w:p w14:paraId="3C4D40E3" w14:textId="790D3C32" w:rsidR="00A1711F" w:rsidRDefault="00A1711F" w:rsidP="00944D95">
      <w:pPr>
        <w:rPr>
          <w:rFonts w:ascii="Aptos" w:hAnsi="Aptos"/>
          <w:szCs w:val="24"/>
        </w:rPr>
      </w:pPr>
      <w:r>
        <w:rPr>
          <w:rFonts w:ascii="Aptos" w:hAnsi="Aptos"/>
          <w:szCs w:val="24"/>
        </w:rPr>
        <w:t xml:space="preserve">If the government sets maximum student contributions and funding </w:t>
      </w:r>
      <w:proofErr w:type="gramStart"/>
      <w:r>
        <w:rPr>
          <w:rFonts w:ascii="Aptos" w:hAnsi="Aptos"/>
          <w:szCs w:val="24"/>
        </w:rPr>
        <w:t>rates</w:t>
      </w:r>
      <w:proofErr w:type="gramEnd"/>
      <w:r>
        <w:rPr>
          <w:rFonts w:ascii="Aptos" w:hAnsi="Aptos"/>
          <w:szCs w:val="24"/>
        </w:rPr>
        <w:t xml:space="preserve"> it is simple maths to get the Commonwealth contribution: Total funding rate – student contribution = Commonwealth contribution. </w:t>
      </w:r>
    </w:p>
    <w:p w14:paraId="0BCB45E0" w14:textId="104451A8" w:rsidR="00CA4D2A" w:rsidRDefault="00CA4D2A" w:rsidP="00944D95">
      <w:pPr>
        <w:rPr>
          <w:rFonts w:ascii="Aptos" w:hAnsi="Aptos"/>
          <w:szCs w:val="24"/>
        </w:rPr>
      </w:pPr>
    </w:p>
    <w:p w14:paraId="27FD651C" w14:textId="26F67043" w:rsidR="00CA4D2A" w:rsidRDefault="00CA4D2A" w:rsidP="00944D95">
      <w:pPr>
        <w:rPr>
          <w:rFonts w:ascii="Aptos" w:hAnsi="Aptos"/>
          <w:szCs w:val="24"/>
        </w:rPr>
      </w:pPr>
      <w:r>
        <w:rPr>
          <w:rFonts w:ascii="Aptos" w:hAnsi="Aptos"/>
          <w:szCs w:val="24"/>
        </w:rPr>
        <w:t xml:space="preserve">Recommendation: </w:t>
      </w:r>
      <w:r w:rsidR="008765B1">
        <w:rPr>
          <w:rFonts w:ascii="Aptos" w:hAnsi="Aptos"/>
          <w:szCs w:val="24"/>
        </w:rPr>
        <w:t>Make the following amendment in bold to section 11(d)(ii):</w:t>
      </w:r>
    </w:p>
    <w:p w14:paraId="0C69A2DA" w14:textId="4B992DBB" w:rsidR="008765B1" w:rsidRDefault="008765B1" w:rsidP="00944D95">
      <w:pPr>
        <w:rPr>
          <w:rFonts w:ascii="Aptos" w:hAnsi="Aptos"/>
          <w:szCs w:val="24"/>
        </w:rPr>
      </w:pPr>
    </w:p>
    <w:p w14:paraId="4E7C430A" w14:textId="722C2039" w:rsidR="008765B1" w:rsidRDefault="008765B1" w:rsidP="00944D95">
      <w:pPr>
        <w:rPr>
          <w:rFonts w:ascii="Aptos" w:hAnsi="Aptos"/>
          <w:szCs w:val="24"/>
        </w:rPr>
      </w:pPr>
      <w:r w:rsidRPr="00226637">
        <w:rPr>
          <w:rFonts w:ascii="Aptos" w:eastAsia="Times New Roman" w:hAnsi="Aptos" w:cs="Times New Roman"/>
          <w:szCs w:val="24"/>
          <w:lang w:eastAsia="en-AU"/>
        </w:rPr>
        <w:t xml:space="preserve">The efficient cost of higher education across disciplines and student cohorts and in relation to the Commonwealth </w:t>
      </w:r>
      <w:r w:rsidRPr="008765B1">
        <w:rPr>
          <w:rFonts w:ascii="Aptos" w:eastAsia="Times New Roman" w:hAnsi="Aptos" w:cs="Times New Roman"/>
          <w:b/>
          <w:bCs/>
          <w:szCs w:val="24"/>
          <w:lang w:eastAsia="en-AU"/>
        </w:rPr>
        <w:t>and student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contribution amounts for places in funding clusters.</w:t>
      </w:r>
    </w:p>
    <w:p w14:paraId="4637BFB0" w14:textId="77777777" w:rsidR="002F0D4A" w:rsidRDefault="002F0D4A" w:rsidP="00944D95">
      <w:pPr>
        <w:rPr>
          <w:rFonts w:ascii="Aptos" w:hAnsi="Aptos"/>
          <w:szCs w:val="24"/>
        </w:rPr>
      </w:pPr>
    </w:p>
    <w:p w14:paraId="011E708F" w14:textId="228CCC1C" w:rsidR="00F81E36" w:rsidRDefault="008765B1" w:rsidP="008765B1">
      <w:pPr>
        <w:pStyle w:val="Heading2"/>
      </w:pPr>
      <w:bookmarkStart w:id="71" w:name="_Toc219380933"/>
      <w:r>
        <w:t>Non-academic student support</w:t>
      </w:r>
      <w:bookmarkEnd w:id="71"/>
    </w:p>
    <w:p w14:paraId="561099BB" w14:textId="3542334C" w:rsidR="007C7E9E" w:rsidRDefault="007C7E9E" w:rsidP="008765B1">
      <w:pPr>
        <w:rPr>
          <w:color w:val="000000"/>
        </w:rPr>
      </w:pPr>
      <w:r>
        <w:t xml:space="preserve">The financing of non-academic student support </w:t>
      </w:r>
      <w:r w:rsidR="00051081">
        <w:t>is</w:t>
      </w:r>
      <w:r>
        <w:t xml:space="preserve"> a grey area in higher education policy. The cost studies behind the current per student funding rates included ‘student support and welfare systems’ costs ‘to the extent that they are related to delivery of teaching’ </w:t>
      </w:r>
      <w:r w:rsidRPr="007C7E9E">
        <w:rPr>
          <w:color w:val="000000"/>
        </w:rPr>
        <w:t>(Deloitte Access Economics, 2022, p. 108)</w:t>
      </w:r>
      <w:r>
        <w:rPr>
          <w:color w:val="000000"/>
        </w:rPr>
        <w:t xml:space="preserve"> but did not specify in more detail what services or supports were in and out or separate these costs from more strictly academic teaching costs. </w:t>
      </w:r>
    </w:p>
    <w:p w14:paraId="38F33277" w14:textId="418504D3" w:rsidR="007C7E9E" w:rsidRDefault="007C7E9E" w:rsidP="008765B1">
      <w:pPr>
        <w:rPr>
          <w:color w:val="000000"/>
        </w:rPr>
      </w:pPr>
    </w:p>
    <w:p w14:paraId="741E2380" w14:textId="38A69376" w:rsidR="00223F53" w:rsidRDefault="0068548F" w:rsidP="008765B1">
      <w:pPr>
        <w:rPr>
          <w:color w:val="000000"/>
        </w:rPr>
      </w:pPr>
      <w:r>
        <w:rPr>
          <w:color w:val="000000"/>
        </w:rPr>
        <w:t>Several relevant policy changes have occurred s</w:t>
      </w:r>
      <w:r w:rsidR="007C7E9E">
        <w:rPr>
          <w:color w:val="000000"/>
        </w:rPr>
        <w:t xml:space="preserve">ince the last change in student funding </w:t>
      </w:r>
      <w:r w:rsidR="00051081">
        <w:rPr>
          <w:color w:val="000000"/>
        </w:rPr>
        <w:t xml:space="preserve">rates </w:t>
      </w:r>
      <w:r w:rsidR="007C7E9E">
        <w:rPr>
          <w:color w:val="000000"/>
        </w:rPr>
        <w:t>in 2021</w:t>
      </w:r>
      <w:r>
        <w:rPr>
          <w:color w:val="000000"/>
        </w:rPr>
        <w:t xml:space="preserve">. </w:t>
      </w:r>
    </w:p>
    <w:p w14:paraId="430514F8" w14:textId="77777777" w:rsidR="00223F53" w:rsidRDefault="00223F53" w:rsidP="008765B1">
      <w:pPr>
        <w:rPr>
          <w:color w:val="000000"/>
        </w:rPr>
      </w:pPr>
    </w:p>
    <w:p w14:paraId="03524310" w14:textId="201B5607" w:rsidR="00223F53" w:rsidRDefault="00051081" w:rsidP="00223F53">
      <w:pPr>
        <w:rPr>
          <w:rFonts w:ascii="Aptos" w:eastAsia="Times New Roman" w:hAnsi="Aptos" w:cs="Times New Roman"/>
          <w:szCs w:val="24"/>
          <w:lang w:eastAsia="en-AU"/>
        </w:rPr>
      </w:pPr>
      <w:r>
        <w:rPr>
          <w:color w:val="000000"/>
        </w:rPr>
        <w:t>In</w:t>
      </w:r>
      <w:r w:rsidR="007C7E9E">
        <w:rPr>
          <w:color w:val="000000"/>
        </w:rPr>
        <w:t xml:space="preserve"> 2026</w:t>
      </w:r>
      <w:r w:rsidR="00223F53">
        <w:rPr>
          <w:color w:val="000000"/>
        </w:rPr>
        <w:t>, through needs-based funding for equity groups, policy will r</w:t>
      </w:r>
      <w:r w:rsidR="007C7E9E">
        <w:rPr>
          <w:color w:val="000000"/>
        </w:rPr>
        <w:t>ecognise that student</w:t>
      </w:r>
      <w:r w:rsidR="00392BAA">
        <w:rPr>
          <w:color w:val="000000"/>
        </w:rPr>
        <w:t xml:space="preserve"> as well as course characteristics are relevant to costs</w:t>
      </w:r>
      <w:r w:rsidR="00BA7B24">
        <w:rPr>
          <w:color w:val="000000"/>
        </w:rPr>
        <w:t>.</w:t>
      </w:r>
      <w:r w:rsidR="00223F53">
        <w:rPr>
          <w:color w:val="000000"/>
        </w:rPr>
        <w:t xml:space="preserve"> This change is recognised in </w:t>
      </w:r>
      <w:r w:rsidR="00223F53">
        <w:rPr>
          <w:rFonts w:ascii="Aptos" w:hAnsi="Aptos"/>
          <w:szCs w:val="24"/>
        </w:rPr>
        <w:t>section 11(d)(ii), emphasis added:</w:t>
      </w:r>
      <w:r>
        <w:rPr>
          <w:rFonts w:ascii="Aptos" w:hAnsi="Aptos"/>
          <w:szCs w:val="24"/>
        </w:rPr>
        <w:t xml:space="preserve"> </w:t>
      </w:r>
      <w:r>
        <w:rPr>
          <w:rFonts w:ascii="Aptos" w:eastAsia="Times New Roman" w:hAnsi="Aptos" w:cs="Times New Roman"/>
          <w:szCs w:val="24"/>
          <w:lang w:eastAsia="en-AU"/>
        </w:rPr>
        <w:t>‘</w:t>
      </w:r>
      <w:r w:rsidR="00223F53" w:rsidRPr="00226637">
        <w:rPr>
          <w:rFonts w:ascii="Aptos" w:eastAsia="Times New Roman" w:hAnsi="Aptos" w:cs="Times New Roman"/>
          <w:szCs w:val="24"/>
          <w:lang w:eastAsia="en-AU"/>
        </w:rPr>
        <w:t xml:space="preserve">The efficient cost of higher education across disciplines </w:t>
      </w:r>
      <w:r w:rsidR="00223F53" w:rsidRPr="00223F53">
        <w:rPr>
          <w:rFonts w:ascii="Aptos" w:eastAsia="Times New Roman" w:hAnsi="Aptos" w:cs="Times New Roman"/>
          <w:i/>
          <w:iCs/>
          <w:szCs w:val="24"/>
          <w:lang w:eastAsia="en-AU"/>
        </w:rPr>
        <w:t>and student cohorts</w:t>
      </w:r>
      <w:r w:rsidR="00223F53" w:rsidRPr="00226637">
        <w:rPr>
          <w:rFonts w:ascii="Aptos" w:eastAsia="Times New Roman" w:hAnsi="Aptos" w:cs="Times New Roman"/>
          <w:szCs w:val="24"/>
          <w:lang w:eastAsia="en-AU"/>
        </w:rPr>
        <w:t xml:space="preserve"> and in relation to the Commonwealth contribution amounts for places in funding clusters.</w:t>
      </w:r>
      <w:r>
        <w:rPr>
          <w:rFonts w:ascii="Aptos" w:eastAsia="Times New Roman" w:hAnsi="Aptos" w:cs="Times New Roman"/>
          <w:szCs w:val="24"/>
          <w:lang w:eastAsia="en-AU"/>
        </w:rPr>
        <w:t>’</w:t>
      </w:r>
    </w:p>
    <w:p w14:paraId="02C7ECDC" w14:textId="259EDC60" w:rsidR="00BA7B24" w:rsidRDefault="00BA7B24" w:rsidP="00223F53">
      <w:pPr>
        <w:rPr>
          <w:color w:val="000000"/>
        </w:rPr>
      </w:pPr>
    </w:p>
    <w:p w14:paraId="5A792258" w14:textId="2BA89E98" w:rsidR="00BA7B24" w:rsidRDefault="00BA7B24" w:rsidP="00223F53">
      <w:pPr>
        <w:rPr>
          <w:rFonts w:ascii="Aptos" w:hAnsi="Aptos"/>
          <w:szCs w:val="24"/>
        </w:rPr>
      </w:pPr>
      <w:r>
        <w:rPr>
          <w:rFonts w:ascii="Aptos" w:hAnsi="Aptos"/>
          <w:szCs w:val="24"/>
        </w:rPr>
        <w:t xml:space="preserve">The </w:t>
      </w:r>
      <w:r w:rsidR="00655EFD">
        <w:rPr>
          <w:rFonts w:ascii="Aptos" w:hAnsi="Aptos"/>
          <w:szCs w:val="24"/>
        </w:rPr>
        <w:t>S</w:t>
      </w:r>
      <w:r>
        <w:rPr>
          <w:rFonts w:ascii="Aptos" w:hAnsi="Aptos"/>
          <w:szCs w:val="24"/>
        </w:rPr>
        <w:t xml:space="preserve">upport for </w:t>
      </w:r>
      <w:r w:rsidR="00655EFD">
        <w:rPr>
          <w:rFonts w:ascii="Aptos" w:hAnsi="Aptos"/>
          <w:szCs w:val="24"/>
        </w:rPr>
        <w:t>S</w:t>
      </w:r>
      <w:r>
        <w:rPr>
          <w:rFonts w:ascii="Aptos" w:hAnsi="Aptos"/>
          <w:szCs w:val="24"/>
        </w:rPr>
        <w:t xml:space="preserve">tudents policy, which commenced in 2024, </w:t>
      </w:r>
      <w:r w:rsidR="00094A58">
        <w:rPr>
          <w:rFonts w:ascii="Aptos" w:hAnsi="Aptos"/>
          <w:szCs w:val="24"/>
        </w:rPr>
        <w:t>requires</w:t>
      </w:r>
      <w:r>
        <w:rPr>
          <w:rFonts w:ascii="Aptos" w:hAnsi="Aptos"/>
          <w:szCs w:val="24"/>
        </w:rPr>
        <w:t xml:space="preserve"> </w:t>
      </w:r>
      <w:r w:rsidR="00094A58">
        <w:rPr>
          <w:rFonts w:ascii="Aptos" w:hAnsi="Aptos"/>
          <w:szCs w:val="24"/>
        </w:rPr>
        <w:t xml:space="preserve">provision of </w:t>
      </w:r>
      <w:r>
        <w:rPr>
          <w:rFonts w:ascii="Aptos" w:hAnsi="Aptos"/>
          <w:szCs w:val="24"/>
        </w:rPr>
        <w:t xml:space="preserve">non-academic services that providers are not always legally required to </w:t>
      </w:r>
      <w:r w:rsidR="00096032">
        <w:rPr>
          <w:rFonts w:ascii="Aptos" w:hAnsi="Aptos"/>
          <w:szCs w:val="24"/>
        </w:rPr>
        <w:t>deliver</w:t>
      </w:r>
      <w:r w:rsidR="00655EFD">
        <w:rPr>
          <w:rFonts w:ascii="Aptos" w:hAnsi="Aptos"/>
          <w:szCs w:val="24"/>
        </w:rPr>
        <w:t>.</w:t>
      </w:r>
      <w:r w:rsidR="00655EFD">
        <w:rPr>
          <w:rStyle w:val="FootnoteReference"/>
          <w:rFonts w:ascii="Aptos" w:hAnsi="Aptos"/>
          <w:szCs w:val="24"/>
        </w:rPr>
        <w:footnoteReference w:id="11"/>
      </w:r>
      <w:r w:rsidR="00655EFD">
        <w:rPr>
          <w:rFonts w:ascii="Aptos" w:hAnsi="Aptos"/>
          <w:szCs w:val="24"/>
        </w:rPr>
        <w:t xml:space="preserve"> T</w:t>
      </w:r>
      <w:r>
        <w:rPr>
          <w:rFonts w:ascii="Aptos" w:hAnsi="Aptos"/>
          <w:szCs w:val="24"/>
        </w:rPr>
        <w:t xml:space="preserve">he </w:t>
      </w:r>
      <w:r w:rsidR="00655EFD">
        <w:rPr>
          <w:rFonts w:ascii="Aptos" w:hAnsi="Aptos"/>
          <w:szCs w:val="24"/>
        </w:rPr>
        <w:t>h</w:t>
      </w:r>
      <w:r>
        <w:rPr>
          <w:rFonts w:ascii="Aptos" w:hAnsi="Aptos"/>
          <w:szCs w:val="24"/>
        </w:rPr>
        <w:t xml:space="preserve">igher </w:t>
      </w:r>
      <w:r w:rsidR="00655EFD">
        <w:rPr>
          <w:rFonts w:ascii="Aptos" w:hAnsi="Aptos"/>
          <w:szCs w:val="24"/>
        </w:rPr>
        <w:t>e</w:t>
      </w:r>
      <w:r>
        <w:rPr>
          <w:rFonts w:ascii="Aptos" w:hAnsi="Aptos"/>
          <w:szCs w:val="24"/>
        </w:rPr>
        <w:t xml:space="preserve">ducation Threshold Standards typically require advice on how to access services, whether provided by the provider or a third party (part 2.3). </w:t>
      </w:r>
    </w:p>
    <w:p w14:paraId="6786D70C" w14:textId="3AF4DFC5" w:rsidR="00BA7B24" w:rsidRDefault="00BA7B24" w:rsidP="00223F53">
      <w:pPr>
        <w:rPr>
          <w:rFonts w:ascii="Aptos" w:hAnsi="Aptos"/>
          <w:szCs w:val="24"/>
        </w:rPr>
      </w:pPr>
    </w:p>
    <w:p w14:paraId="7B4213B9" w14:textId="43AD77B6" w:rsidR="00BA7B24" w:rsidRDefault="00BA7B24" w:rsidP="00223F53">
      <w:r>
        <w:rPr>
          <w:rFonts w:ascii="Aptos" w:hAnsi="Aptos"/>
          <w:szCs w:val="24"/>
        </w:rPr>
        <w:t xml:space="preserve">The </w:t>
      </w:r>
      <w:r w:rsidR="00655EFD">
        <w:rPr>
          <w:rFonts w:ascii="Aptos" w:hAnsi="Aptos"/>
          <w:szCs w:val="24"/>
        </w:rPr>
        <w:t>S</w:t>
      </w:r>
      <w:r>
        <w:rPr>
          <w:rFonts w:ascii="Aptos" w:hAnsi="Aptos"/>
          <w:szCs w:val="24"/>
        </w:rPr>
        <w:t xml:space="preserve">upport for </w:t>
      </w:r>
      <w:r w:rsidR="00655EFD">
        <w:rPr>
          <w:rFonts w:ascii="Aptos" w:hAnsi="Aptos"/>
          <w:szCs w:val="24"/>
        </w:rPr>
        <w:t>S</w:t>
      </w:r>
      <w:r>
        <w:rPr>
          <w:rFonts w:ascii="Aptos" w:hAnsi="Aptos"/>
          <w:szCs w:val="24"/>
        </w:rPr>
        <w:t>tudents policy requires providers to report on:</w:t>
      </w:r>
      <w:r w:rsidR="00051081">
        <w:rPr>
          <w:rFonts w:ascii="Aptos" w:hAnsi="Aptos"/>
          <w:szCs w:val="24"/>
        </w:rPr>
        <w:t xml:space="preserve"> ‘</w:t>
      </w:r>
      <w:r>
        <w:t>f)</w:t>
      </w:r>
      <w:r>
        <w:tab/>
        <w:t>how the provider delivers, and how students are able to access, non-academic support, including but not limited to, mental health and well-being support and career planning and employability support</w:t>
      </w:r>
      <w:r w:rsidR="00227F48">
        <w:t>.’</w:t>
      </w:r>
    </w:p>
    <w:p w14:paraId="08AEA731" w14:textId="2F50A6EB" w:rsidR="0068548F" w:rsidRDefault="0068548F" w:rsidP="00223F53"/>
    <w:p w14:paraId="4AD3C11A" w14:textId="303C7D0B" w:rsidR="00223F53" w:rsidRDefault="00705909" w:rsidP="008765B1">
      <w:pPr>
        <w:rPr>
          <w:color w:val="000000"/>
        </w:rPr>
      </w:pPr>
      <w:r>
        <w:rPr>
          <w:color w:val="000000"/>
        </w:rPr>
        <w:t xml:space="preserve">From 1 January 2026 universities must comply with </w:t>
      </w:r>
      <w:r w:rsidR="00051081">
        <w:rPr>
          <w:color w:val="000000"/>
        </w:rPr>
        <w:t>a</w:t>
      </w:r>
      <w:r>
        <w:rPr>
          <w:color w:val="000000"/>
        </w:rPr>
        <w:t xml:space="preserve"> gender-based violence </w:t>
      </w:r>
      <w:r w:rsidR="00051081">
        <w:rPr>
          <w:color w:val="000000"/>
        </w:rPr>
        <w:t>code</w:t>
      </w:r>
      <w:r>
        <w:rPr>
          <w:color w:val="000000"/>
        </w:rPr>
        <w:t>.</w:t>
      </w:r>
      <w:r w:rsidR="002878BD">
        <w:rPr>
          <w:color w:val="000000"/>
        </w:rPr>
        <w:t xml:space="preserve"> </w:t>
      </w:r>
      <w:r>
        <w:rPr>
          <w:color w:val="000000"/>
        </w:rPr>
        <w:t xml:space="preserve">A </w:t>
      </w:r>
      <w:r w:rsidR="00051081">
        <w:rPr>
          <w:color w:val="000000"/>
        </w:rPr>
        <w:t xml:space="preserve">government-commission </w:t>
      </w:r>
      <w:r>
        <w:rPr>
          <w:color w:val="000000"/>
        </w:rPr>
        <w:t>cost stud</w:t>
      </w:r>
      <w:r w:rsidR="00227F48">
        <w:rPr>
          <w:color w:val="000000"/>
        </w:rPr>
        <w:t>y</w:t>
      </w:r>
      <w:r>
        <w:rPr>
          <w:color w:val="000000"/>
        </w:rPr>
        <w:t xml:space="preserve"> estimated that annual costs per large provider of $8.1 million and for medium-size providers $5.3 million</w:t>
      </w:r>
      <w:r w:rsidR="007B050E">
        <w:rPr>
          <w:color w:val="000000"/>
        </w:rPr>
        <w:t xml:space="preserve"> </w:t>
      </w:r>
      <w:sdt>
        <w:sdtPr>
          <w:rPr>
            <w:rFonts w:ascii="Calibri" w:hAnsi="Calibri" w:cs="Calibri"/>
            <w:color w:val="000000"/>
          </w:rPr>
          <w:tag w:val="MENDELEY_CITATION_v3_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"/>
          <w:id w:val="-1931808842"/>
          <w:placeholder>
            <w:docPart w:val="DefaultPlaceholder_-1854013440"/>
          </w:placeholder>
        </w:sdtPr>
        <w:sdtContent>
          <w:r w:rsidR="00094A58" w:rsidRPr="00094A58">
            <w:rPr>
              <w:rFonts w:ascii="Calibri" w:hAnsi="Calibri" w:cs="Calibri"/>
              <w:color w:val="000000"/>
            </w:rPr>
            <w:t>(DAE, 2025, p. xiv)</w:t>
          </w:r>
        </w:sdtContent>
      </w:sdt>
      <w:r w:rsidR="007B050E">
        <w:rPr>
          <w:color w:val="000000"/>
        </w:rPr>
        <w:t xml:space="preserve">. As policy stands, this must be funded by diverting resources from other university activities. </w:t>
      </w:r>
    </w:p>
    <w:p w14:paraId="2F6228E5" w14:textId="77777777" w:rsidR="00392BAA" w:rsidRPr="007C7E9E" w:rsidRDefault="00392BAA" w:rsidP="008765B1">
      <w:pPr>
        <w:rPr>
          <w:color w:val="000000"/>
        </w:rPr>
      </w:pPr>
    </w:p>
    <w:p w14:paraId="0E7F0745" w14:textId="36EB7BDE" w:rsidR="008765B1" w:rsidRDefault="007B050E" w:rsidP="008765B1">
      <w:r>
        <w:t>Since February 2025</w:t>
      </w:r>
      <w:r w:rsidR="008765B1">
        <w:t xml:space="preserve"> </w:t>
      </w:r>
      <w:r w:rsidR="004C18E5">
        <w:t xml:space="preserve">the </w:t>
      </w:r>
      <w:r w:rsidR="004C18E5" w:rsidRPr="004C18E5">
        <w:t>National Student Ombudsman</w:t>
      </w:r>
      <w:r w:rsidR="004C18E5">
        <w:t xml:space="preserve"> </w:t>
      </w:r>
      <w:r>
        <w:t xml:space="preserve">has given students an additional opportunity to make complaints against higher education providers. </w:t>
      </w:r>
      <w:r w:rsidR="00094A58">
        <w:t>M</w:t>
      </w:r>
      <w:r w:rsidR="00051081">
        <w:t xml:space="preserve">anaging these complaints </w:t>
      </w:r>
      <w:r w:rsidR="009C410D">
        <w:t>is an additional provider expense</w:t>
      </w:r>
      <w:r w:rsidR="00094A58">
        <w:t xml:space="preserve">. </w:t>
      </w:r>
    </w:p>
    <w:p w14:paraId="34368F01" w14:textId="27A424B8" w:rsidR="00096032" w:rsidRDefault="00096032" w:rsidP="008765B1"/>
    <w:p w14:paraId="5E4CFD04" w14:textId="509B5E65" w:rsidR="0056793B" w:rsidRDefault="00096032" w:rsidP="00655EFD">
      <w:pPr>
        <w:rPr>
          <w:rFonts w:ascii="Aptos" w:eastAsia="Times New Roman" w:hAnsi="Aptos" w:cs="Times New Roman"/>
          <w:szCs w:val="24"/>
          <w:lang w:eastAsia="en-AU"/>
        </w:rPr>
      </w:pPr>
      <w:r>
        <w:t xml:space="preserve">It is not clear that ATEC, under the bill as it stands, </w:t>
      </w:r>
      <w:r w:rsidR="00094A58">
        <w:t>has</w:t>
      </w:r>
      <w:r>
        <w:t xml:space="preserve"> clear authority to estimate non-academic services </w:t>
      </w:r>
      <w:r w:rsidR="009E3AF0">
        <w:t xml:space="preserve">costs </w:t>
      </w:r>
      <w:r>
        <w:t>and include th</w:t>
      </w:r>
      <w:r w:rsidR="009E3AF0">
        <w:t>em</w:t>
      </w:r>
      <w:r>
        <w:t xml:space="preserve"> in its advice to government.</w:t>
      </w:r>
      <w:r w:rsidR="0068548F">
        <w:t xml:space="preserve"> </w:t>
      </w:r>
      <w:r w:rsidR="00051081">
        <w:rPr>
          <w:rFonts w:ascii="Aptos" w:eastAsia="Times New Roman" w:hAnsi="Aptos" w:cs="Times New Roman"/>
          <w:szCs w:val="24"/>
          <w:lang w:eastAsia="en-AU"/>
        </w:rPr>
        <w:t>Th</w:t>
      </w:r>
      <w:r w:rsidR="009E3AF0">
        <w:rPr>
          <w:rFonts w:ascii="Aptos" w:eastAsia="Times New Roman" w:hAnsi="Aptos" w:cs="Times New Roman"/>
          <w:szCs w:val="24"/>
          <w:lang w:eastAsia="en-AU"/>
        </w:rPr>
        <w:t xml:space="preserve">e reference to </w:t>
      </w:r>
      <w:r w:rsidR="009E3AF0">
        <w:rPr>
          <w:rFonts w:ascii="Aptos" w:eastAsia="Times New Roman" w:hAnsi="Aptos" w:cs="Times New Roman"/>
          <w:szCs w:val="24"/>
          <w:lang w:eastAsia="en-AU"/>
        </w:rPr>
        <w:lastRenderedPageBreak/>
        <w:t>‘student cohorts’ group</w:t>
      </w:r>
      <w:r w:rsidR="000864B1">
        <w:rPr>
          <w:rFonts w:ascii="Aptos" w:eastAsia="Times New Roman" w:hAnsi="Aptos" w:cs="Times New Roman"/>
          <w:szCs w:val="24"/>
          <w:lang w:eastAsia="en-AU"/>
        </w:rPr>
        <w:t>s</w:t>
      </w:r>
      <w:r w:rsidR="009E3AF0">
        <w:rPr>
          <w:rFonts w:ascii="Aptos" w:eastAsia="Times New Roman" w:hAnsi="Aptos" w:cs="Times New Roman"/>
          <w:szCs w:val="24"/>
          <w:lang w:eastAsia="en-AU"/>
        </w:rPr>
        <w:t xml:space="preserve"> students by socio-demographic characteristics rather than non-academic needs. In </w:t>
      </w:r>
      <w:r w:rsidR="009E3AF0" w:rsidRPr="00226637">
        <w:rPr>
          <w:rFonts w:ascii="Aptos" w:eastAsia="Times New Roman" w:hAnsi="Aptos" w:cs="Times New Roman"/>
          <w:szCs w:val="24"/>
          <w:lang w:eastAsia="en-AU"/>
        </w:rPr>
        <w:t>section 41(1)(b)</w:t>
      </w:r>
      <w:r w:rsidR="009E3AF0">
        <w:rPr>
          <w:rFonts w:ascii="Aptos" w:eastAsia="Times New Roman" w:hAnsi="Aptos" w:cs="Times New Roman"/>
          <w:szCs w:val="24"/>
          <w:lang w:eastAsia="en-AU"/>
        </w:rPr>
        <w:t xml:space="preserve"> ‘t</w:t>
      </w:r>
      <w:r w:rsidR="0056793B" w:rsidRPr="00226637">
        <w:rPr>
          <w:rFonts w:ascii="Aptos" w:eastAsia="Times New Roman" w:hAnsi="Aptos" w:cs="Times New Roman"/>
          <w:szCs w:val="24"/>
          <w:lang w:eastAsia="en-AU"/>
        </w:rPr>
        <w:t>he costs of teaching and learning in higher education</w:t>
      </w:r>
      <w:r w:rsidR="009E3AF0">
        <w:rPr>
          <w:rFonts w:ascii="Aptos" w:eastAsia="Times New Roman" w:hAnsi="Aptos" w:cs="Times New Roman"/>
          <w:szCs w:val="24"/>
          <w:lang w:eastAsia="en-AU"/>
        </w:rPr>
        <w:t xml:space="preserve">’ may imply non-academic support costs as preconditions of learning, but this leaves ambiguity. </w:t>
      </w:r>
      <w:r w:rsidR="00655EFD">
        <w:rPr>
          <w:rFonts w:ascii="Aptos" w:eastAsia="Times New Roman" w:hAnsi="Aptos" w:cs="Times New Roman"/>
          <w:szCs w:val="24"/>
          <w:lang w:eastAsia="en-AU"/>
        </w:rPr>
        <w:t>T</w:t>
      </w:r>
      <w:r w:rsidR="009E3AF0">
        <w:rPr>
          <w:rFonts w:ascii="Aptos" w:eastAsia="Times New Roman" w:hAnsi="Aptos" w:cs="Times New Roman"/>
          <w:szCs w:val="24"/>
          <w:lang w:eastAsia="en-AU"/>
        </w:rPr>
        <w:t>his section should be rewritten to make clear that higher education support costs are included.</w:t>
      </w:r>
    </w:p>
    <w:p w14:paraId="52EE3876" w14:textId="77777777" w:rsidR="00655EFD" w:rsidRDefault="00655EFD" w:rsidP="00655EFD">
      <w:pPr>
        <w:rPr>
          <w:rFonts w:ascii="Aptos" w:eastAsia="Times New Roman" w:hAnsi="Aptos" w:cs="Times New Roman"/>
          <w:szCs w:val="24"/>
          <w:lang w:eastAsia="en-AU"/>
        </w:rPr>
      </w:pPr>
    </w:p>
    <w:p w14:paraId="2FC0812D" w14:textId="16B9A13C" w:rsidR="009E3AF0" w:rsidRDefault="009E3AF0"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Recommendation: </w:t>
      </w:r>
      <w:r>
        <w:rPr>
          <w:rFonts w:ascii="Aptos" w:hAnsi="Aptos"/>
          <w:szCs w:val="24"/>
        </w:rPr>
        <w:t xml:space="preserve">Make the following amendment in strikethrough and bold to </w:t>
      </w:r>
      <w:r w:rsidRPr="00226637">
        <w:rPr>
          <w:rFonts w:ascii="Aptos" w:eastAsia="Times New Roman" w:hAnsi="Aptos" w:cs="Times New Roman"/>
          <w:szCs w:val="24"/>
          <w:lang w:eastAsia="en-AU"/>
        </w:rPr>
        <w:t>section 41(1)(b)</w:t>
      </w:r>
      <w:r>
        <w:rPr>
          <w:rFonts w:ascii="Aptos" w:eastAsia="Times New Roman" w:hAnsi="Aptos" w:cs="Times New Roman"/>
          <w:szCs w:val="24"/>
          <w:lang w:eastAsia="en-AU"/>
        </w:rPr>
        <w:t>:</w:t>
      </w:r>
    </w:p>
    <w:p w14:paraId="1A38DBBA" w14:textId="5FAEA804" w:rsidR="009E3AF0" w:rsidRPr="00226637" w:rsidRDefault="009E3AF0" w:rsidP="009E3AF0">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w:t>
      </w:r>
      <w:r w:rsidRPr="00226637">
        <w:rPr>
          <w:rFonts w:ascii="Aptos" w:eastAsia="Times New Roman" w:hAnsi="Aptos" w:cs="Times New Roman"/>
          <w:szCs w:val="24"/>
          <w:lang w:eastAsia="en-AU"/>
        </w:rPr>
        <w:t xml:space="preserve">The costs of teaching and </w:t>
      </w:r>
      <w:r w:rsidRPr="009E3AF0">
        <w:rPr>
          <w:rFonts w:ascii="Aptos" w:eastAsia="Times New Roman" w:hAnsi="Aptos" w:cs="Times New Roman"/>
          <w:strike/>
          <w:szCs w:val="24"/>
          <w:lang w:eastAsia="en-AU"/>
        </w:rPr>
        <w:t>learning</w:t>
      </w:r>
      <w:r w:rsidRPr="00226637">
        <w:rPr>
          <w:rFonts w:ascii="Aptos" w:eastAsia="Times New Roman" w:hAnsi="Aptos" w:cs="Times New Roman"/>
          <w:szCs w:val="24"/>
          <w:lang w:eastAsia="en-AU"/>
        </w:rPr>
        <w:t xml:space="preserve"> </w:t>
      </w:r>
      <w:r w:rsidRPr="009E3AF0">
        <w:rPr>
          <w:rFonts w:ascii="Aptos" w:eastAsia="Times New Roman" w:hAnsi="Aptos" w:cs="Times New Roman"/>
          <w:b/>
          <w:bCs/>
          <w:szCs w:val="24"/>
          <w:lang w:eastAsia="en-AU"/>
        </w:rPr>
        <w:t>student support</w:t>
      </w:r>
      <w:r>
        <w:rPr>
          <w:rFonts w:ascii="Aptos" w:eastAsia="Times New Roman" w:hAnsi="Aptos" w:cs="Times New Roman"/>
          <w:szCs w:val="24"/>
          <w:lang w:eastAsia="en-AU"/>
        </w:rPr>
        <w:t xml:space="preserve"> </w:t>
      </w:r>
      <w:r w:rsidRPr="00226637">
        <w:rPr>
          <w:rFonts w:ascii="Aptos" w:eastAsia="Times New Roman" w:hAnsi="Aptos" w:cs="Times New Roman"/>
          <w:szCs w:val="24"/>
          <w:lang w:eastAsia="en-AU"/>
        </w:rPr>
        <w:t>in higher education and overall higher education funding amounts, including on a per student basis.</w:t>
      </w:r>
      <w:r>
        <w:rPr>
          <w:rFonts w:ascii="Aptos" w:eastAsia="Times New Roman" w:hAnsi="Aptos" w:cs="Times New Roman"/>
          <w:szCs w:val="24"/>
          <w:lang w:eastAsia="en-AU"/>
        </w:rPr>
        <w:t>’</w:t>
      </w:r>
    </w:p>
    <w:p w14:paraId="268C8EDE" w14:textId="51D75AB5" w:rsidR="009E3AF0" w:rsidRDefault="002B1B20" w:rsidP="002B1B20">
      <w:pPr>
        <w:pStyle w:val="Heading2"/>
        <w:rPr>
          <w:lang w:eastAsia="en-AU"/>
        </w:rPr>
      </w:pPr>
      <w:bookmarkStart w:id="72" w:name="_Toc219380934"/>
      <w:r>
        <w:rPr>
          <w:lang w:eastAsia="en-AU"/>
        </w:rPr>
        <w:t>Research funding</w:t>
      </w:r>
      <w:bookmarkEnd w:id="72"/>
    </w:p>
    <w:p w14:paraId="4D4722D5" w14:textId="1C37642F" w:rsidR="00192F82" w:rsidRDefault="00911B5D"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Chapter</w:t>
      </w:r>
      <w:r w:rsidR="00192F82">
        <w:rPr>
          <w:rFonts w:ascii="Aptos" w:eastAsia="Times New Roman" w:hAnsi="Aptos" w:cs="Times New Roman"/>
          <w:szCs w:val="24"/>
          <w:lang w:eastAsia="en-AU"/>
        </w:rPr>
        <w:t xml:space="preserve"> </w:t>
      </w:r>
      <w:r w:rsidR="00192F82">
        <w:rPr>
          <w:rFonts w:ascii="Aptos" w:eastAsia="Times New Roman" w:hAnsi="Aptos" w:cs="Times New Roman"/>
          <w:szCs w:val="24"/>
          <w:lang w:eastAsia="en-AU"/>
        </w:rPr>
        <w:fldChar w:fldCharType="begin"/>
      </w:r>
      <w:r w:rsidR="00192F82">
        <w:rPr>
          <w:rFonts w:ascii="Aptos" w:eastAsia="Times New Roman" w:hAnsi="Aptos" w:cs="Times New Roman"/>
          <w:szCs w:val="24"/>
          <w:lang w:eastAsia="en-AU"/>
        </w:rPr>
        <w:instrText xml:space="preserve"> REF _Ref216188711 \r \h </w:instrText>
      </w:r>
      <w:r w:rsidR="00192F82">
        <w:rPr>
          <w:rFonts w:ascii="Aptos" w:eastAsia="Times New Roman" w:hAnsi="Aptos" w:cs="Times New Roman"/>
          <w:szCs w:val="24"/>
          <w:lang w:eastAsia="en-AU"/>
        </w:rPr>
      </w:r>
      <w:r w:rsidR="00192F82">
        <w:rPr>
          <w:rFonts w:ascii="Aptos" w:eastAsia="Times New Roman" w:hAnsi="Aptos" w:cs="Times New Roman"/>
          <w:szCs w:val="24"/>
          <w:lang w:eastAsia="en-AU"/>
        </w:rPr>
        <w:fldChar w:fldCharType="separate"/>
      </w:r>
      <w:r w:rsidR="0055214B">
        <w:rPr>
          <w:rFonts w:ascii="Aptos" w:eastAsia="Times New Roman" w:hAnsi="Aptos" w:cs="Times New Roman"/>
          <w:szCs w:val="24"/>
          <w:lang w:eastAsia="en-AU"/>
        </w:rPr>
        <w:t>2</w:t>
      </w:r>
      <w:r w:rsidR="00192F82">
        <w:rPr>
          <w:rFonts w:ascii="Aptos" w:eastAsia="Times New Roman" w:hAnsi="Aptos" w:cs="Times New Roman"/>
          <w:szCs w:val="24"/>
          <w:lang w:eastAsia="en-AU"/>
        </w:rPr>
        <w:fldChar w:fldCharType="end"/>
      </w:r>
      <w:r w:rsidR="00192F82">
        <w:rPr>
          <w:rFonts w:ascii="Aptos" w:eastAsia="Times New Roman" w:hAnsi="Aptos" w:cs="Times New Roman"/>
          <w:szCs w:val="24"/>
          <w:lang w:eastAsia="en-AU"/>
        </w:rPr>
        <w:t xml:space="preserve"> noted that although research is included in ATEC’s section 3 ‘Objects of this Act’ and envisaged in section 15 as a possibly strategic priority of the minister, it disappears from ATEC’s functions, advice and reporting provisions. It follows from this that ATEC has no express responsibility for research policy or costing. </w:t>
      </w:r>
    </w:p>
    <w:p w14:paraId="673CC914" w14:textId="6EE7BF91" w:rsidR="00167543" w:rsidRDefault="00D25F49"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Research funding is, however, one of the most significant problems facing higher education policy</w:t>
      </w:r>
      <w:r w:rsidR="005829C5">
        <w:rPr>
          <w:rFonts w:ascii="Aptos" w:eastAsia="Times New Roman" w:hAnsi="Aptos" w:cs="Times New Roman"/>
          <w:szCs w:val="24"/>
          <w:lang w:eastAsia="en-AU"/>
        </w:rPr>
        <w:t>. Research and</w:t>
      </w:r>
      <w:r>
        <w:rPr>
          <w:rFonts w:ascii="Aptos" w:eastAsia="Times New Roman" w:hAnsi="Aptos" w:cs="Times New Roman"/>
          <w:szCs w:val="24"/>
          <w:lang w:eastAsia="en-AU"/>
        </w:rPr>
        <w:t xml:space="preserve"> teaching </w:t>
      </w:r>
      <w:r w:rsidR="004556C3">
        <w:rPr>
          <w:rFonts w:ascii="Aptos" w:eastAsia="Times New Roman" w:hAnsi="Aptos" w:cs="Times New Roman"/>
          <w:szCs w:val="24"/>
          <w:lang w:eastAsia="en-AU"/>
        </w:rPr>
        <w:t xml:space="preserve">public </w:t>
      </w:r>
      <w:r>
        <w:rPr>
          <w:rFonts w:ascii="Aptos" w:eastAsia="Times New Roman" w:hAnsi="Aptos" w:cs="Times New Roman"/>
          <w:szCs w:val="24"/>
          <w:lang w:eastAsia="en-AU"/>
        </w:rPr>
        <w:t xml:space="preserve">funding </w:t>
      </w:r>
      <w:r w:rsidR="00655EFD">
        <w:rPr>
          <w:rFonts w:ascii="Aptos" w:eastAsia="Times New Roman" w:hAnsi="Aptos" w:cs="Times New Roman"/>
          <w:szCs w:val="24"/>
          <w:lang w:eastAsia="en-AU"/>
        </w:rPr>
        <w:t>have become separated but expenditure on them remains intertwined through academics employed to do both</w:t>
      </w:r>
      <w:r w:rsidR="005829C5">
        <w:rPr>
          <w:rFonts w:ascii="Aptos" w:eastAsia="Times New Roman" w:hAnsi="Aptos" w:cs="Times New Roman"/>
          <w:szCs w:val="24"/>
          <w:lang w:eastAsia="en-AU"/>
        </w:rPr>
        <w:t>. D</w:t>
      </w:r>
      <w:r w:rsidR="008328A0">
        <w:rPr>
          <w:rFonts w:ascii="Aptos" w:eastAsia="Times New Roman" w:hAnsi="Aptos" w:cs="Times New Roman"/>
          <w:szCs w:val="24"/>
          <w:lang w:eastAsia="en-AU"/>
        </w:rPr>
        <w:t>espite a long-term trend towards specialisation in teaching or research, most academics still have teaching and research responsibilities (</w:t>
      </w:r>
      <w:r w:rsidR="008328A0">
        <w:rPr>
          <w:rFonts w:ascii="Aptos" w:eastAsia="Times New Roman" w:hAnsi="Aptos" w:cs="Times New Roman"/>
          <w:szCs w:val="24"/>
          <w:lang w:eastAsia="en-AU"/>
        </w:rPr>
        <w:fldChar w:fldCharType="begin"/>
      </w:r>
      <w:r w:rsidR="008328A0">
        <w:rPr>
          <w:rFonts w:ascii="Aptos" w:eastAsia="Times New Roman" w:hAnsi="Aptos" w:cs="Times New Roman"/>
          <w:szCs w:val="24"/>
          <w:lang w:eastAsia="en-AU"/>
        </w:rPr>
        <w:instrText xml:space="preserve"> REF _Ref216189974 \h </w:instrText>
      </w:r>
      <w:r w:rsidR="008328A0">
        <w:rPr>
          <w:rFonts w:ascii="Aptos" w:eastAsia="Times New Roman" w:hAnsi="Aptos" w:cs="Times New Roman"/>
          <w:szCs w:val="24"/>
          <w:lang w:eastAsia="en-AU"/>
        </w:rPr>
      </w:r>
      <w:r w:rsidR="008328A0">
        <w:rPr>
          <w:rFonts w:ascii="Aptos" w:eastAsia="Times New Roman" w:hAnsi="Aptos" w:cs="Times New Roman"/>
          <w:szCs w:val="24"/>
          <w:lang w:eastAsia="en-AU"/>
        </w:rPr>
        <w:fldChar w:fldCharType="separate"/>
      </w:r>
      <w:r w:rsidR="0055214B">
        <w:t xml:space="preserve">Figure </w:t>
      </w:r>
      <w:r w:rsidR="0055214B">
        <w:rPr>
          <w:noProof/>
        </w:rPr>
        <w:t>1</w:t>
      </w:r>
      <w:r w:rsidR="008328A0">
        <w:rPr>
          <w:rFonts w:ascii="Aptos" w:eastAsia="Times New Roman" w:hAnsi="Aptos" w:cs="Times New Roman"/>
          <w:szCs w:val="24"/>
          <w:lang w:eastAsia="en-AU"/>
        </w:rPr>
        <w:fldChar w:fldCharType="end"/>
      </w:r>
      <w:r w:rsidR="008328A0">
        <w:rPr>
          <w:rFonts w:ascii="Aptos" w:eastAsia="Times New Roman" w:hAnsi="Aptos" w:cs="Times New Roman"/>
          <w:szCs w:val="24"/>
          <w:lang w:eastAsia="en-AU"/>
        </w:rPr>
        <w:t>). Job-ready Graduates pull</w:t>
      </w:r>
      <w:r w:rsidR="00655EFD">
        <w:rPr>
          <w:rFonts w:ascii="Aptos" w:eastAsia="Times New Roman" w:hAnsi="Aptos" w:cs="Times New Roman"/>
          <w:szCs w:val="24"/>
          <w:lang w:eastAsia="en-AU"/>
        </w:rPr>
        <w:t>ed</w:t>
      </w:r>
      <w:r w:rsidR="008328A0">
        <w:rPr>
          <w:rFonts w:ascii="Aptos" w:eastAsia="Times New Roman" w:hAnsi="Aptos" w:cs="Times New Roman"/>
          <w:szCs w:val="24"/>
          <w:lang w:eastAsia="en-AU"/>
        </w:rPr>
        <w:t xml:space="preserve"> significant implied research funding out of the system</w:t>
      </w:r>
      <w:r w:rsidR="005829C5">
        <w:rPr>
          <w:rFonts w:ascii="Aptos" w:eastAsia="Times New Roman" w:hAnsi="Aptos" w:cs="Times New Roman"/>
          <w:szCs w:val="24"/>
          <w:lang w:eastAsia="en-AU"/>
        </w:rPr>
        <w:t xml:space="preserve"> from 2021</w:t>
      </w:r>
      <w:r w:rsidR="008328A0">
        <w:rPr>
          <w:rFonts w:ascii="Aptos" w:eastAsia="Times New Roman" w:hAnsi="Aptos" w:cs="Times New Roman"/>
          <w:szCs w:val="24"/>
          <w:lang w:eastAsia="en-AU"/>
        </w:rPr>
        <w:t xml:space="preserve">, especially in science and engineering, </w:t>
      </w:r>
      <w:r w:rsidR="00655EFD">
        <w:rPr>
          <w:rFonts w:ascii="Aptos" w:eastAsia="Times New Roman" w:hAnsi="Aptos" w:cs="Times New Roman"/>
          <w:szCs w:val="24"/>
          <w:lang w:eastAsia="en-AU"/>
        </w:rPr>
        <w:t xml:space="preserve">further </w:t>
      </w:r>
      <w:r w:rsidR="008328A0">
        <w:rPr>
          <w:rFonts w:ascii="Aptos" w:eastAsia="Times New Roman" w:hAnsi="Aptos" w:cs="Times New Roman"/>
          <w:szCs w:val="24"/>
          <w:lang w:eastAsia="en-AU"/>
        </w:rPr>
        <w:t>th</w:t>
      </w:r>
      <w:r w:rsidR="00655EFD">
        <w:rPr>
          <w:rFonts w:ascii="Aptos" w:eastAsia="Times New Roman" w:hAnsi="Aptos" w:cs="Times New Roman"/>
          <w:szCs w:val="24"/>
          <w:lang w:eastAsia="en-AU"/>
        </w:rPr>
        <w:t xml:space="preserve">reatening the </w:t>
      </w:r>
      <w:r w:rsidR="008328A0">
        <w:rPr>
          <w:rFonts w:ascii="Aptos" w:eastAsia="Times New Roman" w:hAnsi="Aptos" w:cs="Times New Roman"/>
          <w:szCs w:val="24"/>
          <w:lang w:eastAsia="en-AU"/>
        </w:rPr>
        <w:t xml:space="preserve">teaching and research employment model. </w:t>
      </w:r>
      <w:r w:rsidR="00780C03">
        <w:rPr>
          <w:rFonts w:ascii="Aptos" w:eastAsia="Times New Roman" w:hAnsi="Aptos" w:cs="Times New Roman"/>
          <w:szCs w:val="24"/>
          <w:lang w:eastAsia="en-AU"/>
        </w:rPr>
        <w:t xml:space="preserve">With poor timing, the higher education Threshold Standards were revised in the same year to require </w:t>
      </w:r>
      <w:r w:rsidR="00655EFD">
        <w:rPr>
          <w:rFonts w:ascii="Aptos" w:eastAsia="Times New Roman" w:hAnsi="Aptos" w:cs="Times New Roman"/>
          <w:szCs w:val="24"/>
          <w:lang w:eastAsia="en-AU"/>
        </w:rPr>
        <w:t>universities to conduct more research in areas they teach</w:t>
      </w:r>
      <w:r w:rsidR="00780C03">
        <w:rPr>
          <w:rFonts w:ascii="Aptos" w:eastAsia="Times New Roman" w:hAnsi="Aptos" w:cs="Times New Roman"/>
          <w:szCs w:val="24"/>
          <w:lang w:eastAsia="en-AU"/>
        </w:rPr>
        <w:t>.</w:t>
      </w:r>
      <w:r w:rsidR="00655EFD">
        <w:rPr>
          <w:rFonts w:ascii="Aptos" w:eastAsia="Times New Roman" w:hAnsi="Aptos" w:cs="Times New Roman"/>
          <w:szCs w:val="24"/>
          <w:lang w:eastAsia="en-AU"/>
        </w:rPr>
        <w:t xml:space="preserve"> Regulation and funding are </w:t>
      </w:r>
      <w:r w:rsidR="001666BE">
        <w:rPr>
          <w:rFonts w:ascii="Aptos" w:eastAsia="Times New Roman" w:hAnsi="Aptos" w:cs="Times New Roman"/>
          <w:szCs w:val="24"/>
          <w:lang w:eastAsia="en-AU"/>
        </w:rPr>
        <w:t xml:space="preserve">currently </w:t>
      </w:r>
      <w:r w:rsidR="00655EFD">
        <w:rPr>
          <w:rFonts w:ascii="Aptos" w:eastAsia="Times New Roman" w:hAnsi="Aptos" w:cs="Times New Roman"/>
          <w:szCs w:val="24"/>
          <w:lang w:eastAsia="en-AU"/>
        </w:rPr>
        <w:t xml:space="preserve">pulling in opposite directions. </w:t>
      </w:r>
    </w:p>
    <w:p w14:paraId="75975F99" w14:textId="75BB226F" w:rsidR="008328A0" w:rsidRDefault="008328A0" w:rsidP="008328A0">
      <w:pPr>
        <w:pStyle w:val="Caption"/>
        <w:keepNext/>
      </w:pPr>
      <w:bookmarkStart w:id="73" w:name="_Ref216189974"/>
      <w:r>
        <w:lastRenderedPageBreak/>
        <w:t xml:space="preserve">Figure </w:t>
      </w:r>
      <w:r w:rsidR="00AC6BC4">
        <w:fldChar w:fldCharType="begin"/>
      </w:r>
      <w:r w:rsidR="00AC6BC4">
        <w:instrText xml:space="preserve"> SEQ Figure \* ARABIC </w:instrText>
      </w:r>
      <w:r w:rsidR="00AC6BC4">
        <w:fldChar w:fldCharType="separate"/>
      </w:r>
      <w:r w:rsidR="0055214B">
        <w:rPr>
          <w:noProof/>
        </w:rPr>
        <w:t>1</w:t>
      </w:r>
      <w:r w:rsidR="00AC6BC4">
        <w:fldChar w:fldCharType="end"/>
      </w:r>
      <w:bookmarkEnd w:id="73"/>
      <w:r>
        <w:t>: Academic staff by teaching and research functions</w:t>
      </w:r>
    </w:p>
    <w:p w14:paraId="13360CD8" w14:textId="25CA58E6" w:rsidR="00D25F49" w:rsidRDefault="00D25F49"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noProof/>
          <w:szCs w:val="24"/>
          <w:lang w:eastAsia="en-AU"/>
        </w:rPr>
        <w:drawing>
          <wp:inline distT="0" distB="0" distL="0" distR="0" wp14:anchorId="5EC141C0" wp14:editId="40EADD48">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434BD6BC" w14:textId="79015086" w:rsidR="00192F82" w:rsidRPr="000864B1" w:rsidRDefault="00D25F49" w:rsidP="0056793B">
      <w:pPr>
        <w:shd w:val="clear" w:color="auto" w:fill="FFFFFF"/>
        <w:spacing w:after="384"/>
        <w:ind w:right="0"/>
        <w:contextualSpacing/>
        <w:textAlignment w:val="baseline"/>
        <w:rPr>
          <w:rFonts w:ascii="Aptos" w:eastAsia="Times New Roman" w:hAnsi="Aptos" w:cs="Times New Roman"/>
          <w:sz w:val="22"/>
          <w:lang w:eastAsia="en-AU"/>
        </w:rPr>
      </w:pPr>
      <w:r w:rsidRPr="000864B1">
        <w:rPr>
          <w:rFonts w:ascii="Aptos" w:eastAsia="Times New Roman" w:hAnsi="Aptos" w:cs="Times New Roman"/>
          <w:sz w:val="22"/>
          <w:lang w:eastAsia="en-AU"/>
        </w:rPr>
        <w:t>Source: Department of Education, Staff: Selected higher education statistics</w:t>
      </w:r>
    </w:p>
    <w:p w14:paraId="427B29FA" w14:textId="1F7EB252" w:rsidR="008328A0" w:rsidRPr="000864B1" w:rsidRDefault="008328A0" w:rsidP="0056793B">
      <w:pPr>
        <w:shd w:val="clear" w:color="auto" w:fill="FFFFFF"/>
        <w:spacing w:after="384"/>
        <w:ind w:right="0"/>
        <w:contextualSpacing/>
        <w:textAlignment w:val="baseline"/>
        <w:rPr>
          <w:rFonts w:ascii="Aptos" w:eastAsia="Times New Roman" w:hAnsi="Aptos" w:cs="Times New Roman"/>
          <w:sz w:val="22"/>
          <w:lang w:eastAsia="en-AU"/>
        </w:rPr>
      </w:pPr>
      <w:r w:rsidRPr="000864B1">
        <w:rPr>
          <w:rFonts w:ascii="Aptos" w:eastAsia="Times New Roman" w:hAnsi="Aptos" w:cs="Times New Roman"/>
          <w:sz w:val="22"/>
          <w:lang w:eastAsia="en-AU"/>
        </w:rPr>
        <w:t>Note: Academics with continuing or fixed term contracts, headcount measure</w:t>
      </w:r>
      <w:r w:rsidR="000864B1">
        <w:rPr>
          <w:rFonts w:ascii="Aptos" w:eastAsia="Times New Roman" w:hAnsi="Aptos" w:cs="Times New Roman"/>
          <w:sz w:val="22"/>
          <w:lang w:eastAsia="en-AU"/>
        </w:rPr>
        <w:t xml:space="preserve">. </w:t>
      </w:r>
    </w:p>
    <w:p w14:paraId="469A6E47" w14:textId="77777777" w:rsidR="00911B5D" w:rsidRDefault="00192F82"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 </w:t>
      </w:r>
    </w:p>
    <w:p w14:paraId="4358CAC8" w14:textId="1FCD57A8" w:rsidR="005829C5" w:rsidRDefault="005829C5" w:rsidP="0056793B">
      <w:pPr>
        <w:shd w:val="clear" w:color="auto" w:fill="FFFFFF"/>
        <w:spacing w:after="384"/>
        <w:ind w:right="0"/>
        <w:textAlignment w:val="baseline"/>
        <w:rPr>
          <w:rFonts w:ascii="Aptos" w:eastAsia="Times New Roman" w:hAnsi="Aptos" w:cs="Times New Roman"/>
          <w:szCs w:val="24"/>
          <w:lang w:eastAsia="en-AU"/>
        </w:rPr>
      </w:pPr>
      <w:r>
        <w:rPr>
          <w:rFonts w:ascii="Aptos" w:eastAsia="Times New Roman" w:hAnsi="Aptos" w:cs="Times New Roman"/>
          <w:szCs w:val="24"/>
          <w:lang w:eastAsia="en-AU"/>
        </w:rPr>
        <w:t xml:space="preserve">Another major issue in research funding is the deliberate partial funding of ARC and NHMRC grants, requiring universities to make up the difference from other revenue sources. The Research Support Program </w:t>
      </w:r>
      <w:r w:rsidR="009C5963">
        <w:rPr>
          <w:rFonts w:ascii="Aptos" w:eastAsia="Times New Roman" w:hAnsi="Aptos" w:cs="Times New Roman"/>
          <w:szCs w:val="24"/>
          <w:lang w:eastAsia="en-AU"/>
        </w:rPr>
        <w:t>does not fully cover</w:t>
      </w:r>
      <w:r>
        <w:rPr>
          <w:rFonts w:ascii="Aptos" w:eastAsia="Times New Roman" w:hAnsi="Aptos" w:cs="Times New Roman"/>
          <w:szCs w:val="24"/>
          <w:lang w:eastAsia="en-AU"/>
        </w:rPr>
        <w:t xml:space="preserve"> these costs. The </w:t>
      </w:r>
      <w:r w:rsidRPr="00911B5D">
        <w:rPr>
          <w:rFonts w:ascii="Aptos" w:eastAsia="Times New Roman" w:hAnsi="Aptos" w:cs="Times New Roman"/>
          <w:i/>
          <w:iCs/>
          <w:szCs w:val="24"/>
          <w:lang w:eastAsia="en-AU"/>
        </w:rPr>
        <w:t xml:space="preserve">Universities Accord Final Report </w:t>
      </w:r>
      <w:r>
        <w:rPr>
          <w:rFonts w:ascii="Aptos" w:eastAsia="Times New Roman" w:hAnsi="Aptos" w:cs="Times New Roman"/>
          <w:szCs w:val="24"/>
          <w:lang w:eastAsia="en-AU"/>
        </w:rPr>
        <w:t xml:space="preserve">was the latest in a series of reports recommending that that this problem be fixed </w:t>
      </w:r>
      <w:sdt>
        <w:sdtPr>
          <w:rPr>
            <w:rFonts w:ascii="Aptos" w:eastAsia="Times New Roman" w:hAnsi="Aptos" w:cs="Times New Roman"/>
            <w:color w:val="000000"/>
            <w:szCs w:val="24"/>
            <w:lang w:eastAsia="en-AU"/>
          </w:rPr>
          <w:tag w:val="MENDELEY_CITATION_v3_eyJjaXRhdGlvbklEIjoiTUVOREVMRVlfQ0lUQVRJT05fMDVhMGYyNzQtMDgyMC00MTI1LWIwZDEtMmE2YjA0ODA5ZjYwIiwicHJvcGVydGllcyI6eyJub3RlSW5kZXgiOjB9LCJpc0VkaXRlZCI6ZmFsc2UsIm1hbnVhbE92ZXJyaWRlIjp7ImlzTWFudWFsbHlPdmVycmlkZGVuIjpmYWxzZSwiY2l0ZXByb2NUZXh0IjoiKEF1c3RyYWxpYW4gR292ZXJubWVudCwgMjAyNCwgcC4gMzE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zEifV19"/>
          <w:id w:val="-1647571371"/>
          <w:placeholder>
            <w:docPart w:val="DefaultPlaceholder_-1854013440"/>
          </w:placeholder>
        </w:sdtPr>
        <w:sdtContent>
          <w:r w:rsidR="00094A58" w:rsidRPr="00094A58">
            <w:rPr>
              <w:rFonts w:ascii="Aptos" w:eastAsia="Times New Roman" w:hAnsi="Aptos" w:cs="Times New Roman"/>
              <w:color w:val="000000"/>
              <w:szCs w:val="24"/>
              <w:lang w:eastAsia="en-AU"/>
            </w:rPr>
            <w:t>(Australian Government, 2024, p. 31)</w:t>
          </w:r>
        </w:sdtContent>
      </w:sdt>
      <w:r>
        <w:rPr>
          <w:rFonts w:ascii="Aptos" w:eastAsia="Times New Roman" w:hAnsi="Aptos" w:cs="Times New Roman"/>
          <w:szCs w:val="24"/>
          <w:lang w:eastAsia="en-AU"/>
        </w:rPr>
        <w:t xml:space="preserve">. </w:t>
      </w:r>
    </w:p>
    <w:p w14:paraId="4DFDF72A" w14:textId="1B6FF950" w:rsidR="00167543" w:rsidRDefault="00167543" w:rsidP="00167543">
      <w:pPr>
        <w:pStyle w:val="NormalWeb"/>
        <w:shd w:val="clear" w:color="auto" w:fill="FFFFFF"/>
        <w:spacing w:before="0" w:beforeAutospacing="0" w:after="384" w:afterAutospacing="0"/>
        <w:textAlignment w:val="baseline"/>
        <w:rPr>
          <w:rFonts w:ascii="Aptos" w:hAnsi="Aptos"/>
        </w:rPr>
      </w:pPr>
      <w:r>
        <w:rPr>
          <w:rFonts w:ascii="Aptos" w:hAnsi="Aptos"/>
        </w:rPr>
        <w:t xml:space="preserve">The recommendations in </w:t>
      </w:r>
      <w:r w:rsidR="004911A3">
        <w:rPr>
          <w:rFonts w:ascii="Aptos" w:hAnsi="Aptos"/>
        </w:rPr>
        <w:t xml:space="preserve">chapter </w:t>
      </w:r>
      <w:r>
        <w:rPr>
          <w:rFonts w:ascii="Aptos" w:hAnsi="Aptos"/>
        </w:rPr>
        <w:fldChar w:fldCharType="begin"/>
      </w:r>
      <w:r>
        <w:rPr>
          <w:rFonts w:ascii="Aptos" w:hAnsi="Aptos"/>
        </w:rPr>
        <w:instrText xml:space="preserve"> REF _Ref216188711 \r \h </w:instrText>
      </w:r>
      <w:r>
        <w:rPr>
          <w:rFonts w:ascii="Aptos" w:hAnsi="Aptos"/>
        </w:rPr>
      </w:r>
      <w:r>
        <w:rPr>
          <w:rFonts w:ascii="Aptos" w:hAnsi="Aptos"/>
        </w:rPr>
        <w:fldChar w:fldCharType="separate"/>
      </w:r>
      <w:r w:rsidR="0055214B">
        <w:rPr>
          <w:rFonts w:ascii="Aptos" w:hAnsi="Aptos"/>
        </w:rPr>
        <w:t>2</w:t>
      </w:r>
      <w:r>
        <w:rPr>
          <w:rFonts w:ascii="Aptos" w:hAnsi="Aptos"/>
        </w:rPr>
        <w:fldChar w:fldCharType="end"/>
      </w:r>
      <w:r>
        <w:rPr>
          <w:rFonts w:ascii="Aptos" w:hAnsi="Aptos"/>
        </w:rPr>
        <w:t xml:space="preserve"> of this submission remain relevant he</w:t>
      </w:r>
      <w:r w:rsidR="000864B1">
        <w:rPr>
          <w:rFonts w:ascii="Aptos" w:hAnsi="Aptos"/>
        </w:rPr>
        <w:t>re</w:t>
      </w:r>
      <w:r>
        <w:rPr>
          <w:rFonts w:ascii="Aptos" w:hAnsi="Aptos"/>
        </w:rPr>
        <w:t xml:space="preserve">: </w:t>
      </w:r>
    </w:p>
    <w:p w14:paraId="22FFEBF0" w14:textId="77777777" w:rsidR="00167543" w:rsidRDefault="00167543" w:rsidP="00167543">
      <w:pPr>
        <w:pStyle w:val="NormalWeb"/>
        <w:shd w:val="clear" w:color="auto" w:fill="FFFFFF"/>
        <w:spacing w:before="0" w:beforeAutospacing="0"/>
        <w:textAlignment w:val="baseline"/>
        <w:rPr>
          <w:rFonts w:ascii="Aptos" w:hAnsi="Aptos"/>
        </w:rPr>
      </w:pPr>
      <w:r>
        <w:rPr>
          <w:rFonts w:ascii="Aptos" w:hAnsi="Aptos"/>
        </w:rPr>
        <w:t>Add section 11(d)(iv): The funding of research and research training</w:t>
      </w:r>
    </w:p>
    <w:p w14:paraId="58243E06" w14:textId="210C1D9E" w:rsidR="00BB4DD5" w:rsidRDefault="00167543" w:rsidP="0081362A">
      <w:pPr>
        <w:pStyle w:val="NormalWeb"/>
        <w:shd w:val="clear" w:color="auto" w:fill="FFFFFF"/>
        <w:spacing w:before="0" w:beforeAutospacing="0"/>
        <w:textAlignment w:val="baseline"/>
        <w:rPr>
          <w:rFonts w:ascii="Aptos" w:hAnsi="Aptos"/>
        </w:rPr>
      </w:pPr>
      <w:r>
        <w:rPr>
          <w:rFonts w:ascii="Aptos" w:hAnsi="Aptos"/>
        </w:rPr>
        <w:t>Add to section 41(1): The indirect costs of research grants, research training costs including stipends, and trends in research output and topics.</w:t>
      </w:r>
    </w:p>
    <w:p w14:paraId="68D8F7CF" w14:textId="77777777" w:rsidR="00BB4DD5" w:rsidRDefault="00BB4DD5">
      <w:pPr>
        <w:rPr>
          <w:rFonts w:ascii="Aptos" w:eastAsia="Times New Roman" w:hAnsi="Aptos" w:cs="Times New Roman"/>
          <w:szCs w:val="24"/>
          <w:lang w:eastAsia="en-AU"/>
        </w:rPr>
      </w:pPr>
      <w:r>
        <w:rPr>
          <w:rFonts w:ascii="Aptos" w:hAnsi="Aptos"/>
        </w:rPr>
        <w:br w:type="page"/>
      </w:r>
    </w:p>
    <w:p w14:paraId="31786E69" w14:textId="72646E86" w:rsidR="0081362A" w:rsidRPr="00226637" w:rsidRDefault="0081362A" w:rsidP="0081362A">
      <w:pPr>
        <w:pStyle w:val="Heading1"/>
        <w:numPr>
          <w:ilvl w:val="0"/>
          <w:numId w:val="7"/>
        </w:numPr>
        <w:ind w:left="357" w:hanging="357"/>
        <w:rPr>
          <w:rFonts w:ascii="Aptos" w:hAnsi="Aptos" w:cstheme="minorHAnsi"/>
          <w:sz w:val="32"/>
          <w:szCs w:val="32"/>
        </w:rPr>
      </w:pPr>
      <w:bookmarkStart w:id="74" w:name="_Ref217042283"/>
      <w:bookmarkStart w:id="75" w:name="_Toc219380935"/>
      <w:r>
        <w:rPr>
          <w:rFonts w:ascii="Aptos" w:hAnsi="Aptos" w:cstheme="minorHAnsi"/>
          <w:color w:val="4F81BD" w:themeColor="accent1"/>
          <w:sz w:val="32"/>
          <w:szCs w:val="32"/>
        </w:rPr>
        <w:lastRenderedPageBreak/>
        <w:t xml:space="preserve">ATEC </w:t>
      </w:r>
      <w:r w:rsidR="00911B5D">
        <w:rPr>
          <w:rFonts w:ascii="Aptos" w:hAnsi="Aptos" w:cstheme="minorHAnsi"/>
          <w:color w:val="4F81BD" w:themeColor="accent1"/>
          <w:sz w:val="32"/>
          <w:szCs w:val="32"/>
        </w:rPr>
        <w:t>c</w:t>
      </w:r>
      <w:r>
        <w:rPr>
          <w:rFonts w:ascii="Aptos" w:hAnsi="Aptos" w:cstheme="minorHAnsi"/>
          <w:color w:val="4F81BD" w:themeColor="accent1"/>
          <w:sz w:val="32"/>
          <w:szCs w:val="32"/>
        </w:rPr>
        <w:t>ommissioners</w:t>
      </w:r>
      <w:bookmarkEnd w:id="74"/>
      <w:bookmarkEnd w:id="75"/>
      <w:r>
        <w:rPr>
          <w:rFonts w:ascii="Aptos" w:hAnsi="Aptos" w:cstheme="minorHAnsi"/>
          <w:color w:val="4F81BD" w:themeColor="accent1"/>
          <w:sz w:val="32"/>
          <w:szCs w:val="32"/>
        </w:rPr>
        <w:t xml:space="preserve"> </w:t>
      </w:r>
    </w:p>
    <w:p w14:paraId="6638F0BD" w14:textId="59BD1DC7" w:rsidR="0081362A" w:rsidRDefault="0081362A" w:rsidP="0081362A">
      <w:pPr>
        <w:pStyle w:val="BodyText"/>
      </w:pPr>
    </w:p>
    <w:p w14:paraId="44CF0000" w14:textId="1F2462A5" w:rsidR="00C85663" w:rsidRDefault="0081362A" w:rsidP="0081362A">
      <w:pPr>
        <w:pStyle w:val="BodyText"/>
        <w:rPr>
          <w:rFonts w:ascii="Aptos" w:hAnsi="Aptos" w:cstheme="minorHAnsi"/>
          <w:color w:val="242424"/>
          <w:szCs w:val="24"/>
        </w:rPr>
      </w:pPr>
      <w:r>
        <w:t xml:space="preserve">Under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ATEC will have three commissioners: a full-time Chief Commissioner, a full-time First Nations Commissioner, and a part-time Commissioner: </w:t>
      </w:r>
      <w:r w:rsidR="00C85663">
        <w:rPr>
          <w:rFonts w:ascii="Aptos" w:hAnsi="Aptos" w:cstheme="minorHAnsi"/>
          <w:color w:val="242424"/>
          <w:szCs w:val="24"/>
        </w:rPr>
        <w:t xml:space="preserve">sections </w:t>
      </w:r>
      <w:r w:rsidR="004556C3">
        <w:rPr>
          <w:rFonts w:ascii="Aptos" w:hAnsi="Aptos" w:cstheme="minorHAnsi"/>
          <w:color w:val="242424"/>
          <w:szCs w:val="24"/>
        </w:rPr>
        <w:t xml:space="preserve">16-21, </w:t>
      </w:r>
      <w:r w:rsidR="00C85663">
        <w:rPr>
          <w:rFonts w:ascii="Aptos" w:hAnsi="Aptos" w:cstheme="minorHAnsi"/>
          <w:color w:val="242424"/>
          <w:szCs w:val="24"/>
        </w:rPr>
        <w:t xml:space="preserve">56-58. </w:t>
      </w:r>
    </w:p>
    <w:p w14:paraId="5C488575" w14:textId="77777777" w:rsidR="00A15831" w:rsidRDefault="00A15831" w:rsidP="0081362A">
      <w:pPr>
        <w:pStyle w:val="BodyText"/>
        <w:rPr>
          <w:rFonts w:ascii="Aptos" w:hAnsi="Aptos" w:cstheme="minorHAnsi"/>
          <w:color w:val="242424"/>
          <w:szCs w:val="24"/>
        </w:rPr>
      </w:pPr>
    </w:p>
    <w:p w14:paraId="312A6725" w14:textId="115CFBEC" w:rsidR="00A15831" w:rsidRDefault="00A15831" w:rsidP="0081362A">
      <w:pPr>
        <w:pStyle w:val="BodyText"/>
        <w:rPr>
          <w:rFonts w:ascii="Aptos" w:hAnsi="Aptos" w:cstheme="minorHAnsi"/>
          <w:color w:val="242424"/>
          <w:szCs w:val="24"/>
        </w:rPr>
      </w:pPr>
      <w:r>
        <w:rPr>
          <w:rFonts w:ascii="Aptos" w:hAnsi="Aptos" w:cstheme="minorHAnsi"/>
          <w:color w:val="242424"/>
          <w:szCs w:val="24"/>
        </w:rPr>
        <w:t xml:space="preserve">The commissioners together are the ATEC: section 9. </w:t>
      </w:r>
    </w:p>
    <w:p w14:paraId="5AA8D7EA" w14:textId="1A701489" w:rsidR="00C7352B" w:rsidRDefault="00C7352B" w:rsidP="0081362A">
      <w:pPr>
        <w:pStyle w:val="BodyText"/>
        <w:rPr>
          <w:rFonts w:ascii="Aptos" w:hAnsi="Aptos" w:cstheme="minorHAnsi"/>
          <w:color w:val="242424"/>
          <w:szCs w:val="24"/>
        </w:rPr>
      </w:pPr>
    </w:p>
    <w:p w14:paraId="5D5D61D2" w14:textId="439DA2EF" w:rsidR="00B7229B" w:rsidRDefault="00B7229B" w:rsidP="00B7229B">
      <w:pPr>
        <w:pStyle w:val="Heading2"/>
      </w:pPr>
      <w:bookmarkStart w:id="76" w:name="_Toc219380936"/>
      <w:r>
        <w:t>Expertise, skills and standing of ATEC commissioners</w:t>
      </w:r>
      <w:bookmarkEnd w:id="76"/>
      <w:r>
        <w:t xml:space="preserve"> </w:t>
      </w:r>
    </w:p>
    <w:p w14:paraId="5E8084A0" w14:textId="02B704C1" w:rsidR="005205D4" w:rsidRDefault="009C5963" w:rsidP="005205D4">
      <w:pPr>
        <w:pStyle w:val="BodyText"/>
        <w:rPr>
          <w:rFonts w:ascii="Aptos" w:hAnsi="Aptos" w:cstheme="minorHAnsi"/>
          <w:color w:val="242424"/>
          <w:szCs w:val="24"/>
        </w:rPr>
      </w:pPr>
      <w:r>
        <w:rPr>
          <w:rFonts w:ascii="Aptos" w:hAnsi="Aptos" w:cstheme="minorHAnsi"/>
          <w:color w:val="242424"/>
          <w:szCs w:val="24"/>
        </w:rPr>
        <w:t>Sections 56 to 59</w:t>
      </w:r>
      <w:r w:rsidR="005205D4">
        <w:rPr>
          <w:rFonts w:ascii="Aptos" w:hAnsi="Aptos" w:cstheme="minorHAnsi"/>
          <w:color w:val="242424"/>
          <w:szCs w:val="24"/>
        </w:rPr>
        <w:t xml:space="preserve"> set out the qualifications for being a commissioner. </w:t>
      </w:r>
      <w:r w:rsidR="00B12333">
        <w:rPr>
          <w:rFonts w:ascii="Aptos" w:hAnsi="Aptos" w:cstheme="minorHAnsi"/>
          <w:color w:val="242424"/>
          <w:szCs w:val="24"/>
        </w:rPr>
        <w:t>All three commissioner roles have a general requirement for appropriate skills, knowledge and experience a</w:t>
      </w:r>
      <w:r w:rsidR="0099396F">
        <w:rPr>
          <w:rFonts w:ascii="Aptos" w:hAnsi="Aptos" w:cstheme="minorHAnsi"/>
          <w:color w:val="242424"/>
          <w:szCs w:val="24"/>
        </w:rPr>
        <w:t xml:space="preserve">nd standing, which </w:t>
      </w:r>
      <w:r w:rsidR="00864367">
        <w:rPr>
          <w:rFonts w:ascii="Aptos" w:hAnsi="Aptos" w:cstheme="minorHAnsi"/>
          <w:color w:val="242424"/>
          <w:szCs w:val="24"/>
        </w:rPr>
        <w:t>will</w:t>
      </w:r>
      <w:r w:rsidR="0099396F">
        <w:rPr>
          <w:rFonts w:ascii="Aptos" w:hAnsi="Aptos" w:cstheme="minorHAnsi"/>
          <w:color w:val="242424"/>
          <w:szCs w:val="24"/>
        </w:rPr>
        <w:t xml:space="preserve"> reflect the previous qualities.</w:t>
      </w:r>
      <w:r w:rsidR="00B12333">
        <w:rPr>
          <w:rFonts w:ascii="Aptos" w:hAnsi="Aptos" w:cstheme="minorHAnsi"/>
          <w:color w:val="242424"/>
          <w:szCs w:val="24"/>
        </w:rPr>
        <w:t xml:space="preserve"> </w:t>
      </w:r>
      <w:r w:rsidR="00F32E05">
        <w:rPr>
          <w:rFonts w:ascii="Aptos" w:hAnsi="Aptos" w:cstheme="minorHAnsi"/>
          <w:color w:val="242424"/>
          <w:szCs w:val="24"/>
        </w:rPr>
        <w:t>Section 59</w:t>
      </w:r>
      <w:r w:rsidR="00B12333">
        <w:rPr>
          <w:rFonts w:ascii="Aptos" w:hAnsi="Aptos" w:cstheme="minorHAnsi"/>
          <w:color w:val="242424"/>
          <w:szCs w:val="24"/>
        </w:rPr>
        <w:t xml:space="preserve"> sets out specific </w:t>
      </w:r>
      <w:r w:rsidR="00857DFC">
        <w:rPr>
          <w:rFonts w:ascii="Aptos" w:hAnsi="Aptos" w:cstheme="minorHAnsi"/>
          <w:color w:val="242424"/>
          <w:szCs w:val="24"/>
        </w:rPr>
        <w:t xml:space="preserve">required </w:t>
      </w:r>
      <w:r w:rsidR="00B12333">
        <w:rPr>
          <w:rFonts w:ascii="Aptos" w:hAnsi="Aptos" w:cstheme="minorHAnsi"/>
          <w:color w:val="242424"/>
          <w:szCs w:val="24"/>
        </w:rPr>
        <w:t>domains of knowledge and experience.</w:t>
      </w:r>
      <w:r w:rsidR="0099396F">
        <w:rPr>
          <w:rFonts w:ascii="Aptos" w:hAnsi="Aptos" w:cstheme="minorHAnsi"/>
          <w:color w:val="242424"/>
          <w:szCs w:val="24"/>
        </w:rPr>
        <w:t xml:space="preserve"> </w:t>
      </w:r>
      <w:r w:rsidR="0099396F">
        <w:rPr>
          <w:rFonts w:ascii="Aptos" w:hAnsi="Aptos" w:cstheme="minorHAnsi"/>
          <w:color w:val="242424"/>
          <w:szCs w:val="24"/>
        </w:rPr>
        <w:fldChar w:fldCharType="begin"/>
      </w:r>
      <w:r w:rsidR="0099396F">
        <w:rPr>
          <w:rFonts w:ascii="Aptos" w:hAnsi="Aptos" w:cstheme="minorHAnsi"/>
          <w:color w:val="242424"/>
          <w:szCs w:val="24"/>
        </w:rPr>
        <w:instrText xml:space="preserve"> REF _Ref216885503 \h </w:instrText>
      </w:r>
      <w:r w:rsidR="0099396F">
        <w:rPr>
          <w:rFonts w:ascii="Aptos" w:hAnsi="Aptos" w:cstheme="minorHAnsi"/>
          <w:color w:val="242424"/>
          <w:szCs w:val="24"/>
        </w:rPr>
      </w:r>
      <w:r w:rsidR="0099396F">
        <w:rPr>
          <w:rFonts w:ascii="Aptos" w:hAnsi="Aptos" w:cstheme="minorHAnsi"/>
          <w:color w:val="242424"/>
          <w:szCs w:val="24"/>
        </w:rPr>
        <w:fldChar w:fldCharType="separate"/>
      </w:r>
      <w:r w:rsidR="0055214B">
        <w:t xml:space="preserve">Table </w:t>
      </w:r>
      <w:r w:rsidR="0055214B">
        <w:rPr>
          <w:noProof/>
        </w:rPr>
        <w:t>3</w:t>
      </w:r>
      <w:r w:rsidR="0099396F">
        <w:rPr>
          <w:rFonts w:ascii="Aptos" w:hAnsi="Aptos" w:cstheme="minorHAnsi"/>
          <w:color w:val="242424"/>
          <w:szCs w:val="24"/>
        </w:rPr>
        <w:fldChar w:fldCharType="end"/>
      </w:r>
      <w:r w:rsidR="0099396F">
        <w:rPr>
          <w:rFonts w:ascii="Aptos" w:hAnsi="Aptos" w:cstheme="minorHAnsi"/>
          <w:color w:val="242424"/>
          <w:szCs w:val="24"/>
        </w:rPr>
        <w:t xml:space="preserve"> </w:t>
      </w:r>
      <w:r w:rsidR="00B7229B">
        <w:rPr>
          <w:rFonts w:ascii="Aptos" w:hAnsi="Aptos" w:cstheme="minorHAnsi"/>
          <w:color w:val="242424"/>
          <w:szCs w:val="24"/>
        </w:rPr>
        <w:t xml:space="preserve">on the next page </w:t>
      </w:r>
      <w:r w:rsidR="0099396F">
        <w:rPr>
          <w:rFonts w:ascii="Aptos" w:hAnsi="Aptos" w:cstheme="minorHAnsi"/>
          <w:color w:val="242424"/>
          <w:szCs w:val="24"/>
        </w:rPr>
        <w:t>maps these against the responsibilities of ATEC, as indicated across section 3 (Objects), section 11 (Functions) and section 41 (Advice and recommendations).</w:t>
      </w:r>
      <w:r w:rsidR="002878BD">
        <w:rPr>
          <w:rFonts w:ascii="Aptos" w:hAnsi="Aptos" w:cstheme="minorHAnsi"/>
          <w:color w:val="242424"/>
          <w:szCs w:val="24"/>
        </w:rPr>
        <w:t xml:space="preserve"> </w:t>
      </w:r>
    </w:p>
    <w:p w14:paraId="6645F8CE" w14:textId="77777777" w:rsidR="00B7229B" w:rsidRDefault="00B7229B" w:rsidP="005205D4">
      <w:pPr>
        <w:pStyle w:val="BodyText"/>
        <w:rPr>
          <w:rFonts w:ascii="Aptos" w:hAnsi="Aptos" w:cstheme="minorHAnsi"/>
          <w:color w:val="242424"/>
          <w:szCs w:val="24"/>
        </w:rPr>
      </w:pPr>
    </w:p>
    <w:p w14:paraId="5FCE3442" w14:textId="2D98F626" w:rsidR="00B7229B" w:rsidRDefault="0021065D" w:rsidP="00525BB1">
      <w:pPr>
        <w:pStyle w:val="BodyText"/>
        <w:rPr>
          <w:rFonts w:ascii="Aptos" w:hAnsi="Aptos" w:cstheme="minorHAnsi"/>
          <w:color w:val="242424"/>
          <w:szCs w:val="24"/>
        </w:rPr>
      </w:pPr>
      <w:r>
        <w:rPr>
          <w:rFonts w:ascii="Aptos" w:hAnsi="Aptos" w:cstheme="minorHAnsi"/>
          <w:color w:val="242424"/>
          <w:szCs w:val="24"/>
        </w:rPr>
        <w:t>In practice, a person who satisfies the selection requirement of knowledge and experience in ‘higher education’ will likely have that</w:t>
      </w:r>
      <w:r w:rsidR="001666BE">
        <w:rPr>
          <w:rFonts w:ascii="Aptos" w:hAnsi="Aptos" w:cstheme="minorHAnsi"/>
          <w:color w:val="242424"/>
          <w:szCs w:val="24"/>
        </w:rPr>
        <w:t xml:space="preserve"> knowledge and experience</w:t>
      </w:r>
      <w:r>
        <w:rPr>
          <w:rFonts w:ascii="Aptos" w:hAnsi="Aptos" w:cstheme="minorHAnsi"/>
          <w:color w:val="242424"/>
          <w:szCs w:val="24"/>
        </w:rPr>
        <w:t xml:space="preserve"> in several sub-domains listed in </w:t>
      </w:r>
      <w:r>
        <w:rPr>
          <w:rFonts w:ascii="Aptos" w:hAnsi="Aptos" w:cstheme="minorHAnsi"/>
          <w:color w:val="242424"/>
          <w:szCs w:val="24"/>
        </w:rPr>
        <w:fldChar w:fldCharType="begin"/>
      </w:r>
      <w:r>
        <w:rPr>
          <w:rFonts w:ascii="Aptos" w:hAnsi="Aptos" w:cstheme="minorHAnsi"/>
          <w:color w:val="242424"/>
          <w:szCs w:val="24"/>
        </w:rPr>
        <w:instrText xml:space="preserve"> REF _Ref216885503 \h </w:instrText>
      </w:r>
      <w:r>
        <w:rPr>
          <w:rFonts w:ascii="Aptos" w:hAnsi="Aptos" w:cstheme="minorHAnsi"/>
          <w:color w:val="242424"/>
          <w:szCs w:val="24"/>
        </w:rPr>
      </w:r>
      <w:r>
        <w:rPr>
          <w:rFonts w:ascii="Aptos" w:hAnsi="Aptos" w:cstheme="minorHAnsi"/>
          <w:color w:val="242424"/>
          <w:szCs w:val="24"/>
        </w:rPr>
        <w:fldChar w:fldCharType="separate"/>
      </w:r>
      <w:r w:rsidR="0055214B">
        <w:t xml:space="preserve">Table </w:t>
      </w:r>
      <w:r w:rsidR="0055214B">
        <w:rPr>
          <w:noProof/>
        </w:rPr>
        <w:t>3</w:t>
      </w:r>
      <w:r>
        <w:rPr>
          <w:rFonts w:ascii="Aptos" w:hAnsi="Aptos" w:cstheme="minorHAnsi"/>
          <w:color w:val="242424"/>
          <w:szCs w:val="24"/>
        </w:rPr>
        <w:fldChar w:fldCharType="end"/>
      </w:r>
      <w:r>
        <w:rPr>
          <w:rFonts w:ascii="Aptos" w:hAnsi="Aptos" w:cstheme="minorHAnsi"/>
          <w:color w:val="242424"/>
          <w:szCs w:val="24"/>
        </w:rPr>
        <w:t>.</w:t>
      </w:r>
      <w:r w:rsidR="002878BD">
        <w:rPr>
          <w:rFonts w:ascii="Aptos" w:hAnsi="Aptos" w:cstheme="minorHAnsi"/>
          <w:color w:val="242424"/>
          <w:szCs w:val="24"/>
        </w:rPr>
        <w:t xml:space="preserve"> </w:t>
      </w:r>
      <w:r>
        <w:rPr>
          <w:rFonts w:ascii="Aptos" w:hAnsi="Aptos" w:cstheme="minorHAnsi"/>
          <w:color w:val="242424"/>
          <w:szCs w:val="24"/>
        </w:rPr>
        <w:t xml:space="preserve">Some topics are arguably ‘nice to have’ but not essential at the commissioner level – ATEC can use Jobs and Skills Australia for advice on workforce issues while ATEC staff can do data-related tasks and provide advice on them. </w:t>
      </w:r>
      <w:r w:rsidR="00525BB1">
        <w:rPr>
          <w:rFonts w:ascii="Aptos" w:hAnsi="Aptos" w:cstheme="minorHAnsi"/>
          <w:color w:val="242424"/>
          <w:szCs w:val="24"/>
        </w:rPr>
        <w:t xml:space="preserve">But </w:t>
      </w:r>
      <w:r w:rsidR="006A2DCE">
        <w:rPr>
          <w:rFonts w:ascii="Aptos" w:hAnsi="Aptos" w:cstheme="minorHAnsi"/>
          <w:color w:val="242424"/>
          <w:szCs w:val="24"/>
        </w:rPr>
        <w:t xml:space="preserve">other </w:t>
      </w:r>
      <w:r w:rsidR="00525BB1">
        <w:rPr>
          <w:rFonts w:ascii="Aptos" w:hAnsi="Aptos" w:cstheme="minorHAnsi"/>
          <w:color w:val="242424"/>
          <w:szCs w:val="24"/>
        </w:rPr>
        <w:t xml:space="preserve">areas of </w:t>
      </w:r>
      <w:r w:rsidR="001666BE">
        <w:rPr>
          <w:rFonts w:ascii="Aptos" w:hAnsi="Aptos" w:cstheme="minorHAnsi"/>
          <w:color w:val="242424"/>
          <w:szCs w:val="24"/>
        </w:rPr>
        <w:t>knowledge and experience</w:t>
      </w:r>
      <w:r w:rsidR="00525BB1">
        <w:rPr>
          <w:rFonts w:ascii="Aptos" w:hAnsi="Aptos" w:cstheme="minorHAnsi"/>
          <w:color w:val="242424"/>
          <w:szCs w:val="24"/>
        </w:rPr>
        <w:t xml:space="preserve"> seem so significant for ATEC’s operations that they should be listed in section 59. These include</w:t>
      </w:r>
      <w:r w:rsidR="00B7229B">
        <w:rPr>
          <w:rFonts w:ascii="Aptos" w:hAnsi="Aptos" w:cstheme="minorHAnsi"/>
          <w:color w:val="242424"/>
          <w:szCs w:val="24"/>
        </w:rPr>
        <w:t xml:space="preserve"> quality </w:t>
      </w:r>
      <w:r w:rsidR="00525BB1">
        <w:rPr>
          <w:rFonts w:ascii="Aptos" w:hAnsi="Aptos" w:cstheme="minorHAnsi"/>
          <w:color w:val="242424"/>
          <w:szCs w:val="24"/>
        </w:rPr>
        <w:t xml:space="preserve">and </w:t>
      </w:r>
      <w:r w:rsidR="00B7229B">
        <w:rPr>
          <w:rFonts w:ascii="Aptos" w:hAnsi="Aptos" w:cstheme="minorHAnsi"/>
          <w:color w:val="242424"/>
          <w:szCs w:val="24"/>
        </w:rPr>
        <w:t xml:space="preserve">standards (as discussed in </w:t>
      </w:r>
      <w:r w:rsidR="000864B1">
        <w:rPr>
          <w:rFonts w:ascii="Aptos" w:hAnsi="Aptos" w:cstheme="minorHAnsi"/>
          <w:color w:val="242424"/>
          <w:szCs w:val="24"/>
        </w:rPr>
        <w:t>chapter</w:t>
      </w:r>
      <w:r w:rsidR="00B7229B">
        <w:rPr>
          <w:rFonts w:ascii="Aptos" w:hAnsi="Aptos" w:cstheme="minorHAnsi"/>
          <w:color w:val="242424"/>
          <w:szCs w:val="24"/>
        </w:rPr>
        <w:t xml:space="preserve"> </w:t>
      </w:r>
      <w:r w:rsidR="00B7229B">
        <w:rPr>
          <w:rFonts w:ascii="Aptos" w:hAnsi="Aptos" w:cstheme="minorHAnsi"/>
          <w:color w:val="242424"/>
          <w:szCs w:val="24"/>
        </w:rPr>
        <w:fldChar w:fldCharType="begin"/>
      </w:r>
      <w:r w:rsidR="00B7229B">
        <w:rPr>
          <w:rFonts w:ascii="Aptos" w:hAnsi="Aptos" w:cstheme="minorHAnsi"/>
          <w:color w:val="242424"/>
          <w:szCs w:val="24"/>
        </w:rPr>
        <w:instrText xml:space="preserve"> REF _Ref216885768 \r \h </w:instrText>
      </w:r>
      <w:r w:rsidR="00B7229B">
        <w:rPr>
          <w:rFonts w:ascii="Aptos" w:hAnsi="Aptos" w:cstheme="minorHAnsi"/>
          <w:color w:val="242424"/>
          <w:szCs w:val="24"/>
        </w:rPr>
      </w:r>
      <w:r w:rsidR="00B7229B">
        <w:rPr>
          <w:rFonts w:ascii="Aptos" w:hAnsi="Aptos" w:cstheme="minorHAnsi"/>
          <w:color w:val="242424"/>
          <w:szCs w:val="24"/>
        </w:rPr>
        <w:fldChar w:fldCharType="separate"/>
      </w:r>
      <w:r w:rsidR="0055214B">
        <w:rPr>
          <w:rFonts w:ascii="Aptos" w:hAnsi="Aptos" w:cstheme="minorHAnsi"/>
          <w:color w:val="242424"/>
          <w:szCs w:val="24"/>
        </w:rPr>
        <w:t>3</w:t>
      </w:r>
      <w:r w:rsidR="00B7229B">
        <w:rPr>
          <w:rFonts w:ascii="Aptos" w:hAnsi="Aptos" w:cstheme="minorHAnsi"/>
          <w:color w:val="242424"/>
          <w:szCs w:val="24"/>
        </w:rPr>
        <w:fldChar w:fldCharType="end"/>
      </w:r>
      <w:r w:rsidR="00B7229B">
        <w:rPr>
          <w:rFonts w:ascii="Aptos" w:hAnsi="Aptos" w:cstheme="minorHAnsi"/>
          <w:color w:val="242424"/>
          <w:szCs w:val="24"/>
        </w:rPr>
        <w:t xml:space="preserve"> of this submission), equity</w:t>
      </w:r>
      <w:r w:rsidR="001666BE">
        <w:rPr>
          <w:rFonts w:ascii="Aptos" w:hAnsi="Aptos" w:cstheme="minorHAnsi"/>
          <w:color w:val="242424"/>
          <w:szCs w:val="24"/>
        </w:rPr>
        <w:t xml:space="preserve"> students </w:t>
      </w:r>
      <w:r w:rsidR="00B7229B">
        <w:rPr>
          <w:rFonts w:ascii="Aptos" w:hAnsi="Aptos" w:cstheme="minorHAnsi"/>
          <w:color w:val="242424"/>
          <w:szCs w:val="24"/>
        </w:rPr>
        <w:t xml:space="preserve">other than regional and ATSI, </w:t>
      </w:r>
      <w:r w:rsidR="00525BB1">
        <w:rPr>
          <w:rFonts w:ascii="Aptos" w:hAnsi="Aptos" w:cstheme="minorHAnsi"/>
          <w:color w:val="242424"/>
          <w:szCs w:val="24"/>
        </w:rPr>
        <w:t xml:space="preserve">and </w:t>
      </w:r>
      <w:r w:rsidR="00B7229B">
        <w:rPr>
          <w:rFonts w:ascii="Aptos" w:hAnsi="Aptos" w:cstheme="minorHAnsi"/>
          <w:color w:val="242424"/>
          <w:szCs w:val="24"/>
        </w:rPr>
        <w:t>university funding and finances</w:t>
      </w:r>
      <w:r w:rsidR="00525BB1">
        <w:rPr>
          <w:rFonts w:ascii="Aptos" w:hAnsi="Aptos" w:cstheme="minorHAnsi"/>
          <w:color w:val="242424"/>
          <w:szCs w:val="24"/>
        </w:rPr>
        <w:t xml:space="preserve">. </w:t>
      </w:r>
      <w:r w:rsidR="001666BE">
        <w:rPr>
          <w:rFonts w:ascii="Aptos" w:hAnsi="Aptos" w:cstheme="minorHAnsi"/>
          <w:color w:val="242424"/>
          <w:szCs w:val="24"/>
        </w:rPr>
        <w:t xml:space="preserve">ATEC commissioners will spend much, if not most, of their time on these matters. </w:t>
      </w:r>
    </w:p>
    <w:p w14:paraId="04B7BA65" w14:textId="77777777" w:rsidR="00B7229B" w:rsidRDefault="00B7229B" w:rsidP="00B7229B">
      <w:pPr>
        <w:pStyle w:val="BodyText"/>
        <w:rPr>
          <w:rFonts w:ascii="Aptos" w:hAnsi="Aptos" w:cstheme="minorHAnsi"/>
          <w:color w:val="242424"/>
          <w:szCs w:val="24"/>
        </w:rPr>
      </w:pPr>
    </w:p>
    <w:p w14:paraId="38136235" w14:textId="2B80B0D3" w:rsidR="003653C9" w:rsidRDefault="00B7229B" w:rsidP="003653C9">
      <w:pPr>
        <w:pStyle w:val="BodyText"/>
        <w:rPr>
          <w:rFonts w:ascii="Aptos" w:hAnsi="Aptos" w:cstheme="minorHAnsi"/>
          <w:color w:val="242424"/>
          <w:szCs w:val="24"/>
        </w:rPr>
      </w:pPr>
      <w:r>
        <w:rPr>
          <w:rFonts w:ascii="Aptos" w:hAnsi="Aptos" w:cstheme="minorHAnsi"/>
          <w:color w:val="242424"/>
          <w:szCs w:val="24"/>
        </w:rPr>
        <w:t xml:space="preserve">Compounding the </w:t>
      </w:r>
      <w:r w:rsidR="00911B5D">
        <w:rPr>
          <w:rFonts w:ascii="Aptos" w:hAnsi="Aptos" w:cstheme="minorHAnsi"/>
          <w:color w:val="242424"/>
          <w:szCs w:val="24"/>
        </w:rPr>
        <w:t xml:space="preserve">expertise </w:t>
      </w:r>
      <w:r>
        <w:rPr>
          <w:rFonts w:ascii="Aptos" w:hAnsi="Aptos" w:cstheme="minorHAnsi"/>
          <w:color w:val="242424"/>
          <w:szCs w:val="24"/>
        </w:rPr>
        <w:t xml:space="preserve">problem, the legislation makes it theoretically possible that only one commissioner – the Chief Commissioner – will have </w:t>
      </w:r>
      <w:r w:rsidR="00B64517">
        <w:rPr>
          <w:rFonts w:ascii="Aptos" w:hAnsi="Aptos" w:cstheme="minorHAnsi"/>
          <w:color w:val="242424"/>
          <w:szCs w:val="24"/>
        </w:rPr>
        <w:t xml:space="preserve">higher </w:t>
      </w:r>
      <w:r>
        <w:rPr>
          <w:rFonts w:ascii="Aptos" w:hAnsi="Aptos" w:cstheme="minorHAnsi"/>
          <w:color w:val="242424"/>
          <w:szCs w:val="24"/>
        </w:rPr>
        <w:t>education</w:t>
      </w:r>
      <w:r w:rsidR="00B64517">
        <w:rPr>
          <w:rFonts w:ascii="Aptos" w:hAnsi="Aptos" w:cstheme="minorHAnsi"/>
          <w:color w:val="242424"/>
          <w:szCs w:val="24"/>
        </w:rPr>
        <w:t xml:space="preserve"> expertise</w:t>
      </w:r>
      <w:r>
        <w:rPr>
          <w:rFonts w:ascii="Aptos" w:hAnsi="Aptos" w:cstheme="minorHAnsi"/>
          <w:color w:val="242424"/>
          <w:szCs w:val="24"/>
        </w:rPr>
        <w:t xml:space="preserve">. The other two commissioners </w:t>
      </w:r>
      <w:r w:rsidR="003653C9">
        <w:rPr>
          <w:rFonts w:ascii="Aptos" w:hAnsi="Aptos" w:cstheme="minorHAnsi"/>
          <w:color w:val="242424"/>
          <w:szCs w:val="24"/>
        </w:rPr>
        <w:t>need</w:t>
      </w:r>
      <w:r>
        <w:rPr>
          <w:rFonts w:ascii="Aptos" w:hAnsi="Aptos" w:cstheme="minorHAnsi"/>
          <w:color w:val="242424"/>
          <w:szCs w:val="24"/>
        </w:rPr>
        <w:t xml:space="preserve"> standing in either higher education or vocational education. While reference to ‘tertiary education’ in ATEC’s title and </w:t>
      </w:r>
      <w:r w:rsidR="003653C9">
        <w:rPr>
          <w:rFonts w:ascii="Aptos" w:hAnsi="Aptos" w:cstheme="minorHAnsi"/>
          <w:color w:val="242424"/>
          <w:szCs w:val="24"/>
        </w:rPr>
        <w:t>o</w:t>
      </w:r>
      <w:r>
        <w:rPr>
          <w:rFonts w:ascii="Aptos" w:hAnsi="Aptos" w:cstheme="minorHAnsi"/>
          <w:color w:val="242424"/>
          <w:szCs w:val="24"/>
        </w:rPr>
        <w:t xml:space="preserve">ther parts of the bill reflects aspirations for a more integrated post-school education sector, as it stands the </w:t>
      </w:r>
      <w:r w:rsidR="00911B5D">
        <w:rPr>
          <w:rFonts w:ascii="Aptos" w:hAnsi="Aptos" w:cstheme="minorHAnsi"/>
          <w:color w:val="242424"/>
          <w:szCs w:val="24"/>
        </w:rPr>
        <w:t xml:space="preserve">specific </w:t>
      </w:r>
      <w:r>
        <w:rPr>
          <w:rFonts w:ascii="Aptos" w:hAnsi="Aptos" w:cstheme="minorHAnsi"/>
          <w:color w:val="242424"/>
          <w:szCs w:val="24"/>
        </w:rPr>
        <w:t xml:space="preserve">vocational element </w:t>
      </w:r>
      <w:r w:rsidR="00525BB1">
        <w:rPr>
          <w:rFonts w:ascii="Aptos" w:hAnsi="Aptos" w:cstheme="minorHAnsi"/>
          <w:color w:val="242424"/>
          <w:szCs w:val="24"/>
        </w:rPr>
        <w:t xml:space="preserve">of ATEC’s operations </w:t>
      </w:r>
      <w:r>
        <w:rPr>
          <w:rFonts w:ascii="Aptos" w:hAnsi="Aptos" w:cstheme="minorHAnsi"/>
          <w:color w:val="242424"/>
          <w:szCs w:val="24"/>
        </w:rPr>
        <w:t>is minor – promoting coordination and collaboration between higher education and vocational education</w:t>
      </w:r>
      <w:r w:rsidR="00864367">
        <w:rPr>
          <w:rFonts w:ascii="Aptos" w:hAnsi="Aptos" w:cstheme="minorHAnsi"/>
          <w:color w:val="242424"/>
          <w:szCs w:val="24"/>
        </w:rPr>
        <w:t xml:space="preserve">: </w:t>
      </w:r>
      <w:r>
        <w:rPr>
          <w:rFonts w:ascii="Aptos" w:hAnsi="Aptos" w:cstheme="minorHAnsi"/>
          <w:color w:val="242424"/>
          <w:szCs w:val="24"/>
        </w:rPr>
        <w:t xml:space="preserve">section 3(1)(f); section 41(2). It is hard to see why this objective should rank above ATEC’s core </w:t>
      </w:r>
      <w:r w:rsidR="00864367">
        <w:rPr>
          <w:rFonts w:ascii="Aptos" w:hAnsi="Aptos" w:cstheme="minorHAnsi"/>
          <w:color w:val="242424"/>
          <w:szCs w:val="24"/>
        </w:rPr>
        <w:t>activities</w:t>
      </w:r>
      <w:r>
        <w:rPr>
          <w:rFonts w:ascii="Aptos" w:hAnsi="Aptos" w:cstheme="minorHAnsi"/>
          <w:color w:val="242424"/>
          <w:szCs w:val="24"/>
        </w:rPr>
        <w:t xml:space="preserve"> as set out in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r w:rsidR="003653C9">
        <w:rPr>
          <w:rFonts w:ascii="Aptos" w:hAnsi="Aptos" w:cstheme="minorHAnsi"/>
          <w:color w:val="242424"/>
          <w:szCs w:val="24"/>
        </w:rPr>
        <w:t xml:space="preserve">All three commissioners need significant understanding of the higher education </w:t>
      </w:r>
      <w:r w:rsidR="004B0921">
        <w:rPr>
          <w:rFonts w:ascii="Aptos" w:hAnsi="Aptos" w:cstheme="minorHAnsi"/>
          <w:color w:val="242424"/>
          <w:szCs w:val="24"/>
        </w:rPr>
        <w:t>system.</w:t>
      </w:r>
    </w:p>
    <w:p w14:paraId="74945E32" w14:textId="77777777" w:rsidR="00B7229B" w:rsidRDefault="00B7229B" w:rsidP="00B7229B">
      <w:pPr>
        <w:pStyle w:val="BodyText"/>
        <w:rPr>
          <w:rFonts w:ascii="Aptos" w:hAnsi="Aptos" w:cstheme="minorHAnsi"/>
          <w:color w:val="242424"/>
          <w:szCs w:val="24"/>
        </w:rPr>
      </w:pPr>
    </w:p>
    <w:p w14:paraId="355E59F4" w14:textId="1093D2CE" w:rsidR="00B7229B" w:rsidRDefault="00B7229B" w:rsidP="00B7229B">
      <w:pPr>
        <w:pStyle w:val="BodyText"/>
        <w:rPr>
          <w:rFonts w:ascii="Aptos" w:hAnsi="Aptos" w:cstheme="minorHAnsi"/>
          <w:color w:val="242424"/>
          <w:szCs w:val="24"/>
        </w:rPr>
      </w:pPr>
      <w:r>
        <w:rPr>
          <w:rFonts w:ascii="Aptos" w:hAnsi="Aptos" w:cstheme="minorHAnsi"/>
          <w:color w:val="242424"/>
          <w:szCs w:val="24"/>
        </w:rPr>
        <w:t xml:space="preserve">It is ironic that the government is reforming </w:t>
      </w:r>
      <w:r w:rsidR="00525BB1">
        <w:rPr>
          <w:rFonts w:ascii="Aptos" w:hAnsi="Aptos" w:cstheme="minorHAnsi"/>
          <w:color w:val="242424"/>
          <w:szCs w:val="24"/>
        </w:rPr>
        <w:t>university</w:t>
      </w:r>
      <w:r>
        <w:rPr>
          <w:rFonts w:ascii="Aptos" w:hAnsi="Aptos" w:cstheme="minorHAnsi"/>
          <w:color w:val="242424"/>
          <w:szCs w:val="24"/>
        </w:rPr>
        <w:t xml:space="preserve"> governance </w:t>
      </w:r>
      <w:sdt>
        <w:sdtPr>
          <w:rPr>
            <w:rFonts w:ascii="Aptos" w:hAnsi="Aptos" w:cstheme="minorHAnsi"/>
            <w:color w:val="242424"/>
            <w:szCs w:val="24"/>
          </w:rPr>
          <w:tag w:val="MENDELEY_CITATION_v3_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
          <w:id w:val="549646088"/>
          <w:placeholder>
            <w:docPart w:val="DefaultPlaceholder_-1854013440"/>
          </w:placeholder>
        </w:sdtPr>
        <w:sdtContent>
          <w:r w:rsidR="00094A58" w:rsidRPr="00094A58">
            <w:rPr>
              <w:rFonts w:ascii="Aptos" w:hAnsi="Aptos" w:cstheme="minorHAnsi"/>
              <w:color w:val="242424"/>
              <w:szCs w:val="24"/>
            </w:rPr>
            <w:t>(Cilento et al., 2025)</w:t>
          </w:r>
        </w:sdtContent>
      </w:sdt>
      <w:r>
        <w:rPr>
          <w:rFonts w:ascii="Aptos" w:hAnsi="Aptos" w:cstheme="minorHAnsi"/>
          <w:color w:val="242424"/>
          <w:szCs w:val="24"/>
        </w:rPr>
        <w:t xml:space="preserve">, in part to bring in more people with relevant skills and experience, while setting up a commission </w:t>
      </w:r>
      <w:r w:rsidR="00B12333">
        <w:rPr>
          <w:rFonts w:ascii="Aptos" w:hAnsi="Aptos" w:cstheme="minorHAnsi"/>
          <w:color w:val="242424"/>
          <w:szCs w:val="24"/>
        </w:rPr>
        <w:t>to control</w:t>
      </w:r>
      <w:r>
        <w:rPr>
          <w:rFonts w:ascii="Aptos" w:hAnsi="Aptos" w:cstheme="minorHAnsi"/>
          <w:color w:val="242424"/>
          <w:szCs w:val="24"/>
        </w:rPr>
        <w:t xml:space="preserve"> universities without requiring its leadership to have </w:t>
      </w:r>
      <w:r w:rsidR="00B12333">
        <w:rPr>
          <w:rFonts w:ascii="Aptos" w:hAnsi="Aptos" w:cstheme="minorHAnsi"/>
          <w:color w:val="242424"/>
          <w:szCs w:val="24"/>
        </w:rPr>
        <w:t>the full range of</w:t>
      </w:r>
      <w:r>
        <w:rPr>
          <w:rFonts w:ascii="Aptos" w:hAnsi="Aptos" w:cstheme="minorHAnsi"/>
          <w:color w:val="242424"/>
          <w:szCs w:val="24"/>
        </w:rPr>
        <w:t xml:space="preserve"> relevant skills and experience. </w:t>
      </w:r>
    </w:p>
    <w:p w14:paraId="402E3B12" w14:textId="77777777" w:rsidR="00B7229B" w:rsidRDefault="00B7229B">
      <w:pPr>
        <w:rPr>
          <w:rFonts w:ascii="Aptos" w:hAnsi="Aptos" w:cstheme="minorHAnsi"/>
          <w:color w:val="242424"/>
          <w:szCs w:val="24"/>
        </w:rPr>
      </w:pPr>
      <w:r>
        <w:rPr>
          <w:rFonts w:ascii="Aptos" w:hAnsi="Aptos" w:cstheme="minorHAnsi"/>
          <w:color w:val="242424"/>
          <w:szCs w:val="24"/>
        </w:rPr>
        <w:br w:type="page"/>
      </w:r>
    </w:p>
    <w:p w14:paraId="1B9C267A" w14:textId="4168D605" w:rsidR="005E11A4" w:rsidRDefault="005E11A4" w:rsidP="005205D4">
      <w:pPr>
        <w:pStyle w:val="Caption"/>
      </w:pPr>
      <w:bookmarkStart w:id="77" w:name="_Ref216885503"/>
      <w:r>
        <w:lastRenderedPageBreak/>
        <w:t xml:space="preserve">Table </w:t>
      </w:r>
      <w:r>
        <w:fldChar w:fldCharType="begin"/>
      </w:r>
      <w:r>
        <w:instrText xml:space="preserve"> SEQ Table \* ARABIC </w:instrText>
      </w:r>
      <w:r>
        <w:fldChar w:fldCharType="separate"/>
      </w:r>
      <w:r w:rsidR="0055214B">
        <w:rPr>
          <w:noProof/>
        </w:rPr>
        <w:t>3</w:t>
      </w:r>
      <w:r>
        <w:fldChar w:fldCharType="end"/>
      </w:r>
      <w:bookmarkEnd w:id="77"/>
      <w:r>
        <w:t xml:space="preserve">: </w:t>
      </w:r>
      <w:r w:rsidR="003653C9">
        <w:t>Required e</w:t>
      </w:r>
      <w:r>
        <w:t>xpertise</w:t>
      </w:r>
      <w:r w:rsidR="00BF1969">
        <w:t xml:space="preserve">/standing </w:t>
      </w:r>
      <w:r>
        <w:t>of ATEC Commissioners</w:t>
      </w:r>
      <w:r w:rsidR="00BF1969">
        <w:t>, mapped against responsibilities</w:t>
      </w:r>
      <w:r w:rsidR="002878BD">
        <w:t xml:space="preserve"> </w:t>
      </w:r>
    </w:p>
    <w:tbl>
      <w:tblPr>
        <w:tblStyle w:val="TableGrid"/>
        <w:tblW w:w="5000" w:type="pct"/>
        <w:tblLayout w:type="fixed"/>
        <w:tblLook w:val="04A0" w:firstRow="1" w:lastRow="0" w:firstColumn="1" w:lastColumn="0" w:noHBand="0" w:noVBand="1"/>
      </w:tblPr>
      <w:tblGrid>
        <w:gridCol w:w="2123"/>
        <w:gridCol w:w="1843"/>
        <w:gridCol w:w="1767"/>
        <w:gridCol w:w="1767"/>
        <w:gridCol w:w="1516"/>
      </w:tblGrid>
      <w:tr w:rsidR="005E11A4" w14:paraId="394A4E07" w14:textId="09C2E8DD" w:rsidTr="0029614E">
        <w:trPr>
          <w:trHeight w:val="20"/>
        </w:trPr>
        <w:tc>
          <w:tcPr>
            <w:tcW w:w="1177" w:type="pct"/>
          </w:tcPr>
          <w:p w14:paraId="1E10E2B7" w14:textId="77777777" w:rsidR="004B0921" w:rsidRPr="004B0921" w:rsidRDefault="005E11A4" w:rsidP="0081362A">
            <w:pPr>
              <w:pStyle w:val="BodyText"/>
              <w:rPr>
                <w:rFonts w:ascii="Aptos" w:hAnsi="Aptos" w:cstheme="minorHAnsi"/>
                <w:b/>
                <w:bCs/>
                <w:color w:val="242424"/>
                <w:sz w:val="20"/>
                <w:szCs w:val="20"/>
              </w:rPr>
            </w:pPr>
            <w:r w:rsidRPr="004B0921">
              <w:rPr>
                <w:rFonts w:ascii="Aptos" w:hAnsi="Aptos" w:cstheme="minorHAnsi"/>
                <w:b/>
                <w:bCs/>
                <w:color w:val="242424"/>
                <w:sz w:val="20"/>
                <w:szCs w:val="20"/>
              </w:rPr>
              <w:t>Expertise/</w:t>
            </w:r>
          </w:p>
          <w:p w14:paraId="328B90A5" w14:textId="6656769A" w:rsidR="005E11A4" w:rsidRPr="004B0921" w:rsidRDefault="005E11A4" w:rsidP="0081362A">
            <w:pPr>
              <w:pStyle w:val="BodyText"/>
              <w:rPr>
                <w:rFonts w:ascii="Aptos" w:hAnsi="Aptos" w:cstheme="minorHAnsi"/>
                <w:b/>
                <w:bCs/>
                <w:color w:val="242424"/>
                <w:sz w:val="20"/>
                <w:szCs w:val="20"/>
              </w:rPr>
            </w:pPr>
            <w:r w:rsidRPr="004B0921">
              <w:rPr>
                <w:rFonts w:ascii="Aptos" w:hAnsi="Aptos" w:cstheme="minorHAnsi"/>
                <w:b/>
                <w:bCs/>
                <w:color w:val="242424"/>
                <w:sz w:val="20"/>
                <w:szCs w:val="20"/>
              </w:rPr>
              <w:t>standing</w:t>
            </w:r>
          </w:p>
        </w:tc>
        <w:tc>
          <w:tcPr>
            <w:tcW w:w="1022" w:type="pct"/>
          </w:tcPr>
          <w:p w14:paraId="2F38CBF4" w14:textId="4A25D12E"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Chief Commissioner</w:t>
            </w:r>
          </w:p>
        </w:tc>
        <w:tc>
          <w:tcPr>
            <w:tcW w:w="980" w:type="pct"/>
          </w:tcPr>
          <w:p w14:paraId="30F52A74" w14:textId="2E7CE06D"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First Nations Commissioner</w:t>
            </w:r>
          </w:p>
        </w:tc>
        <w:tc>
          <w:tcPr>
            <w:tcW w:w="980" w:type="pct"/>
          </w:tcPr>
          <w:p w14:paraId="486A83AD" w14:textId="66402D36"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Commissioner</w:t>
            </w:r>
          </w:p>
        </w:tc>
        <w:tc>
          <w:tcPr>
            <w:tcW w:w="841" w:type="pct"/>
          </w:tcPr>
          <w:p w14:paraId="156C2561" w14:textId="5768A0C7" w:rsidR="005E11A4" w:rsidRPr="004B0921" w:rsidRDefault="005E11A4" w:rsidP="003653C9">
            <w:pPr>
              <w:pStyle w:val="BodyText"/>
              <w:jc w:val="center"/>
              <w:rPr>
                <w:rFonts w:ascii="Aptos" w:hAnsi="Aptos" w:cstheme="minorHAnsi"/>
                <w:b/>
                <w:bCs/>
                <w:color w:val="242424"/>
                <w:sz w:val="20"/>
                <w:szCs w:val="20"/>
              </w:rPr>
            </w:pPr>
            <w:r w:rsidRPr="004B0921">
              <w:rPr>
                <w:rFonts w:ascii="Aptos" w:hAnsi="Aptos" w:cstheme="minorHAnsi"/>
                <w:b/>
                <w:bCs/>
                <w:color w:val="242424"/>
                <w:sz w:val="20"/>
                <w:szCs w:val="20"/>
              </w:rPr>
              <w:t>Collectively</w:t>
            </w:r>
          </w:p>
        </w:tc>
      </w:tr>
      <w:tr w:rsidR="003653C9" w14:paraId="4625517F" w14:textId="70E2AB77" w:rsidTr="0029614E">
        <w:trPr>
          <w:trHeight w:val="20"/>
        </w:trPr>
        <w:tc>
          <w:tcPr>
            <w:tcW w:w="1177" w:type="pct"/>
          </w:tcPr>
          <w:p w14:paraId="72A035A3" w14:textId="31EA5D4F"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 xml:space="preserve">Tertiary education </w:t>
            </w:r>
          </w:p>
        </w:tc>
        <w:tc>
          <w:tcPr>
            <w:tcW w:w="1022" w:type="pct"/>
          </w:tcPr>
          <w:p w14:paraId="073698EB" w14:textId="51A8D745" w:rsidR="003653C9" w:rsidRPr="004B0921" w:rsidRDefault="003653C9" w:rsidP="00267006">
            <w:pPr>
              <w:pStyle w:val="BodyText"/>
              <w:rPr>
                <w:rFonts w:ascii="Wingdings" w:hAnsi="Wingdings" w:cstheme="minorHAnsi"/>
                <w:color w:val="242424"/>
              </w:rPr>
            </w:pPr>
            <w:r w:rsidRPr="004B0921">
              <w:rPr>
                <w:rFonts w:ascii="Segoe UI Emoji" w:hAnsi="Segoe UI Emoji" w:cs="Segoe UI Emoji"/>
                <w:shd w:val="clear" w:color="auto" w:fill="FFFFFF"/>
              </w:rPr>
              <w:t>✔</w:t>
            </w:r>
          </w:p>
        </w:tc>
        <w:tc>
          <w:tcPr>
            <w:tcW w:w="980" w:type="pct"/>
          </w:tcPr>
          <w:p w14:paraId="5555C79A"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49515A9" w14:textId="77777777" w:rsidR="003653C9" w:rsidRPr="004B0921" w:rsidRDefault="003653C9" w:rsidP="00267006">
            <w:pPr>
              <w:pStyle w:val="BodyText"/>
              <w:rPr>
                <w:rFonts w:ascii="Aptos" w:hAnsi="Aptos" w:cstheme="minorHAnsi"/>
                <w:color w:val="242424"/>
              </w:rPr>
            </w:pPr>
          </w:p>
        </w:tc>
        <w:tc>
          <w:tcPr>
            <w:tcW w:w="980" w:type="pct"/>
          </w:tcPr>
          <w:p w14:paraId="56D74D17"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6CC743" w14:textId="77777777" w:rsidR="003653C9" w:rsidRPr="004B0921" w:rsidRDefault="003653C9" w:rsidP="00267006">
            <w:pPr>
              <w:pStyle w:val="BodyText"/>
              <w:rPr>
                <w:rFonts w:ascii="Aptos" w:hAnsi="Aptos" w:cstheme="minorHAnsi"/>
                <w:color w:val="242424"/>
              </w:rPr>
            </w:pPr>
          </w:p>
        </w:tc>
        <w:tc>
          <w:tcPr>
            <w:tcW w:w="841" w:type="pct"/>
          </w:tcPr>
          <w:p w14:paraId="42D8DB08" w14:textId="765C4FFF"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6946F51B" w14:textId="1457A3D7" w:rsidTr="0029614E">
        <w:trPr>
          <w:trHeight w:val="20"/>
        </w:trPr>
        <w:tc>
          <w:tcPr>
            <w:tcW w:w="1177" w:type="pct"/>
          </w:tcPr>
          <w:p w14:paraId="20B44E3B" w14:textId="3B1CBA68"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Higher education</w:t>
            </w:r>
          </w:p>
        </w:tc>
        <w:tc>
          <w:tcPr>
            <w:tcW w:w="1022" w:type="pct"/>
          </w:tcPr>
          <w:p w14:paraId="4029DFC9" w14:textId="712437B9"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c>
          <w:tcPr>
            <w:tcW w:w="980" w:type="pct"/>
          </w:tcPr>
          <w:p w14:paraId="217AFE42" w14:textId="6A22EFAA"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or vocational ed</w:t>
            </w:r>
            <w:r w:rsidR="00C1439C">
              <w:rPr>
                <w:sz w:val="20"/>
                <w:szCs w:val="20"/>
                <w:shd w:val="clear" w:color="auto" w:fill="FFFFFF"/>
              </w:rPr>
              <w:t>ucation</w:t>
            </w:r>
          </w:p>
        </w:tc>
        <w:tc>
          <w:tcPr>
            <w:tcW w:w="980" w:type="pct"/>
          </w:tcPr>
          <w:p w14:paraId="0678F476" w14:textId="2ED2D6E5"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or vocational ed</w:t>
            </w:r>
            <w:r w:rsidR="00C1439C">
              <w:rPr>
                <w:sz w:val="20"/>
                <w:szCs w:val="20"/>
                <w:shd w:val="clear" w:color="auto" w:fill="FFFFFF"/>
              </w:rPr>
              <w:t>ucation</w:t>
            </w:r>
          </w:p>
        </w:tc>
        <w:tc>
          <w:tcPr>
            <w:tcW w:w="841" w:type="pct"/>
          </w:tcPr>
          <w:p w14:paraId="01353218" w14:textId="4123A6AD"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18B557FF" w14:textId="70CF8507" w:rsidTr="0029614E">
        <w:trPr>
          <w:trHeight w:val="20"/>
        </w:trPr>
        <w:tc>
          <w:tcPr>
            <w:tcW w:w="1177" w:type="pct"/>
          </w:tcPr>
          <w:p w14:paraId="62360D62" w14:textId="71C21B09"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 xml:space="preserve">Vocational education </w:t>
            </w:r>
          </w:p>
        </w:tc>
        <w:tc>
          <w:tcPr>
            <w:tcW w:w="1022" w:type="pct"/>
          </w:tcPr>
          <w:p w14:paraId="5F8ECE99"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EAC5D1D" w14:textId="77777777" w:rsidR="003653C9" w:rsidRPr="004B0921" w:rsidRDefault="003653C9" w:rsidP="00267006">
            <w:pPr>
              <w:pStyle w:val="BodyText"/>
              <w:rPr>
                <w:rFonts w:ascii="Aptos" w:hAnsi="Aptos" w:cstheme="minorHAnsi"/>
                <w:color w:val="242424"/>
              </w:rPr>
            </w:pPr>
          </w:p>
        </w:tc>
        <w:tc>
          <w:tcPr>
            <w:tcW w:w="980" w:type="pct"/>
          </w:tcPr>
          <w:p w14:paraId="457D0CAF" w14:textId="61B75107"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 xml:space="preserve"> or higher ed</w:t>
            </w:r>
            <w:r w:rsidR="00C1439C">
              <w:rPr>
                <w:sz w:val="20"/>
                <w:szCs w:val="20"/>
                <w:shd w:val="clear" w:color="auto" w:fill="FFFFFF"/>
              </w:rPr>
              <w:t>ucation</w:t>
            </w:r>
          </w:p>
        </w:tc>
        <w:tc>
          <w:tcPr>
            <w:tcW w:w="980" w:type="pct"/>
          </w:tcPr>
          <w:p w14:paraId="695C65AC" w14:textId="52084448" w:rsidR="003653C9" w:rsidRPr="004B0921" w:rsidRDefault="003653C9" w:rsidP="00267006">
            <w:pPr>
              <w:pStyle w:val="BodyText"/>
              <w:rPr>
                <w:rFonts w:ascii="Aptos" w:hAnsi="Aptos" w:cstheme="minorHAnsi"/>
                <w:color w:val="242424"/>
                <w:sz w:val="20"/>
                <w:szCs w:val="20"/>
              </w:rPr>
            </w:pPr>
            <w:r w:rsidRPr="004B0921">
              <w:rPr>
                <w:rFonts w:ascii="Segoe UI Emoji" w:hAnsi="Segoe UI Emoji" w:cs="Segoe UI Emoji"/>
                <w:sz w:val="20"/>
                <w:szCs w:val="20"/>
                <w:shd w:val="clear" w:color="auto" w:fill="FFFFFF"/>
              </w:rPr>
              <w:t>✔</w:t>
            </w:r>
            <w:r w:rsidRPr="004B0921">
              <w:rPr>
                <w:sz w:val="20"/>
                <w:szCs w:val="20"/>
                <w:shd w:val="clear" w:color="auto" w:fill="FFFFFF"/>
              </w:rPr>
              <w:t xml:space="preserve"> or higher ed</w:t>
            </w:r>
            <w:r w:rsidR="00C1439C">
              <w:rPr>
                <w:sz w:val="20"/>
                <w:szCs w:val="20"/>
                <w:shd w:val="clear" w:color="auto" w:fill="FFFFFF"/>
              </w:rPr>
              <w:t>ucation</w:t>
            </w:r>
          </w:p>
        </w:tc>
        <w:tc>
          <w:tcPr>
            <w:tcW w:w="841" w:type="pct"/>
          </w:tcPr>
          <w:p w14:paraId="642F543B" w14:textId="4EDD14AB"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4675494D" w14:textId="06BF3607" w:rsidTr="0029614E">
        <w:trPr>
          <w:trHeight w:val="20"/>
        </w:trPr>
        <w:tc>
          <w:tcPr>
            <w:tcW w:w="1177" w:type="pct"/>
          </w:tcPr>
          <w:p w14:paraId="7FFD8350" w14:textId="1B2E7FEC"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ATSI issues</w:t>
            </w:r>
          </w:p>
        </w:tc>
        <w:tc>
          <w:tcPr>
            <w:tcW w:w="1022" w:type="pct"/>
          </w:tcPr>
          <w:p w14:paraId="0498A18C"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BA37E50" w14:textId="77777777" w:rsidR="003653C9" w:rsidRPr="004B0921" w:rsidRDefault="003653C9" w:rsidP="00267006">
            <w:pPr>
              <w:pStyle w:val="BodyText"/>
              <w:rPr>
                <w:rFonts w:ascii="Aptos" w:hAnsi="Aptos" w:cstheme="minorHAnsi"/>
                <w:color w:val="242424"/>
              </w:rPr>
            </w:pPr>
          </w:p>
        </w:tc>
        <w:tc>
          <w:tcPr>
            <w:tcW w:w="980" w:type="pct"/>
          </w:tcPr>
          <w:p w14:paraId="0A318C6C" w14:textId="70990044"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c>
          <w:tcPr>
            <w:tcW w:w="980" w:type="pct"/>
          </w:tcPr>
          <w:p w14:paraId="61F029FF"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9E4B80B" w14:textId="77777777" w:rsidR="003653C9" w:rsidRPr="004B0921" w:rsidRDefault="003653C9" w:rsidP="00267006">
            <w:pPr>
              <w:pStyle w:val="BodyText"/>
              <w:rPr>
                <w:rFonts w:ascii="Aptos" w:hAnsi="Aptos" w:cstheme="minorHAnsi"/>
                <w:color w:val="242424"/>
              </w:rPr>
            </w:pPr>
          </w:p>
        </w:tc>
        <w:tc>
          <w:tcPr>
            <w:tcW w:w="841" w:type="pct"/>
          </w:tcPr>
          <w:p w14:paraId="70884ECE" w14:textId="798319A2" w:rsidR="003653C9" w:rsidRPr="004B0921" w:rsidRDefault="004B0921"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3653C9" w14:paraId="707A7A03" w14:textId="384431BE" w:rsidTr="0029614E">
        <w:trPr>
          <w:trHeight w:val="20"/>
        </w:trPr>
        <w:tc>
          <w:tcPr>
            <w:tcW w:w="1177" w:type="pct"/>
          </w:tcPr>
          <w:p w14:paraId="1C89D781" w14:textId="643982A8" w:rsidR="003653C9" w:rsidRPr="004B0921" w:rsidRDefault="003653C9" w:rsidP="003653C9">
            <w:pPr>
              <w:pStyle w:val="BodyText"/>
              <w:rPr>
                <w:rFonts w:ascii="Aptos" w:hAnsi="Aptos" w:cstheme="minorHAnsi"/>
                <w:color w:val="242424"/>
                <w:sz w:val="22"/>
              </w:rPr>
            </w:pPr>
            <w:r w:rsidRPr="004B0921">
              <w:rPr>
                <w:rFonts w:ascii="Aptos" w:hAnsi="Aptos" w:cstheme="minorHAnsi"/>
                <w:color w:val="242424"/>
                <w:sz w:val="22"/>
              </w:rPr>
              <w:t>Tertiary education governance &amp; administration</w:t>
            </w:r>
          </w:p>
        </w:tc>
        <w:tc>
          <w:tcPr>
            <w:tcW w:w="1022" w:type="pct"/>
          </w:tcPr>
          <w:p w14:paraId="6E7A22CA"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F1D431B" w14:textId="77777777" w:rsidR="003653C9" w:rsidRPr="004B0921" w:rsidRDefault="003653C9" w:rsidP="00267006">
            <w:pPr>
              <w:pStyle w:val="BodyText"/>
              <w:rPr>
                <w:rFonts w:ascii="Aptos" w:hAnsi="Aptos" w:cstheme="minorHAnsi"/>
                <w:color w:val="242424"/>
              </w:rPr>
            </w:pPr>
          </w:p>
        </w:tc>
        <w:tc>
          <w:tcPr>
            <w:tcW w:w="980" w:type="pct"/>
          </w:tcPr>
          <w:p w14:paraId="321815CD"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0A45B71" w14:textId="77777777" w:rsidR="003653C9" w:rsidRPr="004B0921" w:rsidRDefault="003653C9" w:rsidP="00267006">
            <w:pPr>
              <w:pStyle w:val="BodyText"/>
              <w:rPr>
                <w:rFonts w:ascii="Aptos" w:hAnsi="Aptos" w:cstheme="minorHAnsi"/>
                <w:color w:val="242424"/>
              </w:rPr>
            </w:pPr>
          </w:p>
        </w:tc>
        <w:tc>
          <w:tcPr>
            <w:tcW w:w="980" w:type="pct"/>
          </w:tcPr>
          <w:p w14:paraId="2156B58E" w14:textId="77777777" w:rsidR="003653C9" w:rsidRPr="004B0921" w:rsidRDefault="003653C9"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C54E8F9" w14:textId="77777777" w:rsidR="003653C9" w:rsidRPr="004B0921" w:rsidRDefault="003653C9" w:rsidP="00267006">
            <w:pPr>
              <w:pStyle w:val="BodyText"/>
              <w:rPr>
                <w:rFonts w:ascii="Aptos" w:hAnsi="Aptos" w:cstheme="minorHAnsi"/>
                <w:color w:val="242424"/>
              </w:rPr>
            </w:pPr>
          </w:p>
        </w:tc>
        <w:tc>
          <w:tcPr>
            <w:tcW w:w="841" w:type="pct"/>
          </w:tcPr>
          <w:p w14:paraId="2B351812" w14:textId="14A98B97" w:rsidR="003653C9" w:rsidRPr="004B0921" w:rsidRDefault="003653C9"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0AC0D0EF" w14:textId="2EE94069" w:rsidTr="0029614E">
        <w:trPr>
          <w:trHeight w:val="20"/>
        </w:trPr>
        <w:tc>
          <w:tcPr>
            <w:tcW w:w="1177" w:type="pct"/>
          </w:tcPr>
          <w:p w14:paraId="25A7B1F6" w14:textId="7BD3C8B1" w:rsidR="0029614E" w:rsidRPr="004B0921" w:rsidRDefault="0029614E" w:rsidP="003653C9">
            <w:pPr>
              <w:pStyle w:val="BodyText"/>
              <w:rPr>
                <w:rFonts w:ascii="Aptos" w:hAnsi="Aptos" w:cstheme="minorHAnsi"/>
                <w:color w:val="242424"/>
                <w:sz w:val="22"/>
              </w:rPr>
            </w:pPr>
            <w:r w:rsidRPr="004B0921">
              <w:rPr>
                <w:rFonts w:ascii="Aptos" w:hAnsi="Aptos" w:cstheme="minorHAnsi"/>
                <w:color w:val="242424"/>
                <w:sz w:val="22"/>
              </w:rPr>
              <w:t>Regional Australia</w:t>
            </w:r>
          </w:p>
        </w:tc>
        <w:tc>
          <w:tcPr>
            <w:tcW w:w="1022" w:type="pct"/>
          </w:tcPr>
          <w:p w14:paraId="06C73780"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D63015C" w14:textId="77777777" w:rsidR="0029614E" w:rsidRPr="004B0921" w:rsidRDefault="0029614E" w:rsidP="00267006">
            <w:pPr>
              <w:pStyle w:val="BodyText"/>
              <w:rPr>
                <w:rFonts w:ascii="Aptos" w:hAnsi="Aptos" w:cstheme="minorHAnsi"/>
                <w:color w:val="242424"/>
              </w:rPr>
            </w:pPr>
          </w:p>
        </w:tc>
        <w:tc>
          <w:tcPr>
            <w:tcW w:w="980" w:type="pct"/>
          </w:tcPr>
          <w:p w14:paraId="23A8CD18"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A37FBD7" w14:textId="77777777" w:rsidR="0029614E" w:rsidRPr="004B0921" w:rsidRDefault="0029614E" w:rsidP="00267006">
            <w:pPr>
              <w:pStyle w:val="BodyText"/>
              <w:rPr>
                <w:rFonts w:ascii="Aptos" w:hAnsi="Aptos" w:cstheme="minorHAnsi"/>
                <w:color w:val="242424"/>
              </w:rPr>
            </w:pPr>
          </w:p>
        </w:tc>
        <w:tc>
          <w:tcPr>
            <w:tcW w:w="980" w:type="pct"/>
          </w:tcPr>
          <w:p w14:paraId="1DD0CFE9"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0C543A4" w14:textId="77777777" w:rsidR="0029614E" w:rsidRPr="004B0921" w:rsidRDefault="0029614E" w:rsidP="00267006">
            <w:pPr>
              <w:pStyle w:val="BodyText"/>
              <w:rPr>
                <w:rFonts w:ascii="Aptos" w:hAnsi="Aptos" w:cstheme="minorHAnsi"/>
                <w:color w:val="242424"/>
              </w:rPr>
            </w:pPr>
          </w:p>
        </w:tc>
        <w:tc>
          <w:tcPr>
            <w:tcW w:w="841" w:type="pct"/>
          </w:tcPr>
          <w:p w14:paraId="4558B5C4" w14:textId="13F87180" w:rsidR="0029614E" w:rsidRPr="004B0921" w:rsidRDefault="0029614E"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48800570" w14:textId="7741EDD3" w:rsidTr="0029614E">
        <w:trPr>
          <w:trHeight w:val="20"/>
        </w:trPr>
        <w:tc>
          <w:tcPr>
            <w:tcW w:w="1177" w:type="pct"/>
          </w:tcPr>
          <w:p w14:paraId="221C18F3" w14:textId="1A34B84A" w:rsidR="0029614E" w:rsidRPr="004B0921" w:rsidRDefault="0029614E" w:rsidP="003653C9">
            <w:pPr>
              <w:pStyle w:val="BodyText"/>
              <w:rPr>
                <w:rFonts w:ascii="Aptos" w:hAnsi="Aptos" w:cstheme="minorHAnsi"/>
                <w:color w:val="242424"/>
                <w:sz w:val="22"/>
              </w:rPr>
            </w:pPr>
            <w:r w:rsidRPr="004B0921">
              <w:rPr>
                <w:rFonts w:ascii="Aptos" w:hAnsi="Aptos" w:cstheme="minorHAnsi"/>
                <w:color w:val="242424"/>
                <w:sz w:val="22"/>
              </w:rPr>
              <w:t xml:space="preserve">Stakeholder consultation </w:t>
            </w:r>
          </w:p>
        </w:tc>
        <w:tc>
          <w:tcPr>
            <w:tcW w:w="1022" w:type="pct"/>
          </w:tcPr>
          <w:p w14:paraId="738E9BE9"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AF5D7A1" w14:textId="77777777" w:rsidR="0029614E" w:rsidRPr="004B0921" w:rsidRDefault="0029614E" w:rsidP="00267006">
            <w:pPr>
              <w:pStyle w:val="BodyText"/>
              <w:rPr>
                <w:rFonts w:ascii="Aptos" w:hAnsi="Aptos" w:cstheme="minorHAnsi"/>
                <w:color w:val="242424"/>
              </w:rPr>
            </w:pPr>
          </w:p>
        </w:tc>
        <w:tc>
          <w:tcPr>
            <w:tcW w:w="980" w:type="pct"/>
          </w:tcPr>
          <w:p w14:paraId="41004037"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45DFB8E" w14:textId="77777777" w:rsidR="0029614E" w:rsidRPr="004B0921" w:rsidRDefault="0029614E" w:rsidP="00267006">
            <w:pPr>
              <w:pStyle w:val="BodyText"/>
              <w:rPr>
                <w:rFonts w:ascii="Aptos" w:hAnsi="Aptos" w:cstheme="minorHAnsi"/>
                <w:color w:val="242424"/>
              </w:rPr>
            </w:pPr>
          </w:p>
        </w:tc>
        <w:tc>
          <w:tcPr>
            <w:tcW w:w="980" w:type="pct"/>
          </w:tcPr>
          <w:p w14:paraId="41AC6083" w14:textId="77777777" w:rsidR="0029614E" w:rsidRPr="004B0921" w:rsidRDefault="0029614E" w:rsidP="00267006">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48835AE" w14:textId="77777777" w:rsidR="0029614E" w:rsidRPr="004B0921" w:rsidRDefault="0029614E" w:rsidP="00267006">
            <w:pPr>
              <w:pStyle w:val="BodyText"/>
              <w:rPr>
                <w:rFonts w:ascii="Aptos" w:hAnsi="Aptos" w:cstheme="minorHAnsi"/>
                <w:color w:val="242424"/>
              </w:rPr>
            </w:pPr>
          </w:p>
        </w:tc>
        <w:tc>
          <w:tcPr>
            <w:tcW w:w="841" w:type="pct"/>
          </w:tcPr>
          <w:p w14:paraId="374DBEC0" w14:textId="3A918613" w:rsidR="0029614E" w:rsidRPr="004B0921" w:rsidRDefault="0029614E" w:rsidP="00267006">
            <w:pPr>
              <w:pStyle w:val="BodyText"/>
              <w:rPr>
                <w:rFonts w:ascii="Aptos" w:hAnsi="Aptos" w:cstheme="minorHAnsi"/>
                <w:color w:val="242424"/>
              </w:rPr>
            </w:pPr>
            <w:r w:rsidRPr="004B0921">
              <w:rPr>
                <w:rFonts w:ascii="Segoe UI Emoji" w:hAnsi="Segoe UI Emoji" w:cs="Segoe UI Emoji"/>
                <w:shd w:val="clear" w:color="auto" w:fill="FFFFFF"/>
              </w:rPr>
              <w:t>✔</w:t>
            </w:r>
          </w:p>
        </w:tc>
      </w:tr>
      <w:tr w:rsidR="0029614E" w14:paraId="5D72E5CA" w14:textId="3C9B9268" w:rsidTr="0029614E">
        <w:trPr>
          <w:trHeight w:val="20"/>
        </w:trPr>
        <w:tc>
          <w:tcPr>
            <w:tcW w:w="1177" w:type="pct"/>
          </w:tcPr>
          <w:p w14:paraId="725D807D" w14:textId="297F15F3" w:rsidR="0029614E" w:rsidRPr="004B0921" w:rsidRDefault="0029614E" w:rsidP="004B0921">
            <w:pPr>
              <w:pStyle w:val="BodyText"/>
              <w:rPr>
                <w:rFonts w:ascii="Aptos" w:hAnsi="Aptos" w:cstheme="minorHAnsi"/>
                <w:color w:val="242424"/>
                <w:sz w:val="22"/>
              </w:rPr>
            </w:pPr>
            <w:r>
              <w:rPr>
                <w:rFonts w:ascii="Aptos" w:hAnsi="Aptos" w:cstheme="minorHAnsi"/>
                <w:color w:val="242424"/>
                <w:sz w:val="22"/>
              </w:rPr>
              <w:t xml:space="preserve">Research </w:t>
            </w:r>
          </w:p>
        </w:tc>
        <w:tc>
          <w:tcPr>
            <w:tcW w:w="1022" w:type="pct"/>
          </w:tcPr>
          <w:p w14:paraId="0B79CBA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8171D58" w14:textId="77777777" w:rsidR="0029614E" w:rsidRPr="004B0921" w:rsidRDefault="0029614E" w:rsidP="00267006">
            <w:pPr>
              <w:pStyle w:val="BodyText"/>
              <w:rPr>
                <w:rFonts w:ascii="Aptos" w:hAnsi="Aptos" w:cstheme="minorHAnsi"/>
                <w:color w:val="242424"/>
              </w:rPr>
            </w:pPr>
          </w:p>
        </w:tc>
        <w:tc>
          <w:tcPr>
            <w:tcW w:w="980" w:type="pct"/>
          </w:tcPr>
          <w:p w14:paraId="5A862D8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9CD7C07" w14:textId="77777777" w:rsidR="0029614E" w:rsidRPr="004B0921" w:rsidRDefault="0029614E" w:rsidP="00267006">
            <w:pPr>
              <w:pStyle w:val="BodyText"/>
              <w:rPr>
                <w:rFonts w:ascii="Aptos" w:hAnsi="Aptos" w:cstheme="minorHAnsi"/>
                <w:color w:val="242424"/>
              </w:rPr>
            </w:pPr>
          </w:p>
        </w:tc>
        <w:tc>
          <w:tcPr>
            <w:tcW w:w="980" w:type="pct"/>
          </w:tcPr>
          <w:p w14:paraId="688DF49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B1C082F" w14:textId="77777777" w:rsidR="0029614E" w:rsidRPr="004B0921" w:rsidRDefault="0029614E" w:rsidP="00267006">
            <w:pPr>
              <w:pStyle w:val="BodyText"/>
              <w:rPr>
                <w:rFonts w:ascii="Aptos" w:hAnsi="Aptos" w:cstheme="minorHAnsi"/>
                <w:color w:val="242424"/>
              </w:rPr>
            </w:pPr>
          </w:p>
        </w:tc>
        <w:tc>
          <w:tcPr>
            <w:tcW w:w="841" w:type="pct"/>
          </w:tcPr>
          <w:p w14:paraId="3F2964BB"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74C84A3" w14:textId="28EDA03F" w:rsidR="0029614E" w:rsidRPr="004B0921" w:rsidRDefault="0029614E" w:rsidP="00267006">
            <w:pPr>
              <w:pStyle w:val="BodyText"/>
              <w:rPr>
                <w:rFonts w:ascii="Aptos" w:hAnsi="Aptos" w:cstheme="minorHAnsi"/>
                <w:color w:val="242424"/>
              </w:rPr>
            </w:pPr>
          </w:p>
        </w:tc>
      </w:tr>
      <w:tr w:rsidR="0029614E" w14:paraId="700BBC8C" w14:textId="77777777" w:rsidTr="0029614E">
        <w:trPr>
          <w:trHeight w:val="20"/>
        </w:trPr>
        <w:tc>
          <w:tcPr>
            <w:tcW w:w="1177" w:type="pct"/>
          </w:tcPr>
          <w:p w14:paraId="3D34D60E" w14:textId="3AE1709E" w:rsidR="0029614E" w:rsidRDefault="0029614E" w:rsidP="00A74BA7">
            <w:pPr>
              <w:pStyle w:val="BodyText"/>
              <w:rPr>
                <w:rFonts w:ascii="Aptos" w:hAnsi="Aptos" w:cstheme="minorHAnsi"/>
                <w:color w:val="242424"/>
                <w:sz w:val="22"/>
              </w:rPr>
            </w:pPr>
            <w:r>
              <w:rPr>
                <w:rFonts w:ascii="Aptos" w:hAnsi="Aptos" w:cstheme="minorHAnsi"/>
                <w:color w:val="242424"/>
                <w:sz w:val="22"/>
              </w:rPr>
              <w:t xml:space="preserve">Streamlining regulation </w:t>
            </w:r>
          </w:p>
        </w:tc>
        <w:tc>
          <w:tcPr>
            <w:tcW w:w="1022" w:type="pct"/>
          </w:tcPr>
          <w:p w14:paraId="14D2910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F04990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D11F90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E6F4F0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58B72AF"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F377CD5"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31BB883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EBCE78C"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7D50A716" w14:textId="77777777" w:rsidTr="0029614E">
        <w:trPr>
          <w:trHeight w:val="20"/>
        </w:trPr>
        <w:tc>
          <w:tcPr>
            <w:tcW w:w="1177" w:type="pct"/>
          </w:tcPr>
          <w:p w14:paraId="7952D75A" w14:textId="77777777" w:rsidR="0029614E" w:rsidRDefault="0029614E" w:rsidP="00A74BA7">
            <w:pPr>
              <w:pStyle w:val="BodyText"/>
              <w:rPr>
                <w:rFonts w:ascii="Aptos" w:hAnsi="Aptos" w:cstheme="minorHAnsi"/>
                <w:color w:val="242424"/>
                <w:sz w:val="22"/>
              </w:rPr>
            </w:pPr>
            <w:r w:rsidRPr="004B0921">
              <w:rPr>
                <w:rFonts w:ascii="Aptos" w:hAnsi="Aptos" w:cstheme="minorHAnsi"/>
                <w:color w:val="242424"/>
                <w:sz w:val="22"/>
              </w:rPr>
              <w:t>Quality standards/</w:t>
            </w:r>
          </w:p>
          <w:p w14:paraId="4E9E5C85" w14:textId="7A1C9BDE"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teaching quality</w:t>
            </w:r>
          </w:p>
        </w:tc>
        <w:tc>
          <w:tcPr>
            <w:tcW w:w="1022" w:type="pct"/>
          </w:tcPr>
          <w:p w14:paraId="3694947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C50489D"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7D0FE2E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EFE70E6"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580C408"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23DF46F"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17ED5A8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DD707BD"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6DD4131D" w14:textId="77777777" w:rsidTr="0029614E">
        <w:trPr>
          <w:trHeight w:val="20"/>
        </w:trPr>
        <w:tc>
          <w:tcPr>
            <w:tcW w:w="1177" w:type="pct"/>
          </w:tcPr>
          <w:p w14:paraId="12F525D0" w14:textId="0008B03B"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New providers, mergers</w:t>
            </w:r>
          </w:p>
        </w:tc>
        <w:tc>
          <w:tcPr>
            <w:tcW w:w="1022" w:type="pct"/>
          </w:tcPr>
          <w:p w14:paraId="685D7D1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B84E50" w14:textId="77777777" w:rsidR="0029614E" w:rsidRPr="004B0921" w:rsidRDefault="0029614E" w:rsidP="00A74BA7">
            <w:pPr>
              <w:pStyle w:val="BodyText"/>
              <w:rPr>
                <w:rFonts w:ascii="Aptos" w:hAnsi="Aptos" w:cstheme="minorHAnsi"/>
                <w:color w:val="242424"/>
              </w:rPr>
            </w:pPr>
          </w:p>
        </w:tc>
        <w:tc>
          <w:tcPr>
            <w:tcW w:w="980" w:type="pct"/>
          </w:tcPr>
          <w:p w14:paraId="65946A9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A14447" w14:textId="77777777" w:rsidR="0029614E" w:rsidRPr="004B0921" w:rsidRDefault="0029614E" w:rsidP="00A74BA7">
            <w:pPr>
              <w:pStyle w:val="BodyText"/>
              <w:rPr>
                <w:rFonts w:ascii="Aptos" w:hAnsi="Aptos" w:cstheme="minorHAnsi"/>
                <w:color w:val="242424"/>
              </w:rPr>
            </w:pPr>
          </w:p>
        </w:tc>
        <w:tc>
          <w:tcPr>
            <w:tcW w:w="980" w:type="pct"/>
          </w:tcPr>
          <w:p w14:paraId="09C91F4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3C5433E" w14:textId="77777777" w:rsidR="0029614E" w:rsidRPr="004B0921" w:rsidRDefault="0029614E" w:rsidP="00A74BA7">
            <w:pPr>
              <w:pStyle w:val="BodyText"/>
              <w:rPr>
                <w:rFonts w:ascii="Aptos" w:hAnsi="Aptos" w:cstheme="minorHAnsi"/>
                <w:color w:val="242424"/>
              </w:rPr>
            </w:pPr>
          </w:p>
        </w:tc>
        <w:tc>
          <w:tcPr>
            <w:tcW w:w="841" w:type="pct"/>
          </w:tcPr>
          <w:p w14:paraId="03C1E87F"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B16748"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19DB891C" w14:textId="77777777" w:rsidTr="0029614E">
        <w:trPr>
          <w:trHeight w:val="20"/>
        </w:trPr>
        <w:tc>
          <w:tcPr>
            <w:tcW w:w="1177" w:type="pct"/>
          </w:tcPr>
          <w:p w14:paraId="7BEE3731" w14:textId="615E73E6"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Low SES</w:t>
            </w:r>
          </w:p>
        </w:tc>
        <w:tc>
          <w:tcPr>
            <w:tcW w:w="1022" w:type="pct"/>
          </w:tcPr>
          <w:p w14:paraId="7F913AA2"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CC85626" w14:textId="77777777" w:rsidR="0029614E" w:rsidRPr="004B0921" w:rsidRDefault="0029614E" w:rsidP="00A74BA7">
            <w:pPr>
              <w:pStyle w:val="BodyText"/>
              <w:rPr>
                <w:rFonts w:ascii="Aptos" w:hAnsi="Aptos" w:cstheme="minorHAnsi"/>
                <w:color w:val="242424"/>
              </w:rPr>
            </w:pPr>
          </w:p>
        </w:tc>
        <w:tc>
          <w:tcPr>
            <w:tcW w:w="980" w:type="pct"/>
          </w:tcPr>
          <w:p w14:paraId="0183514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C9DD9AE" w14:textId="77777777" w:rsidR="0029614E" w:rsidRPr="004B0921" w:rsidRDefault="0029614E" w:rsidP="00A74BA7">
            <w:pPr>
              <w:pStyle w:val="BodyText"/>
              <w:rPr>
                <w:rFonts w:ascii="Aptos" w:hAnsi="Aptos" w:cstheme="minorHAnsi"/>
                <w:color w:val="242424"/>
              </w:rPr>
            </w:pPr>
          </w:p>
        </w:tc>
        <w:tc>
          <w:tcPr>
            <w:tcW w:w="980" w:type="pct"/>
          </w:tcPr>
          <w:p w14:paraId="25D14D4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EB4B503" w14:textId="77777777" w:rsidR="0029614E" w:rsidRPr="004B0921" w:rsidRDefault="0029614E" w:rsidP="00A74BA7">
            <w:pPr>
              <w:pStyle w:val="BodyText"/>
              <w:rPr>
                <w:rFonts w:ascii="Aptos" w:hAnsi="Aptos" w:cstheme="minorHAnsi"/>
                <w:color w:val="242424"/>
              </w:rPr>
            </w:pPr>
          </w:p>
        </w:tc>
        <w:tc>
          <w:tcPr>
            <w:tcW w:w="841" w:type="pct"/>
          </w:tcPr>
          <w:p w14:paraId="698EAA1B"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59114E6"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4F759DB8" w14:textId="77777777" w:rsidTr="0029614E">
        <w:trPr>
          <w:trHeight w:val="20"/>
        </w:trPr>
        <w:tc>
          <w:tcPr>
            <w:tcW w:w="1177" w:type="pct"/>
          </w:tcPr>
          <w:p w14:paraId="62628766" w14:textId="01D2B325"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 xml:space="preserve">Persons with disability </w:t>
            </w:r>
          </w:p>
        </w:tc>
        <w:tc>
          <w:tcPr>
            <w:tcW w:w="1022" w:type="pct"/>
          </w:tcPr>
          <w:p w14:paraId="0B2F4638"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8F13EC0" w14:textId="77777777" w:rsidR="0029614E" w:rsidRPr="004B0921" w:rsidRDefault="0029614E" w:rsidP="00A74BA7">
            <w:pPr>
              <w:pStyle w:val="BodyText"/>
              <w:rPr>
                <w:rFonts w:ascii="Aptos" w:hAnsi="Aptos" w:cstheme="minorHAnsi"/>
                <w:color w:val="242424"/>
              </w:rPr>
            </w:pPr>
          </w:p>
        </w:tc>
        <w:tc>
          <w:tcPr>
            <w:tcW w:w="980" w:type="pct"/>
          </w:tcPr>
          <w:p w14:paraId="2FA5998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A013EC3" w14:textId="77777777" w:rsidR="0029614E" w:rsidRPr="004B0921" w:rsidRDefault="0029614E" w:rsidP="00A74BA7">
            <w:pPr>
              <w:pStyle w:val="BodyText"/>
              <w:rPr>
                <w:rFonts w:ascii="Aptos" w:hAnsi="Aptos" w:cstheme="minorHAnsi"/>
                <w:color w:val="242424"/>
              </w:rPr>
            </w:pPr>
          </w:p>
        </w:tc>
        <w:tc>
          <w:tcPr>
            <w:tcW w:w="980" w:type="pct"/>
          </w:tcPr>
          <w:p w14:paraId="7EFFAFF0"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CD1B825" w14:textId="77777777" w:rsidR="0029614E" w:rsidRPr="004B0921" w:rsidRDefault="0029614E" w:rsidP="00A74BA7">
            <w:pPr>
              <w:pStyle w:val="BodyText"/>
              <w:rPr>
                <w:rFonts w:ascii="Aptos" w:hAnsi="Aptos" w:cstheme="minorHAnsi"/>
                <w:color w:val="242424"/>
              </w:rPr>
            </w:pPr>
          </w:p>
        </w:tc>
        <w:tc>
          <w:tcPr>
            <w:tcW w:w="841" w:type="pct"/>
          </w:tcPr>
          <w:p w14:paraId="320D8E5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4926692" w14:textId="77777777" w:rsidR="0029614E" w:rsidRPr="004B0921" w:rsidRDefault="0029614E" w:rsidP="00A74BA7">
            <w:pPr>
              <w:pStyle w:val="BodyText"/>
              <w:rPr>
                <w:shd w:val="clear" w:color="auto" w:fill="FFFFFF"/>
              </w:rPr>
            </w:pPr>
          </w:p>
        </w:tc>
      </w:tr>
      <w:tr w:rsidR="0029614E" w14:paraId="5CCB9B2F" w14:textId="77777777" w:rsidTr="0029614E">
        <w:trPr>
          <w:trHeight w:val="20"/>
        </w:trPr>
        <w:tc>
          <w:tcPr>
            <w:tcW w:w="1177" w:type="pct"/>
          </w:tcPr>
          <w:p w14:paraId="79F22C4D" w14:textId="73B03095"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 xml:space="preserve">University funding, finances and costing </w:t>
            </w:r>
          </w:p>
        </w:tc>
        <w:tc>
          <w:tcPr>
            <w:tcW w:w="1022" w:type="pct"/>
          </w:tcPr>
          <w:p w14:paraId="4944B725"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A9A8EDE"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6C32D962"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667AF17" w14:textId="77777777" w:rsidR="0029614E" w:rsidRPr="004B0921" w:rsidRDefault="0029614E" w:rsidP="00A74BA7">
            <w:pPr>
              <w:pStyle w:val="BodyText"/>
              <w:rPr>
                <w:rFonts w:ascii="Segoe UI Symbol" w:hAnsi="Segoe UI Symbol" w:cs="Segoe UI Symbol"/>
                <w:b/>
                <w:bCs/>
                <w:color w:val="000000"/>
                <w:spacing w:val="-5"/>
              </w:rPr>
            </w:pPr>
          </w:p>
        </w:tc>
        <w:tc>
          <w:tcPr>
            <w:tcW w:w="980" w:type="pct"/>
          </w:tcPr>
          <w:p w14:paraId="75CA87B9"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2B4FA66" w14:textId="77777777" w:rsidR="0029614E" w:rsidRPr="004B0921" w:rsidRDefault="0029614E" w:rsidP="00A74BA7">
            <w:pPr>
              <w:pStyle w:val="BodyText"/>
              <w:rPr>
                <w:rFonts w:ascii="Segoe UI Symbol" w:hAnsi="Segoe UI Symbol" w:cs="Segoe UI Symbol"/>
                <w:b/>
                <w:bCs/>
                <w:color w:val="000000"/>
                <w:spacing w:val="-5"/>
              </w:rPr>
            </w:pPr>
          </w:p>
        </w:tc>
        <w:tc>
          <w:tcPr>
            <w:tcW w:w="841" w:type="pct"/>
          </w:tcPr>
          <w:p w14:paraId="75C5BF9C"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3F6C40A"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4724E2E1" w14:textId="77777777" w:rsidTr="0029614E">
        <w:trPr>
          <w:trHeight w:val="20"/>
        </w:trPr>
        <w:tc>
          <w:tcPr>
            <w:tcW w:w="1177" w:type="pct"/>
          </w:tcPr>
          <w:p w14:paraId="7B5A5DED" w14:textId="55DCAF42"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 xml:space="preserve">Workforce </w:t>
            </w:r>
            <w:r>
              <w:rPr>
                <w:rFonts w:ascii="Aptos" w:hAnsi="Aptos" w:cstheme="minorHAnsi"/>
                <w:color w:val="242424"/>
                <w:sz w:val="22"/>
              </w:rPr>
              <w:t xml:space="preserve">&amp; </w:t>
            </w:r>
            <w:r w:rsidRPr="004B0921">
              <w:rPr>
                <w:rFonts w:ascii="Aptos" w:hAnsi="Aptos" w:cstheme="minorHAnsi"/>
                <w:color w:val="242424"/>
                <w:sz w:val="22"/>
              </w:rPr>
              <w:t xml:space="preserve">skills supply </w:t>
            </w:r>
          </w:p>
        </w:tc>
        <w:tc>
          <w:tcPr>
            <w:tcW w:w="1022" w:type="pct"/>
          </w:tcPr>
          <w:p w14:paraId="0E3C5670"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54D2553E" w14:textId="77777777" w:rsidR="0029614E" w:rsidRPr="004B0921" w:rsidRDefault="0029614E" w:rsidP="00A74BA7">
            <w:pPr>
              <w:pStyle w:val="BodyText"/>
              <w:rPr>
                <w:rFonts w:ascii="Aptos" w:hAnsi="Aptos" w:cstheme="minorHAnsi"/>
                <w:color w:val="242424"/>
              </w:rPr>
            </w:pPr>
          </w:p>
        </w:tc>
        <w:tc>
          <w:tcPr>
            <w:tcW w:w="980" w:type="pct"/>
          </w:tcPr>
          <w:p w14:paraId="3BCCC9E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41D0703" w14:textId="77777777" w:rsidR="0029614E" w:rsidRPr="004B0921" w:rsidRDefault="0029614E" w:rsidP="00A74BA7">
            <w:pPr>
              <w:pStyle w:val="BodyText"/>
              <w:rPr>
                <w:rFonts w:ascii="Aptos" w:hAnsi="Aptos" w:cstheme="minorHAnsi"/>
                <w:color w:val="242424"/>
              </w:rPr>
            </w:pPr>
          </w:p>
        </w:tc>
        <w:tc>
          <w:tcPr>
            <w:tcW w:w="980" w:type="pct"/>
          </w:tcPr>
          <w:p w14:paraId="3A6A53C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8A2CF9E" w14:textId="77777777" w:rsidR="0029614E" w:rsidRPr="004B0921" w:rsidRDefault="0029614E" w:rsidP="00A74BA7">
            <w:pPr>
              <w:pStyle w:val="BodyText"/>
              <w:rPr>
                <w:rFonts w:ascii="Aptos" w:hAnsi="Aptos" w:cstheme="minorHAnsi"/>
                <w:color w:val="242424"/>
              </w:rPr>
            </w:pPr>
          </w:p>
        </w:tc>
        <w:tc>
          <w:tcPr>
            <w:tcW w:w="841" w:type="pct"/>
          </w:tcPr>
          <w:p w14:paraId="1C1C96E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903857C" w14:textId="77777777" w:rsidR="0029614E" w:rsidRPr="004B0921" w:rsidRDefault="0029614E" w:rsidP="00A74BA7">
            <w:pPr>
              <w:pStyle w:val="BodyText"/>
              <w:rPr>
                <w:shd w:val="clear" w:color="auto" w:fill="FFFFFF"/>
              </w:rPr>
            </w:pPr>
          </w:p>
        </w:tc>
      </w:tr>
      <w:tr w:rsidR="0029614E" w14:paraId="651BFF8D" w14:textId="77777777" w:rsidTr="0029614E">
        <w:trPr>
          <w:trHeight w:val="20"/>
        </w:trPr>
        <w:tc>
          <w:tcPr>
            <w:tcW w:w="1177" w:type="pct"/>
          </w:tcPr>
          <w:p w14:paraId="619133DC" w14:textId="0B8FDC7B"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Education demand &amp; attainment</w:t>
            </w:r>
          </w:p>
        </w:tc>
        <w:tc>
          <w:tcPr>
            <w:tcW w:w="1022" w:type="pct"/>
          </w:tcPr>
          <w:p w14:paraId="290A083E"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1A7F778F" w14:textId="77777777" w:rsidR="0029614E" w:rsidRPr="004B0921" w:rsidRDefault="0029614E" w:rsidP="00A74BA7">
            <w:pPr>
              <w:pStyle w:val="BodyText"/>
              <w:rPr>
                <w:rFonts w:ascii="Aptos" w:hAnsi="Aptos" w:cstheme="minorHAnsi"/>
                <w:color w:val="242424"/>
              </w:rPr>
            </w:pPr>
          </w:p>
        </w:tc>
        <w:tc>
          <w:tcPr>
            <w:tcW w:w="980" w:type="pct"/>
          </w:tcPr>
          <w:p w14:paraId="00EAF6CA"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71A6D5C" w14:textId="77777777" w:rsidR="0029614E" w:rsidRPr="004B0921" w:rsidRDefault="0029614E" w:rsidP="00A74BA7">
            <w:pPr>
              <w:pStyle w:val="BodyText"/>
              <w:rPr>
                <w:rFonts w:ascii="Aptos" w:hAnsi="Aptos" w:cstheme="minorHAnsi"/>
                <w:color w:val="242424"/>
              </w:rPr>
            </w:pPr>
          </w:p>
        </w:tc>
        <w:tc>
          <w:tcPr>
            <w:tcW w:w="980" w:type="pct"/>
          </w:tcPr>
          <w:p w14:paraId="510A42B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BE2360B" w14:textId="77777777" w:rsidR="0029614E" w:rsidRPr="004B0921" w:rsidRDefault="0029614E" w:rsidP="00A74BA7">
            <w:pPr>
              <w:pStyle w:val="BodyText"/>
              <w:rPr>
                <w:rFonts w:ascii="Aptos" w:hAnsi="Aptos" w:cstheme="minorHAnsi"/>
                <w:color w:val="242424"/>
              </w:rPr>
            </w:pPr>
          </w:p>
        </w:tc>
        <w:tc>
          <w:tcPr>
            <w:tcW w:w="841" w:type="pct"/>
          </w:tcPr>
          <w:p w14:paraId="11ADCA6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04012BE" w14:textId="77777777" w:rsidR="0029614E" w:rsidRPr="004B0921" w:rsidRDefault="0029614E" w:rsidP="00A74BA7">
            <w:pPr>
              <w:pStyle w:val="BodyText"/>
              <w:rPr>
                <w:shd w:val="clear" w:color="auto" w:fill="FFFFFF"/>
              </w:rPr>
            </w:pPr>
          </w:p>
        </w:tc>
      </w:tr>
      <w:tr w:rsidR="0029614E" w14:paraId="7B8E9C65" w14:textId="77777777" w:rsidTr="0029614E">
        <w:trPr>
          <w:trHeight w:val="20"/>
        </w:trPr>
        <w:tc>
          <w:tcPr>
            <w:tcW w:w="1177" w:type="pct"/>
          </w:tcPr>
          <w:p w14:paraId="1E0F47C9" w14:textId="71185390" w:rsidR="0029614E" w:rsidRPr="004B0921" w:rsidRDefault="0029614E" w:rsidP="00A74BA7">
            <w:pPr>
              <w:pStyle w:val="BodyText"/>
              <w:rPr>
                <w:rFonts w:ascii="Aptos" w:hAnsi="Aptos" w:cstheme="minorHAnsi"/>
                <w:color w:val="242424"/>
                <w:sz w:val="22"/>
              </w:rPr>
            </w:pPr>
            <w:r w:rsidRPr="004B0921">
              <w:rPr>
                <w:rFonts w:ascii="Aptos" w:hAnsi="Aptos" w:cstheme="minorHAnsi"/>
                <w:color w:val="242424"/>
                <w:sz w:val="22"/>
              </w:rPr>
              <w:t>Higher education data</w:t>
            </w:r>
          </w:p>
        </w:tc>
        <w:tc>
          <w:tcPr>
            <w:tcW w:w="1022" w:type="pct"/>
          </w:tcPr>
          <w:p w14:paraId="4D4AB75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4B41BAF1" w14:textId="77777777" w:rsidR="0029614E" w:rsidRPr="004B0921" w:rsidRDefault="0029614E" w:rsidP="00A74BA7">
            <w:pPr>
              <w:pStyle w:val="BodyText"/>
              <w:rPr>
                <w:rFonts w:ascii="Aptos" w:hAnsi="Aptos" w:cstheme="minorHAnsi"/>
                <w:color w:val="242424"/>
              </w:rPr>
            </w:pPr>
          </w:p>
        </w:tc>
        <w:tc>
          <w:tcPr>
            <w:tcW w:w="980" w:type="pct"/>
          </w:tcPr>
          <w:p w14:paraId="46678FF1"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3AD8FFC" w14:textId="77777777" w:rsidR="0029614E" w:rsidRPr="004B0921" w:rsidRDefault="0029614E" w:rsidP="00A74BA7">
            <w:pPr>
              <w:pStyle w:val="BodyText"/>
              <w:rPr>
                <w:rFonts w:ascii="Aptos" w:hAnsi="Aptos" w:cstheme="minorHAnsi"/>
                <w:color w:val="242424"/>
              </w:rPr>
            </w:pPr>
          </w:p>
        </w:tc>
        <w:tc>
          <w:tcPr>
            <w:tcW w:w="980" w:type="pct"/>
          </w:tcPr>
          <w:p w14:paraId="0E09F18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2479879F" w14:textId="77777777" w:rsidR="0029614E" w:rsidRPr="004B0921" w:rsidRDefault="0029614E" w:rsidP="00A74BA7">
            <w:pPr>
              <w:pStyle w:val="BodyText"/>
              <w:rPr>
                <w:rFonts w:ascii="Aptos" w:hAnsi="Aptos" w:cstheme="minorHAnsi"/>
                <w:color w:val="242424"/>
              </w:rPr>
            </w:pPr>
          </w:p>
        </w:tc>
        <w:tc>
          <w:tcPr>
            <w:tcW w:w="841" w:type="pct"/>
          </w:tcPr>
          <w:p w14:paraId="2E82E3B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554A6C4" w14:textId="77777777" w:rsidR="0029614E" w:rsidRPr="004B0921" w:rsidRDefault="0029614E" w:rsidP="00A74BA7">
            <w:pPr>
              <w:pStyle w:val="BodyText"/>
              <w:rPr>
                <w:rFonts w:ascii="Segoe UI Symbol" w:hAnsi="Segoe UI Symbol" w:cs="Segoe UI Symbol"/>
                <w:b/>
                <w:bCs/>
                <w:color w:val="000000"/>
                <w:spacing w:val="-5"/>
              </w:rPr>
            </w:pPr>
          </w:p>
        </w:tc>
      </w:tr>
      <w:tr w:rsidR="0029614E" w14:paraId="5559AE55" w14:textId="77777777" w:rsidTr="0029614E">
        <w:trPr>
          <w:trHeight w:val="20"/>
        </w:trPr>
        <w:tc>
          <w:tcPr>
            <w:tcW w:w="1177" w:type="pct"/>
          </w:tcPr>
          <w:p w14:paraId="717369B4" w14:textId="753AB2D0" w:rsidR="0029614E" w:rsidRPr="004B0921" w:rsidRDefault="0029614E" w:rsidP="00A74BA7">
            <w:pPr>
              <w:pStyle w:val="BodyText"/>
              <w:rPr>
                <w:rFonts w:ascii="Aptos" w:hAnsi="Aptos" w:cstheme="minorHAnsi"/>
                <w:color w:val="242424"/>
                <w:sz w:val="22"/>
              </w:rPr>
            </w:pPr>
            <w:r>
              <w:rPr>
                <w:rFonts w:ascii="Aptos" w:hAnsi="Aptos" w:cstheme="minorHAnsi"/>
                <w:color w:val="242424"/>
                <w:sz w:val="22"/>
              </w:rPr>
              <w:t xml:space="preserve">International education </w:t>
            </w:r>
          </w:p>
        </w:tc>
        <w:tc>
          <w:tcPr>
            <w:tcW w:w="1022" w:type="pct"/>
          </w:tcPr>
          <w:p w14:paraId="67EAD277"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73AB0650" w14:textId="77777777" w:rsidR="0029614E" w:rsidRPr="004B0921" w:rsidRDefault="0029614E" w:rsidP="00A74BA7">
            <w:pPr>
              <w:pStyle w:val="BodyText"/>
              <w:rPr>
                <w:rFonts w:ascii="Aptos" w:hAnsi="Aptos" w:cstheme="minorHAnsi"/>
                <w:color w:val="242424"/>
              </w:rPr>
            </w:pPr>
          </w:p>
        </w:tc>
        <w:tc>
          <w:tcPr>
            <w:tcW w:w="980" w:type="pct"/>
          </w:tcPr>
          <w:p w14:paraId="369917A4"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031E28DF" w14:textId="77777777" w:rsidR="0029614E" w:rsidRPr="004B0921" w:rsidRDefault="0029614E" w:rsidP="00A74BA7">
            <w:pPr>
              <w:pStyle w:val="BodyText"/>
              <w:rPr>
                <w:rFonts w:ascii="Aptos" w:hAnsi="Aptos" w:cstheme="minorHAnsi"/>
                <w:color w:val="242424"/>
              </w:rPr>
            </w:pPr>
          </w:p>
        </w:tc>
        <w:tc>
          <w:tcPr>
            <w:tcW w:w="980" w:type="pct"/>
          </w:tcPr>
          <w:p w14:paraId="2A2CC473"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3712A597" w14:textId="77777777" w:rsidR="0029614E" w:rsidRPr="004B0921" w:rsidRDefault="0029614E" w:rsidP="00A74BA7">
            <w:pPr>
              <w:pStyle w:val="BodyText"/>
              <w:rPr>
                <w:rFonts w:ascii="Aptos" w:hAnsi="Aptos" w:cstheme="minorHAnsi"/>
                <w:color w:val="242424"/>
              </w:rPr>
            </w:pPr>
          </w:p>
        </w:tc>
        <w:tc>
          <w:tcPr>
            <w:tcW w:w="841" w:type="pct"/>
          </w:tcPr>
          <w:p w14:paraId="12792966" w14:textId="77777777" w:rsidR="0029614E" w:rsidRPr="004B0921" w:rsidRDefault="0029614E" w:rsidP="00A74BA7">
            <w:pPr>
              <w:pStyle w:val="BodyText"/>
              <w:rPr>
                <w:rFonts w:ascii="Playfair Display" w:eastAsia="Times New Roman" w:hAnsi="Playfair Display" w:cs="Times New Roman"/>
                <w:b/>
                <w:bCs/>
                <w:color w:val="000000"/>
                <w:spacing w:val="-5"/>
              </w:rPr>
            </w:pPr>
            <w:r w:rsidRPr="004B0921">
              <w:rPr>
                <w:rFonts w:ascii="Segoe UI Symbol" w:hAnsi="Segoe UI Symbol" w:cs="Segoe UI Symbol"/>
                <w:b/>
                <w:bCs/>
                <w:color w:val="000000"/>
                <w:spacing w:val="-5"/>
              </w:rPr>
              <w:t>✗</w:t>
            </w:r>
          </w:p>
          <w:p w14:paraId="61675CA2" w14:textId="77777777" w:rsidR="0029614E" w:rsidRPr="004B0921" w:rsidRDefault="0029614E" w:rsidP="00A74BA7">
            <w:pPr>
              <w:pStyle w:val="BodyText"/>
              <w:rPr>
                <w:rFonts w:ascii="Segoe UI Symbol" w:hAnsi="Segoe UI Symbol" w:cs="Segoe UI Symbol"/>
                <w:b/>
                <w:bCs/>
                <w:color w:val="000000"/>
                <w:spacing w:val="-5"/>
              </w:rPr>
            </w:pPr>
          </w:p>
        </w:tc>
      </w:tr>
    </w:tbl>
    <w:p w14:paraId="2095A99B" w14:textId="50CCEE4E" w:rsidR="004B0921" w:rsidRDefault="004B0921" w:rsidP="004B0921">
      <w:pPr>
        <w:pStyle w:val="Heading2"/>
      </w:pPr>
      <w:bookmarkStart w:id="78" w:name="_Toc219380937"/>
      <w:r>
        <w:lastRenderedPageBreak/>
        <w:t>Decision</w:t>
      </w:r>
      <w:r w:rsidR="004267BD">
        <w:t>-</w:t>
      </w:r>
      <w:r>
        <w:t>making within ATEC</w:t>
      </w:r>
      <w:bookmarkEnd w:id="78"/>
      <w:r>
        <w:t xml:space="preserve"> </w:t>
      </w:r>
    </w:p>
    <w:p w14:paraId="291D1C30" w14:textId="354D21A3" w:rsidR="004B0921" w:rsidRDefault="004B0921" w:rsidP="004B0921">
      <w:r>
        <w:t xml:space="preserve">The limitations of ATEC </w:t>
      </w:r>
      <w:r w:rsidR="000B37BC">
        <w:t xml:space="preserve">commissioner expertise are exacerbated by its decision-making process, which can easily create situations where </w:t>
      </w:r>
      <w:r w:rsidR="008E0BE7">
        <w:t>one</w:t>
      </w:r>
      <w:r w:rsidR="000B37BC">
        <w:t xml:space="preserve"> </w:t>
      </w:r>
      <w:r w:rsidR="008E0BE7">
        <w:t>co</w:t>
      </w:r>
      <w:r w:rsidR="000B37BC">
        <w:t xml:space="preserve">mmissioner alone makes decisions. </w:t>
      </w:r>
    </w:p>
    <w:p w14:paraId="586A2FAB" w14:textId="7CB3A6F5" w:rsidR="000B37BC" w:rsidRDefault="000B37BC" w:rsidP="004B0921"/>
    <w:p w14:paraId="1318FE2B" w14:textId="24D43D73" w:rsidR="000B37BC" w:rsidRDefault="000B37BC" w:rsidP="004B0921">
      <w:pPr>
        <w:rPr>
          <w:rFonts w:ascii="Aptos" w:hAnsi="Aptos" w:cstheme="minorHAnsi"/>
          <w:color w:val="242424"/>
          <w:szCs w:val="24"/>
        </w:rPr>
      </w:pPr>
      <w:r>
        <w:t xml:space="preserve">A quorum exists when a majority of ATEC commissioners are present, that is two </w:t>
      </w:r>
      <w:r w:rsidR="008E0BE7">
        <w:t xml:space="preserve">out of three </w:t>
      </w:r>
      <w:r>
        <w:t xml:space="preserve">commissioners: section 50(1)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p>
    <w:p w14:paraId="7D46359F" w14:textId="09841498" w:rsidR="008E0BE7" w:rsidRDefault="008E0BE7" w:rsidP="004B0921">
      <w:pPr>
        <w:rPr>
          <w:rFonts w:ascii="Aptos" w:hAnsi="Aptos" w:cstheme="minorHAnsi"/>
          <w:color w:val="242424"/>
          <w:szCs w:val="24"/>
        </w:rPr>
      </w:pPr>
    </w:p>
    <w:p w14:paraId="2B16BA33" w14:textId="4CE7881F" w:rsidR="008E0BE7" w:rsidRDefault="008E0BE7" w:rsidP="004B0921">
      <w:pPr>
        <w:rPr>
          <w:rFonts w:ascii="Aptos" w:hAnsi="Aptos" w:cstheme="minorHAnsi"/>
          <w:color w:val="242424"/>
          <w:szCs w:val="24"/>
        </w:rPr>
      </w:pPr>
      <w:r>
        <w:rPr>
          <w:rFonts w:ascii="Aptos" w:hAnsi="Aptos" w:cstheme="minorHAnsi"/>
          <w:color w:val="242424"/>
          <w:szCs w:val="24"/>
        </w:rPr>
        <w:t xml:space="preserve">If the Chief Commissioner is not present, he or she must appoint another ATEC commissioner to </w:t>
      </w:r>
      <w:proofErr w:type="gramStart"/>
      <w:r>
        <w:rPr>
          <w:rFonts w:ascii="Aptos" w:hAnsi="Aptos" w:cstheme="minorHAnsi"/>
          <w:color w:val="242424"/>
          <w:szCs w:val="24"/>
        </w:rPr>
        <w:t>preside:</w:t>
      </w:r>
      <w:proofErr w:type="gramEnd"/>
      <w:r>
        <w:rPr>
          <w:rFonts w:ascii="Aptos" w:hAnsi="Aptos" w:cstheme="minorHAnsi"/>
          <w:color w:val="242424"/>
          <w:szCs w:val="24"/>
        </w:rPr>
        <w:t xml:space="preserve"> section 49(2).</w:t>
      </w:r>
    </w:p>
    <w:p w14:paraId="695DDACF" w14:textId="50A03753" w:rsidR="008E0BE7" w:rsidRDefault="008E0BE7" w:rsidP="004B0921">
      <w:pPr>
        <w:rPr>
          <w:rFonts w:ascii="Aptos" w:hAnsi="Aptos" w:cstheme="minorHAnsi"/>
          <w:color w:val="242424"/>
          <w:szCs w:val="24"/>
        </w:rPr>
      </w:pPr>
    </w:p>
    <w:p w14:paraId="2D775C38" w14:textId="1AF1F1F8" w:rsidR="008E0BE7" w:rsidRDefault="008E0BE7" w:rsidP="004B0921">
      <w:pPr>
        <w:rPr>
          <w:rFonts w:ascii="Aptos" w:hAnsi="Aptos" w:cstheme="minorHAnsi"/>
          <w:color w:val="242424"/>
          <w:szCs w:val="24"/>
        </w:rPr>
      </w:pPr>
      <w:r>
        <w:rPr>
          <w:rFonts w:ascii="Aptos" w:hAnsi="Aptos" w:cstheme="minorHAnsi"/>
          <w:color w:val="242424"/>
          <w:szCs w:val="24"/>
        </w:rPr>
        <w:t xml:space="preserve">If there is </w:t>
      </w:r>
      <w:r w:rsidR="00A47B5B">
        <w:rPr>
          <w:rFonts w:ascii="Aptos" w:hAnsi="Aptos" w:cstheme="minorHAnsi"/>
          <w:color w:val="242424"/>
          <w:szCs w:val="24"/>
        </w:rPr>
        <w:t xml:space="preserve">a </w:t>
      </w:r>
      <w:r>
        <w:rPr>
          <w:rFonts w:ascii="Aptos" w:hAnsi="Aptos" w:cstheme="minorHAnsi"/>
          <w:color w:val="242424"/>
          <w:szCs w:val="24"/>
        </w:rPr>
        <w:t>tied vote the person presiding has a casting vote: section 51(</w:t>
      </w:r>
      <w:r w:rsidR="00911B5D">
        <w:rPr>
          <w:rFonts w:ascii="Aptos" w:hAnsi="Aptos" w:cstheme="minorHAnsi"/>
          <w:color w:val="242424"/>
          <w:szCs w:val="24"/>
        </w:rPr>
        <w:t>2</w:t>
      </w:r>
      <w:r>
        <w:rPr>
          <w:rFonts w:ascii="Aptos" w:hAnsi="Aptos" w:cstheme="minorHAnsi"/>
          <w:color w:val="242424"/>
          <w:szCs w:val="24"/>
        </w:rPr>
        <w:t>).</w:t>
      </w:r>
    </w:p>
    <w:p w14:paraId="2439BAE8" w14:textId="55C42076" w:rsidR="008E0BE7" w:rsidRDefault="008E0BE7" w:rsidP="004B0921">
      <w:pPr>
        <w:rPr>
          <w:rFonts w:ascii="Aptos" w:hAnsi="Aptos" w:cstheme="minorHAnsi"/>
          <w:color w:val="242424"/>
          <w:szCs w:val="24"/>
        </w:rPr>
      </w:pPr>
    </w:p>
    <w:p w14:paraId="601E21F6" w14:textId="795FC5F3" w:rsidR="008E0BE7" w:rsidRDefault="008E0BE7" w:rsidP="004B0921">
      <w:pPr>
        <w:rPr>
          <w:rFonts w:ascii="Aptos" w:hAnsi="Aptos" w:cstheme="minorHAnsi"/>
          <w:color w:val="242424"/>
          <w:szCs w:val="24"/>
        </w:rPr>
      </w:pPr>
      <w:proofErr w:type="gramStart"/>
      <w:r>
        <w:rPr>
          <w:rFonts w:ascii="Aptos" w:hAnsi="Aptos" w:cstheme="minorHAnsi"/>
          <w:color w:val="242424"/>
          <w:szCs w:val="24"/>
        </w:rPr>
        <w:t>So</w:t>
      </w:r>
      <w:proofErr w:type="gramEnd"/>
      <w:r>
        <w:rPr>
          <w:rFonts w:ascii="Aptos" w:hAnsi="Aptos" w:cstheme="minorHAnsi"/>
          <w:color w:val="242424"/>
          <w:szCs w:val="24"/>
        </w:rPr>
        <w:t xml:space="preserve"> in a </w:t>
      </w:r>
      <w:proofErr w:type="gramStart"/>
      <w:r>
        <w:rPr>
          <w:rFonts w:ascii="Aptos" w:hAnsi="Aptos" w:cstheme="minorHAnsi"/>
          <w:color w:val="242424"/>
          <w:szCs w:val="24"/>
        </w:rPr>
        <w:t>two person</w:t>
      </w:r>
      <w:proofErr w:type="gramEnd"/>
      <w:r>
        <w:rPr>
          <w:rFonts w:ascii="Aptos" w:hAnsi="Aptos" w:cstheme="minorHAnsi"/>
          <w:color w:val="242424"/>
          <w:szCs w:val="24"/>
        </w:rPr>
        <w:t xml:space="preserve"> meeting the commissioner in the chair is effectively the sole decision maker. </w:t>
      </w:r>
    </w:p>
    <w:p w14:paraId="6A3A0405" w14:textId="4EB920B0" w:rsidR="00CB4EDE" w:rsidRDefault="00CB4EDE" w:rsidP="004B0921">
      <w:pPr>
        <w:rPr>
          <w:rFonts w:ascii="Aptos" w:hAnsi="Aptos" w:cstheme="minorHAnsi"/>
          <w:color w:val="242424"/>
          <w:szCs w:val="24"/>
        </w:rPr>
      </w:pPr>
    </w:p>
    <w:p w14:paraId="0780ED1F" w14:textId="718614C4" w:rsidR="008907D8" w:rsidRDefault="00CB4EDE" w:rsidP="008907D8">
      <w:pPr>
        <w:rPr>
          <w:rFonts w:ascii="Aptos" w:hAnsi="Aptos" w:cstheme="minorHAnsi"/>
          <w:color w:val="242424"/>
          <w:szCs w:val="24"/>
        </w:rPr>
      </w:pPr>
      <w:r>
        <w:rPr>
          <w:rFonts w:ascii="Aptos" w:hAnsi="Aptos" w:cstheme="minorHAnsi"/>
          <w:color w:val="242424"/>
          <w:szCs w:val="24"/>
        </w:rPr>
        <w:t xml:space="preserve">An ATEC commissioner must </w:t>
      </w:r>
      <w:r w:rsidR="008907D8">
        <w:rPr>
          <w:rFonts w:ascii="Aptos" w:hAnsi="Aptos" w:cstheme="minorHAnsi"/>
          <w:color w:val="242424"/>
          <w:szCs w:val="24"/>
        </w:rPr>
        <w:t xml:space="preserve">normally </w:t>
      </w:r>
      <w:r>
        <w:rPr>
          <w:rFonts w:ascii="Aptos" w:hAnsi="Aptos" w:cstheme="minorHAnsi"/>
          <w:color w:val="242424"/>
          <w:szCs w:val="24"/>
        </w:rPr>
        <w:t xml:space="preserve">leave the meeting if he or she has a </w:t>
      </w:r>
      <w:r w:rsidR="008907D8">
        <w:rPr>
          <w:rFonts w:ascii="Aptos" w:hAnsi="Aptos" w:cstheme="minorHAnsi"/>
          <w:color w:val="242424"/>
          <w:szCs w:val="24"/>
        </w:rPr>
        <w:t xml:space="preserve">conflict of interest: section 15(2) </w:t>
      </w:r>
      <w:r w:rsidR="008907D8">
        <w:rPr>
          <w:rFonts w:ascii="Aptos" w:hAnsi="Aptos" w:cstheme="minorHAnsi"/>
          <w:i/>
          <w:iCs/>
          <w:color w:val="242424"/>
          <w:szCs w:val="24"/>
        </w:rPr>
        <w:t xml:space="preserve">Public Governance, Performance and Accountability Rule 2014. </w:t>
      </w:r>
      <w:r w:rsidR="008907D8">
        <w:rPr>
          <w:rFonts w:ascii="Aptos" w:hAnsi="Aptos" w:cstheme="minorHAnsi"/>
          <w:color w:val="242424"/>
          <w:szCs w:val="24"/>
        </w:rPr>
        <w:t>In this case the meeting is deemed still to have quorum</w:t>
      </w:r>
      <w:r w:rsidR="00911B5D">
        <w:rPr>
          <w:rFonts w:ascii="Aptos" w:hAnsi="Aptos" w:cstheme="minorHAnsi"/>
          <w:color w:val="242424"/>
          <w:szCs w:val="24"/>
        </w:rPr>
        <w:t xml:space="preserve"> for that matter</w:t>
      </w:r>
      <w:r w:rsidR="008907D8">
        <w:rPr>
          <w:rFonts w:ascii="Aptos" w:hAnsi="Aptos" w:cstheme="minorHAnsi"/>
          <w:color w:val="242424"/>
          <w:szCs w:val="24"/>
        </w:rPr>
        <w:t xml:space="preserve">: section 50(2) </w:t>
      </w:r>
      <w:r w:rsidR="008907D8" w:rsidRPr="003477B6">
        <w:rPr>
          <w:rFonts w:ascii="Aptos" w:hAnsi="Aptos" w:cstheme="minorHAnsi"/>
          <w:i/>
          <w:iCs/>
          <w:color w:val="242424"/>
          <w:szCs w:val="24"/>
        </w:rPr>
        <w:t>Universities Accord (Australian Tertiary Education Commission) Bill 2025</w:t>
      </w:r>
      <w:r w:rsidR="008907D8">
        <w:rPr>
          <w:rFonts w:ascii="Aptos" w:hAnsi="Aptos" w:cstheme="minorHAnsi"/>
          <w:color w:val="242424"/>
          <w:szCs w:val="24"/>
        </w:rPr>
        <w:t xml:space="preserve">. </w:t>
      </w:r>
    </w:p>
    <w:p w14:paraId="07CFB60A" w14:textId="308792E1" w:rsidR="008E0BE7" w:rsidRDefault="008E0BE7" w:rsidP="004B0921">
      <w:pPr>
        <w:rPr>
          <w:rFonts w:ascii="Aptos" w:hAnsi="Aptos" w:cstheme="minorHAnsi"/>
          <w:color w:val="242424"/>
          <w:szCs w:val="24"/>
        </w:rPr>
      </w:pPr>
    </w:p>
    <w:p w14:paraId="5C1A9CED" w14:textId="4C227AFA" w:rsidR="008E0BE7" w:rsidRDefault="008E0BE7" w:rsidP="004B0921">
      <w:pPr>
        <w:rPr>
          <w:rFonts w:ascii="Aptos" w:hAnsi="Aptos" w:cstheme="minorHAnsi"/>
          <w:color w:val="242424"/>
          <w:szCs w:val="24"/>
        </w:rPr>
      </w:pPr>
      <w:r>
        <w:rPr>
          <w:rFonts w:ascii="Aptos" w:hAnsi="Aptos" w:cstheme="minorHAnsi"/>
          <w:color w:val="242424"/>
          <w:szCs w:val="24"/>
        </w:rPr>
        <w:t>With the commissioner position being part-time</w:t>
      </w:r>
      <w:r w:rsidR="004556C3">
        <w:rPr>
          <w:rFonts w:ascii="Aptos" w:hAnsi="Aptos" w:cstheme="minorHAnsi"/>
          <w:color w:val="242424"/>
          <w:szCs w:val="24"/>
        </w:rPr>
        <w:t>,</w:t>
      </w:r>
      <w:r>
        <w:rPr>
          <w:rFonts w:ascii="Aptos" w:hAnsi="Aptos" w:cstheme="minorHAnsi"/>
          <w:color w:val="242424"/>
          <w:szCs w:val="24"/>
        </w:rPr>
        <w:t xml:space="preserve"> with the other two commissioners entitled to annual and sick leave, </w:t>
      </w:r>
      <w:r w:rsidR="004556C3">
        <w:rPr>
          <w:rFonts w:ascii="Aptos" w:hAnsi="Aptos" w:cstheme="minorHAnsi"/>
          <w:color w:val="242424"/>
          <w:szCs w:val="24"/>
        </w:rPr>
        <w:t xml:space="preserve">and temporary meeting absences due to conflicts of interest, </w:t>
      </w:r>
      <w:r w:rsidR="005C2C26">
        <w:rPr>
          <w:rFonts w:ascii="Aptos" w:hAnsi="Aptos" w:cstheme="minorHAnsi"/>
          <w:color w:val="242424"/>
          <w:szCs w:val="24"/>
        </w:rPr>
        <w:t>two-person meetings are likely during a year.</w:t>
      </w:r>
    </w:p>
    <w:p w14:paraId="012EE8CF" w14:textId="7FA610C8" w:rsidR="005C2C26" w:rsidRDefault="005C2C26" w:rsidP="004B0921">
      <w:pPr>
        <w:rPr>
          <w:rFonts w:ascii="Aptos" w:hAnsi="Aptos" w:cstheme="minorHAnsi"/>
          <w:color w:val="242424"/>
          <w:szCs w:val="24"/>
        </w:rPr>
      </w:pPr>
    </w:p>
    <w:p w14:paraId="20DEC2B8" w14:textId="601ED15D" w:rsidR="005C2C26" w:rsidRDefault="005C2C26" w:rsidP="005C2C26">
      <w:pPr>
        <w:pStyle w:val="Heading2"/>
      </w:pPr>
      <w:bookmarkStart w:id="79" w:name="_Toc219380938"/>
      <w:r>
        <w:t>Increasing the number of commissioners</w:t>
      </w:r>
      <w:bookmarkEnd w:id="79"/>
      <w:r>
        <w:t xml:space="preserve"> </w:t>
      </w:r>
    </w:p>
    <w:p w14:paraId="01B6C042" w14:textId="08AADA30" w:rsidR="00C90828" w:rsidRDefault="005C2C26" w:rsidP="005C2C26">
      <w:r>
        <w:t>An increase</w:t>
      </w:r>
      <w:r w:rsidR="00C01395">
        <w:t xml:space="preserve">d </w:t>
      </w:r>
      <w:r>
        <w:t xml:space="preserve">number of commissioners </w:t>
      </w:r>
      <w:r w:rsidR="00CD2E8F">
        <w:t>would</w:t>
      </w:r>
      <w:r>
        <w:t xml:space="preserve"> broaden the collective skill base of the ATEC leadership and avoid solo decision making.</w:t>
      </w:r>
      <w:r w:rsidR="00CD2E8F">
        <w:t xml:space="preserve"> </w:t>
      </w:r>
      <w:r w:rsidR="005810A6">
        <w:t>Four commissioners would significantly reduce this risk</w:t>
      </w:r>
      <w:r w:rsidR="00911B5D">
        <w:t xml:space="preserve"> by lifting the quorum to three and making tied votes impossible, unless a member had to abstain under section 50(2). </w:t>
      </w:r>
      <w:r w:rsidR="005810A6">
        <w:t xml:space="preserve">TEQSA also has four commissioners. </w:t>
      </w:r>
    </w:p>
    <w:p w14:paraId="506A1548" w14:textId="77777777" w:rsidR="00C90828" w:rsidRDefault="00C90828" w:rsidP="005C2C26"/>
    <w:p w14:paraId="207533C5" w14:textId="1D811245" w:rsidR="00C90828" w:rsidRDefault="00C90828" w:rsidP="00C90828">
      <w:pPr>
        <w:rPr>
          <w:rFonts w:ascii="Aptos" w:hAnsi="Aptos" w:cstheme="minorHAnsi"/>
          <w:color w:val="242424"/>
          <w:szCs w:val="24"/>
        </w:rPr>
      </w:pPr>
      <w:r>
        <w:t xml:space="preserve">Creating flexibility to appoint ATEC commissioners on a full-time as well as part-time basis (as is the case for TEQSA) could reduce problems with scheduling commissioner meetings and increase the pool of potential commissioners. The current requirement for part-time employment excludes potential candidates who need or prefer full-time work, especially as the bill’s conflict of interest provisions would restrict most other uses of their expertise: section 63(2):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w:t>
      </w:r>
    </w:p>
    <w:p w14:paraId="1952C011" w14:textId="4B4FDD0A" w:rsidR="00FD5E1C" w:rsidRDefault="00FD5E1C" w:rsidP="005C2C26"/>
    <w:p w14:paraId="5CECCD3F" w14:textId="77777777" w:rsidR="00FD5E1C" w:rsidRDefault="00FD5E1C">
      <w:r>
        <w:br w:type="page"/>
      </w:r>
    </w:p>
    <w:p w14:paraId="293965DC" w14:textId="77777777" w:rsidR="005C2C26" w:rsidRDefault="005C2C26" w:rsidP="005C2C26"/>
    <w:p w14:paraId="57C59031" w14:textId="51398F5A" w:rsidR="003D7B60" w:rsidRDefault="003D7B60" w:rsidP="005C2C26"/>
    <w:p w14:paraId="5685881E" w14:textId="23336AB1" w:rsidR="005C2C26" w:rsidRDefault="005C2C26" w:rsidP="005C2C26">
      <w:r>
        <w:t>Recommendations:</w:t>
      </w:r>
    </w:p>
    <w:p w14:paraId="07A49190" w14:textId="4F70E893" w:rsidR="005C2C26" w:rsidRDefault="005C2C26" w:rsidP="005C2C26"/>
    <w:p w14:paraId="39973023" w14:textId="740B2A22" w:rsidR="005C2C26" w:rsidRDefault="005C2C26" w:rsidP="005C2C26">
      <w:r>
        <w:t>Increase the</w:t>
      </w:r>
      <w:r w:rsidR="005810A6">
        <w:t xml:space="preserve"> number of ATEC commissioners to four</w:t>
      </w:r>
      <w:r w:rsidR="00C90828">
        <w:t xml:space="preserve"> (amendment to section 58).</w:t>
      </w:r>
    </w:p>
    <w:p w14:paraId="3BCDD7A8" w14:textId="77777777" w:rsidR="00343957" w:rsidRDefault="00343957" w:rsidP="005C2C26"/>
    <w:p w14:paraId="714124EF" w14:textId="3DE977B5" w:rsidR="00343957" w:rsidRDefault="00343957" w:rsidP="005C2C26">
      <w:r>
        <w:t>Allow commissioners to be employed on a full-time or a part-time basis (amendment to section 58(1))</w:t>
      </w:r>
    </w:p>
    <w:p w14:paraId="11EF183F" w14:textId="04450BE4" w:rsidR="005810A6" w:rsidRDefault="005810A6" w:rsidP="005C2C26"/>
    <w:p w14:paraId="67E5CED7" w14:textId="6F5A4F36" w:rsidR="005810A6" w:rsidRDefault="005810A6" w:rsidP="005C2C26">
      <w:r>
        <w:t xml:space="preserve">Require all ATEC commissioners to have expertise in higher </w:t>
      </w:r>
      <w:r w:rsidR="00C90828">
        <w:t xml:space="preserve">education (changes needed to </w:t>
      </w:r>
      <w:proofErr w:type="gramStart"/>
      <w:r w:rsidR="00C90828">
        <w:t>sections</w:t>
      </w:r>
      <w:proofErr w:type="gramEnd"/>
      <w:r w:rsidR="00C90828">
        <w:t xml:space="preserve"> 57(3)(e) and </w:t>
      </w:r>
      <w:r w:rsidR="00B0729A">
        <w:t>58(3)(c)).</w:t>
      </w:r>
    </w:p>
    <w:p w14:paraId="660EDEBC" w14:textId="77777777" w:rsidR="005810A6" w:rsidRDefault="005810A6" w:rsidP="005810A6"/>
    <w:p w14:paraId="7FECC4EC" w14:textId="47E2CE25" w:rsidR="005810A6" w:rsidRDefault="005810A6" w:rsidP="005810A6">
      <w:r>
        <w:t xml:space="preserve">Remove the requirement </w:t>
      </w:r>
      <w:r w:rsidR="00B0729A">
        <w:t xml:space="preserve">for VET expertise (changes needed to </w:t>
      </w:r>
      <w:proofErr w:type="gramStart"/>
      <w:r w:rsidR="00B0729A">
        <w:t>sections</w:t>
      </w:r>
      <w:proofErr w:type="gramEnd"/>
      <w:r w:rsidR="00B0729A">
        <w:t xml:space="preserve"> 57(3)(e) and 58(3)(c)).</w:t>
      </w:r>
    </w:p>
    <w:p w14:paraId="532EDF0F" w14:textId="483017A4" w:rsidR="005810A6" w:rsidRDefault="005810A6" w:rsidP="005C2C26"/>
    <w:p w14:paraId="7807DC92" w14:textId="6CD70638" w:rsidR="005810A6" w:rsidRDefault="005810A6" w:rsidP="005C2C26">
      <w:r>
        <w:t>Require at least one ATEC commissioner to have expertise in research</w:t>
      </w:r>
      <w:r w:rsidR="00B0729A">
        <w:t xml:space="preserve"> (change needed to section 59)</w:t>
      </w:r>
      <w:r>
        <w:t>.</w:t>
      </w:r>
    </w:p>
    <w:p w14:paraId="7F40DFAA" w14:textId="76D16B80" w:rsidR="005810A6" w:rsidRDefault="005810A6" w:rsidP="005C2C26"/>
    <w:p w14:paraId="0B2A3D7F" w14:textId="35256185" w:rsidR="001666BE" w:rsidRDefault="005810A6" w:rsidP="00B0729A">
      <w:r>
        <w:t>Require at least one ATEC commissioner to have expertise in equity</w:t>
      </w:r>
      <w:r w:rsidR="00B0729A">
        <w:t xml:space="preserve"> (change needed to section 59).</w:t>
      </w:r>
    </w:p>
    <w:p w14:paraId="761B0946" w14:textId="77777777" w:rsidR="001666BE" w:rsidRDefault="001666BE">
      <w:r>
        <w:br w:type="page"/>
      </w:r>
    </w:p>
    <w:p w14:paraId="14D6A5FA" w14:textId="77777777" w:rsidR="00C3337B" w:rsidRPr="00BB4DD5" w:rsidRDefault="00C3337B" w:rsidP="00C3337B">
      <w:pPr>
        <w:pStyle w:val="Heading1"/>
        <w:numPr>
          <w:ilvl w:val="0"/>
          <w:numId w:val="7"/>
        </w:numPr>
        <w:ind w:left="357" w:hanging="357"/>
        <w:rPr>
          <w:rFonts w:ascii="Aptos" w:hAnsi="Aptos"/>
        </w:rPr>
      </w:pPr>
      <w:bookmarkStart w:id="80" w:name="_Ref218603899"/>
      <w:bookmarkStart w:id="81" w:name="_Toc219380939"/>
      <w:r w:rsidRPr="00BB4DD5">
        <w:rPr>
          <w:rFonts w:ascii="Aptos" w:hAnsi="Aptos" w:cstheme="minorHAnsi"/>
          <w:color w:val="4F81BD" w:themeColor="accent1"/>
          <w:sz w:val="32"/>
          <w:szCs w:val="32"/>
        </w:rPr>
        <w:lastRenderedPageBreak/>
        <w:t>ATEC</w:t>
      </w:r>
      <w:r>
        <w:rPr>
          <w:rFonts w:ascii="Aptos" w:hAnsi="Aptos" w:cstheme="minorHAnsi"/>
          <w:color w:val="4F81BD" w:themeColor="accent1"/>
          <w:sz w:val="32"/>
          <w:szCs w:val="32"/>
        </w:rPr>
        <w:t>’s advisory role and independence</w:t>
      </w:r>
      <w:bookmarkEnd w:id="80"/>
      <w:bookmarkEnd w:id="81"/>
      <w:r>
        <w:rPr>
          <w:rFonts w:ascii="Aptos" w:hAnsi="Aptos" w:cstheme="minorHAnsi"/>
          <w:color w:val="4F81BD" w:themeColor="accent1"/>
          <w:sz w:val="32"/>
          <w:szCs w:val="32"/>
        </w:rPr>
        <w:t xml:space="preserve"> </w:t>
      </w:r>
    </w:p>
    <w:p w14:paraId="09AA142E" w14:textId="77777777" w:rsidR="00C3337B" w:rsidRDefault="00C3337B" w:rsidP="00C3337B">
      <w:pPr>
        <w:rPr>
          <w:rFonts w:ascii="Aptos" w:hAnsi="Aptos"/>
        </w:rPr>
      </w:pPr>
    </w:p>
    <w:p w14:paraId="5CD4F091" w14:textId="59247B68" w:rsidR="00C3337B" w:rsidRDefault="00C3337B" w:rsidP="00C3337B">
      <w:pPr>
        <w:rPr>
          <w:rFonts w:ascii="Aptos" w:hAnsi="Aptos"/>
        </w:rPr>
      </w:pPr>
      <w:r w:rsidRPr="00336818">
        <w:rPr>
          <w:rFonts w:ascii="Aptos" w:hAnsi="Aptos"/>
          <w:shd w:val="clear" w:color="auto" w:fill="FFFFFF"/>
        </w:rPr>
        <w:t>The </w:t>
      </w:r>
      <w:r w:rsidRPr="00343957">
        <w:rPr>
          <w:rFonts w:ascii="Aptos" w:hAnsi="Aptos"/>
          <w:i/>
          <w:iCs/>
          <w:bdr w:val="none" w:sz="0" w:space="0" w:color="auto" w:frame="1"/>
          <w:shd w:val="clear" w:color="auto" w:fill="FFFFFF"/>
        </w:rPr>
        <w:t>Universities Accord Final Report</w:t>
      </w:r>
      <w:r w:rsidRPr="00336818">
        <w:rPr>
          <w:rFonts w:ascii="Aptos" w:hAnsi="Aptos"/>
          <w:shd w:val="clear" w:color="auto" w:fill="FFFFFF"/>
        </w:rPr>
        <w:t> recommended that ATEC be an ‘</w:t>
      </w:r>
      <w:r w:rsidRPr="00C3337B">
        <w:rPr>
          <w:rFonts w:ascii="Aptos" w:hAnsi="Aptos"/>
          <w:i/>
          <w:iCs/>
          <w:shd w:val="clear" w:color="auto" w:fill="FFFFFF"/>
        </w:rPr>
        <w:t>independent</w:t>
      </w:r>
      <w:r w:rsidRPr="00336818">
        <w:rPr>
          <w:rFonts w:ascii="Aptos" w:hAnsi="Aptos"/>
          <w:shd w:val="clear" w:color="auto" w:fill="FFFFFF"/>
        </w:rPr>
        <w:t xml:space="preserve"> statutory authority … to enable it to provide </w:t>
      </w:r>
      <w:r w:rsidRPr="00C3337B">
        <w:rPr>
          <w:rFonts w:ascii="Aptos" w:hAnsi="Aptos"/>
          <w:i/>
          <w:iCs/>
          <w:shd w:val="clear" w:color="auto" w:fill="FFFFFF"/>
        </w:rPr>
        <w:t>robust advice</w:t>
      </w:r>
      <w:r w:rsidRPr="00336818">
        <w:rPr>
          <w:rFonts w:ascii="Aptos" w:hAnsi="Aptos"/>
          <w:shd w:val="clear" w:color="auto" w:fill="FFFFFF"/>
        </w:rPr>
        <w:t xml:space="preserve"> and support evidence-based decision making and planning’ </w:t>
      </w:r>
      <w:sdt>
        <w:sdtPr>
          <w:rPr>
            <w:rFonts w:ascii="Aptos" w:hAnsi="Aptos"/>
            <w:color w:val="000000"/>
            <w:shd w:val="clear" w:color="auto" w:fill="FFFFFF"/>
          </w:rPr>
          <w:tag w:val="MENDELEY_CITATION_v3_eyJjaXRhdGlvbklEIjoiTUVOREVMRVlfQ0lUQVRJT05fNjJkZWExMzQtNWQ0OS00NDQwLWEzZjEtNGNiMDQwYjhmZGU4IiwicHJvcGVydGllcyI6eyJub3RlSW5kZXgiOjB9LCJpc0VkaXRlZCI6ZmFsc2UsIm1hbnVhbE92ZXJyaWRlIjp7ImlzTWFudWFsbHlPdmVycmlkZGVuIjpmYWxzZSwiY2l0ZXByb2NUZXh0IjoiKEF1c3RyYWxpYW4gR292ZXJubWVudCwgMjAyNCwgcC4gMjM0LCBlbXBoYXNpcyBhZGRlZCkiLCJtYW51YWxPdmVycmlkZVRleHQiOiIifSwiY2l0YXRpb25JdGVtcyI6W3siZGlzcGxheUFzIjoib3JpZ2luYWwiLC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IzNCIsInN1ZmZpeCI6IiwgZW1waGFzaXMgYWRkZWQifV19"/>
          <w:id w:val="-1056394877"/>
          <w:placeholder>
            <w:docPart w:val="C8072690EA624955B20A93E708BE679F"/>
          </w:placeholder>
        </w:sdtPr>
        <w:sdtContent>
          <w:r w:rsidR="00094A58" w:rsidRPr="00094A58">
            <w:rPr>
              <w:rFonts w:ascii="Aptos" w:hAnsi="Aptos"/>
              <w:color w:val="000000"/>
              <w:shd w:val="clear" w:color="auto" w:fill="FFFFFF"/>
            </w:rPr>
            <w:t>(Australian Government, 2024, p. 234, emphasis added)</w:t>
          </w:r>
        </w:sdtContent>
      </w:sdt>
      <w:r>
        <w:rPr>
          <w:rFonts w:ascii="Aptos" w:hAnsi="Aptos"/>
          <w:color w:val="000000"/>
          <w:shd w:val="clear" w:color="auto" w:fill="FFFFFF"/>
        </w:rPr>
        <w:t>.</w:t>
      </w:r>
      <w:r w:rsidRPr="00336818">
        <w:rPr>
          <w:rFonts w:ascii="Aptos" w:hAnsi="Aptos"/>
        </w:rPr>
        <w:t xml:space="preserve"> </w:t>
      </w:r>
    </w:p>
    <w:p w14:paraId="701DCBEE" w14:textId="77777777" w:rsidR="00C3337B" w:rsidRDefault="00C3337B" w:rsidP="00C3337B">
      <w:pPr>
        <w:rPr>
          <w:rFonts w:ascii="Aptos" w:hAnsi="Aptos"/>
        </w:rPr>
      </w:pPr>
    </w:p>
    <w:p w14:paraId="2106847C" w14:textId="73C9A827" w:rsidR="00C3337B" w:rsidRDefault="00C3337B" w:rsidP="00C3337B">
      <w:pPr>
        <w:rPr>
          <w:rFonts w:ascii="Aptos" w:hAnsi="Aptos" w:cstheme="minorHAnsi"/>
          <w:color w:val="242424"/>
          <w:szCs w:val="24"/>
        </w:rPr>
      </w:pPr>
      <w:r>
        <w:rPr>
          <w:rFonts w:ascii="Aptos" w:hAnsi="Aptos"/>
        </w:rPr>
        <w:t>ATEC is by design only partly independent</w:t>
      </w:r>
      <w:r w:rsidR="00C01395">
        <w:rPr>
          <w:rFonts w:ascii="Aptos" w:hAnsi="Aptos"/>
        </w:rPr>
        <w:t xml:space="preserve"> it is implementation function</w:t>
      </w:r>
      <w:r>
        <w:rPr>
          <w:rFonts w:ascii="Aptos" w:hAnsi="Aptos"/>
        </w:rPr>
        <w:t xml:space="preserve">. </w:t>
      </w:r>
      <w:r w:rsidR="006B2DD5">
        <w:rPr>
          <w:rFonts w:ascii="Aptos" w:hAnsi="Aptos"/>
        </w:rPr>
        <w:t xml:space="preserve">Its core job is </w:t>
      </w:r>
      <w:r>
        <w:rPr>
          <w:rFonts w:ascii="Aptos" w:hAnsi="Aptos"/>
        </w:rPr>
        <w:t>implement</w:t>
      </w:r>
      <w:r w:rsidR="006D3D47">
        <w:rPr>
          <w:rFonts w:ascii="Aptos" w:hAnsi="Aptos"/>
        </w:rPr>
        <w:t>ing</w:t>
      </w:r>
      <w:r>
        <w:rPr>
          <w:rFonts w:ascii="Aptos" w:hAnsi="Aptos"/>
        </w:rPr>
        <w:t xml:space="preserve"> the government’s priorities via mission-based compacts (chapter </w:t>
      </w:r>
      <w:r>
        <w:rPr>
          <w:rFonts w:ascii="Aptos" w:hAnsi="Aptos"/>
        </w:rPr>
        <w:fldChar w:fldCharType="begin"/>
      </w:r>
      <w:r>
        <w:rPr>
          <w:rFonts w:ascii="Aptos" w:hAnsi="Aptos"/>
        </w:rPr>
        <w:instrText xml:space="preserve"> REF _Ref216282209 \r \h </w:instrText>
      </w:r>
      <w:r>
        <w:rPr>
          <w:rFonts w:ascii="Aptos" w:hAnsi="Aptos"/>
        </w:rPr>
      </w:r>
      <w:r>
        <w:rPr>
          <w:rFonts w:ascii="Aptos" w:hAnsi="Aptos"/>
        </w:rPr>
        <w:fldChar w:fldCharType="separate"/>
      </w:r>
      <w:r w:rsidR="0055214B">
        <w:rPr>
          <w:rFonts w:ascii="Aptos" w:hAnsi="Aptos"/>
        </w:rPr>
        <w:t>4</w:t>
      </w:r>
      <w:r>
        <w:rPr>
          <w:rFonts w:ascii="Aptos" w:hAnsi="Aptos"/>
        </w:rPr>
        <w:fldChar w:fldCharType="end"/>
      </w:r>
      <w:r>
        <w:rPr>
          <w:rFonts w:ascii="Aptos" w:hAnsi="Aptos"/>
        </w:rPr>
        <w:t xml:space="preserve">). </w:t>
      </w:r>
      <w:r w:rsidR="006D3D47">
        <w:rPr>
          <w:rFonts w:ascii="Aptos" w:hAnsi="Aptos"/>
        </w:rPr>
        <w:t xml:space="preserve">ATEC </w:t>
      </w:r>
      <w:r w:rsidR="00343957">
        <w:rPr>
          <w:rFonts w:ascii="Aptos" w:hAnsi="Aptos"/>
        </w:rPr>
        <w:t>would</w:t>
      </w:r>
      <w:r w:rsidR="00C01395">
        <w:rPr>
          <w:rFonts w:ascii="Aptos" w:hAnsi="Aptos"/>
        </w:rPr>
        <w:t xml:space="preserve"> have</w:t>
      </w:r>
      <w:r w:rsidR="006D3D47">
        <w:rPr>
          <w:rFonts w:ascii="Aptos" w:hAnsi="Aptos"/>
        </w:rPr>
        <w:t xml:space="preserve"> some </w:t>
      </w:r>
      <w:r>
        <w:rPr>
          <w:rFonts w:ascii="Aptos" w:hAnsi="Aptos"/>
        </w:rPr>
        <w:t>operational independence</w:t>
      </w:r>
      <w:r w:rsidR="006D3D47">
        <w:rPr>
          <w:rFonts w:ascii="Aptos" w:hAnsi="Aptos"/>
        </w:rPr>
        <w:t xml:space="preserve"> in this task</w:t>
      </w:r>
      <w:r>
        <w:rPr>
          <w:rFonts w:ascii="Aptos" w:hAnsi="Aptos"/>
        </w:rPr>
        <w:t xml:space="preserve">, given by section 71(2)(c) of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This prevents the minister from giving directions in relation to a specific higher education provider or class of higher education provider. </w:t>
      </w:r>
    </w:p>
    <w:p w14:paraId="153EBCE1" w14:textId="22E0B771" w:rsidR="00C01395" w:rsidRDefault="00C01395" w:rsidP="00C3337B">
      <w:pPr>
        <w:rPr>
          <w:rFonts w:ascii="Aptos" w:hAnsi="Aptos" w:cstheme="minorHAnsi"/>
          <w:color w:val="242424"/>
          <w:szCs w:val="24"/>
        </w:rPr>
      </w:pPr>
    </w:p>
    <w:p w14:paraId="27EDEFEE" w14:textId="3F6E15C1" w:rsidR="006B2DD5" w:rsidRDefault="006B2DD5" w:rsidP="006B2DD5">
      <w:pPr>
        <w:pStyle w:val="Heading2"/>
      </w:pPr>
      <w:bookmarkStart w:id="82" w:name="_Toc219380940"/>
      <w:r>
        <w:t xml:space="preserve">ATEC’s </w:t>
      </w:r>
      <w:r w:rsidR="000A2EFD">
        <w:t xml:space="preserve">direct </w:t>
      </w:r>
      <w:r>
        <w:t xml:space="preserve">advice </w:t>
      </w:r>
      <w:r w:rsidR="000A2EFD">
        <w:t>to government</w:t>
      </w:r>
      <w:bookmarkEnd w:id="82"/>
    </w:p>
    <w:p w14:paraId="4FAC9343" w14:textId="77777777" w:rsidR="006B2DD5" w:rsidRPr="006B2DD5" w:rsidRDefault="006B2DD5" w:rsidP="006B2DD5"/>
    <w:p w14:paraId="6D481231" w14:textId="635883A7" w:rsidR="00315523" w:rsidRDefault="00315523" w:rsidP="00315523">
      <w:pPr>
        <w:pStyle w:val="BodyText"/>
        <w:rPr>
          <w:rFonts w:ascii="Aptos" w:hAnsi="Aptos" w:cstheme="minorHAnsi"/>
          <w:color w:val="242424"/>
          <w:szCs w:val="24"/>
        </w:rPr>
      </w:pPr>
      <w:r>
        <w:rPr>
          <w:rFonts w:ascii="Aptos" w:hAnsi="Aptos" w:cstheme="minorHAnsi"/>
          <w:color w:val="242424"/>
          <w:szCs w:val="24"/>
        </w:rPr>
        <w:t xml:space="preserve">Under the </w:t>
      </w:r>
      <w:r w:rsidRPr="003477B6">
        <w:rPr>
          <w:rFonts w:ascii="Aptos" w:hAnsi="Aptos" w:cstheme="minorHAnsi"/>
          <w:i/>
          <w:iCs/>
          <w:color w:val="242424"/>
          <w:szCs w:val="24"/>
        </w:rPr>
        <w:t>Universities Accord (Australian Tertiary Education Commission) Bill 2025</w:t>
      </w:r>
      <w:r>
        <w:rPr>
          <w:rFonts w:ascii="Aptos" w:hAnsi="Aptos" w:cstheme="minorHAnsi"/>
          <w:color w:val="242424"/>
          <w:szCs w:val="24"/>
        </w:rPr>
        <w:t xml:space="preserve"> the government will control what advice ATEC can give</w:t>
      </w:r>
      <w:r w:rsidR="00AD6077">
        <w:rPr>
          <w:rFonts w:ascii="Aptos" w:hAnsi="Aptos" w:cstheme="minorHAnsi"/>
          <w:color w:val="242424"/>
          <w:szCs w:val="24"/>
        </w:rPr>
        <w:t xml:space="preserve"> it</w:t>
      </w:r>
      <w:r w:rsidR="00242C55">
        <w:rPr>
          <w:rFonts w:ascii="Aptos" w:hAnsi="Aptos" w:cstheme="minorHAnsi"/>
          <w:color w:val="242424"/>
          <w:szCs w:val="24"/>
        </w:rPr>
        <w:t xml:space="preserve">, although the State of the Tertiary Education System report discussed </w:t>
      </w:r>
      <w:r w:rsidR="00C01395">
        <w:rPr>
          <w:rFonts w:ascii="Aptos" w:hAnsi="Aptos" w:cstheme="minorHAnsi"/>
          <w:color w:val="242424"/>
          <w:szCs w:val="24"/>
        </w:rPr>
        <w:t xml:space="preserve">in the next section </w:t>
      </w:r>
      <w:r w:rsidR="00242C55">
        <w:rPr>
          <w:rFonts w:ascii="Aptos" w:hAnsi="Aptos" w:cstheme="minorHAnsi"/>
          <w:color w:val="242424"/>
          <w:szCs w:val="24"/>
        </w:rPr>
        <w:t>create</w:t>
      </w:r>
      <w:r w:rsidR="00C01395">
        <w:rPr>
          <w:rFonts w:ascii="Aptos" w:hAnsi="Aptos" w:cstheme="minorHAnsi"/>
          <w:color w:val="242424"/>
          <w:szCs w:val="24"/>
        </w:rPr>
        <w:t>s an</w:t>
      </w:r>
      <w:r w:rsidR="00242C55">
        <w:rPr>
          <w:rFonts w:ascii="Aptos" w:hAnsi="Aptos" w:cstheme="minorHAnsi"/>
          <w:color w:val="242424"/>
          <w:szCs w:val="24"/>
        </w:rPr>
        <w:t xml:space="preserve"> indirect means of providing advice. </w:t>
      </w:r>
    </w:p>
    <w:p w14:paraId="673619BE" w14:textId="77777777" w:rsidR="004F3B6D" w:rsidRDefault="004F3B6D" w:rsidP="00315523">
      <w:pPr>
        <w:pStyle w:val="BodyText"/>
        <w:rPr>
          <w:rFonts w:ascii="Aptos" w:hAnsi="Aptos" w:cstheme="minorHAnsi"/>
          <w:color w:val="242424"/>
          <w:szCs w:val="24"/>
        </w:rPr>
      </w:pPr>
    </w:p>
    <w:p w14:paraId="40B7E801" w14:textId="5CA30DD0" w:rsidR="004F3B6D" w:rsidRDefault="004F3B6D" w:rsidP="00315523">
      <w:pPr>
        <w:pStyle w:val="BodyText"/>
        <w:rPr>
          <w:rFonts w:ascii="Aptos" w:hAnsi="Aptos" w:cstheme="minorHAnsi"/>
          <w:color w:val="242424"/>
          <w:szCs w:val="24"/>
        </w:rPr>
      </w:pPr>
      <w:r>
        <w:rPr>
          <w:rFonts w:ascii="Aptos" w:hAnsi="Aptos" w:cstheme="minorHAnsi"/>
          <w:color w:val="242424"/>
          <w:szCs w:val="24"/>
        </w:rPr>
        <w:t xml:space="preserve">Chapter </w:t>
      </w:r>
      <w:r>
        <w:rPr>
          <w:rFonts w:ascii="Aptos" w:hAnsi="Aptos" w:cstheme="minorHAnsi"/>
          <w:color w:val="242424"/>
          <w:szCs w:val="24"/>
        </w:rPr>
        <w:fldChar w:fldCharType="begin"/>
      </w:r>
      <w:r>
        <w:rPr>
          <w:rFonts w:ascii="Aptos" w:hAnsi="Aptos" w:cstheme="minorHAnsi"/>
          <w:color w:val="242424"/>
          <w:szCs w:val="24"/>
        </w:rPr>
        <w:instrText xml:space="preserve"> REF _Ref216188711 \r \h </w:instrText>
      </w:r>
      <w:r>
        <w:rPr>
          <w:rFonts w:ascii="Aptos" w:hAnsi="Aptos" w:cstheme="minorHAnsi"/>
          <w:color w:val="242424"/>
          <w:szCs w:val="24"/>
        </w:rPr>
      </w:r>
      <w:r>
        <w:rPr>
          <w:rFonts w:ascii="Aptos" w:hAnsi="Aptos" w:cstheme="minorHAnsi"/>
          <w:color w:val="242424"/>
          <w:szCs w:val="24"/>
        </w:rPr>
        <w:fldChar w:fldCharType="separate"/>
      </w:r>
      <w:r w:rsidR="0055214B">
        <w:rPr>
          <w:rFonts w:ascii="Aptos" w:hAnsi="Aptos" w:cstheme="minorHAnsi"/>
          <w:color w:val="242424"/>
          <w:szCs w:val="24"/>
        </w:rPr>
        <w:t>2</w:t>
      </w:r>
      <w:r>
        <w:rPr>
          <w:rFonts w:ascii="Aptos" w:hAnsi="Aptos" w:cstheme="minorHAnsi"/>
          <w:color w:val="242424"/>
          <w:szCs w:val="24"/>
        </w:rPr>
        <w:fldChar w:fldCharType="end"/>
      </w:r>
      <w:r>
        <w:rPr>
          <w:rFonts w:ascii="Aptos" w:hAnsi="Aptos" w:cstheme="minorHAnsi"/>
          <w:color w:val="242424"/>
          <w:szCs w:val="24"/>
        </w:rPr>
        <w:t xml:space="preserve"> of this submission </w:t>
      </w:r>
      <w:r w:rsidR="001666BE">
        <w:rPr>
          <w:rFonts w:ascii="Aptos" w:hAnsi="Aptos" w:cstheme="minorHAnsi"/>
          <w:color w:val="242424"/>
          <w:szCs w:val="24"/>
        </w:rPr>
        <w:t>recommends</w:t>
      </w:r>
      <w:r>
        <w:rPr>
          <w:rFonts w:ascii="Aptos" w:hAnsi="Aptos" w:cstheme="minorHAnsi"/>
          <w:color w:val="242424"/>
          <w:szCs w:val="24"/>
        </w:rPr>
        <w:t xml:space="preserve"> </w:t>
      </w:r>
      <w:r w:rsidR="001666BE">
        <w:rPr>
          <w:rFonts w:ascii="Aptos" w:hAnsi="Aptos" w:cstheme="minorHAnsi"/>
          <w:color w:val="242424"/>
          <w:szCs w:val="24"/>
        </w:rPr>
        <w:t>consolidating duplicated</w:t>
      </w:r>
      <w:r>
        <w:rPr>
          <w:rFonts w:ascii="Aptos" w:hAnsi="Aptos" w:cstheme="minorHAnsi"/>
          <w:color w:val="242424"/>
          <w:szCs w:val="24"/>
        </w:rPr>
        <w:t xml:space="preserve"> advice functions and clarify</w:t>
      </w:r>
      <w:r w:rsidR="001666BE">
        <w:rPr>
          <w:rFonts w:ascii="Aptos" w:hAnsi="Aptos" w:cstheme="minorHAnsi"/>
          <w:color w:val="242424"/>
          <w:szCs w:val="24"/>
        </w:rPr>
        <w:t>ing</w:t>
      </w:r>
      <w:r>
        <w:rPr>
          <w:rFonts w:ascii="Aptos" w:hAnsi="Aptos" w:cstheme="minorHAnsi"/>
          <w:color w:val="242424"/>
          <w:szCs w:val="24"/>
        </w:rPr>
        <w:t xml:space="preserve"> </w:t>
      </w:r>
      <w:r w:rsidR="001666BE">
        <w:rPr>
          <w:rFonts w:ascii="Aptos" w:hAnsi="Aptos" w:cstheme="minorHAnsi"/>
          <w:color w:val="242424"/>
          <w:szCs w:val="24"/>
        </w:rPr>
        <w:t xml:space="preserve">their </w:t>
      </w:r>
      <w:r>
        <w:rPr>
          <w:rFonts w:ascii="Aptos" w:hAnsi="Aptos" w:cstheme="minorHAnsi"/>
          <w:color w:val="242424"/>
          <w:szCs w:val="24"/>
        </w:rPr>
        <w:t>policy intent. This chapter uses the section numbers in the bill.</w:t>
      </w:r>
      <w:r w:rsidR="002878BD">
        <w:rPr>
          <w:rFonts w:ascii="Aptos" w:hAnsi="Aptos" w:cstheme="minorHAnsi"/>
          <w:color w:val="242424"/>
          <w:szCs w:val="24"/>
        </w:rPr>
        <w:t xml:space="preserve"> </w:t>
      </w:r>
    </w:p>
    <w:p w14:paraId="07A19626" w14:textId="77777777" w:rsidR="00242C55" w:rsidRPr="00315523" w:rsidRDefault="00242C55" w:rsidP="00315523">
      <w:pPr>
        <w:pStyle w:val="BodyText"/>
      </w:pPr>
    </w:p>
    <w:p w14:paraId="3CE8A514" w14:textId="24F28C3C" w:rsidR="00315523" w:rsidRDefault="00315523" w:rsidP="00315523">
      <w:pPr>
        <w:pStyle w:val="BodyText"/>
      </w:pPr>
      <w:r>
        <w:t>Under its functions provision, ATEC can give advice and prepare reports on the following topics if requested by the minister (section 11(d)):</w:t>
      </w:r>
    </w:p>
    <w:p w14:paraId="08B84CF6" w14:textId="216D2188" w:rsidR="00315523" w:rsidRPr="00315523" w:rsidRDefault="00315523" w:rsidP="00315523">
      <w:pPr>
        <w:pStyle w:val="BodyText"/>
        <w:numPr>
          <w:ilvl w:val="0"/>
          <w:numId w:val="24"/>
        </w:numPr>
        <w:rPr>
          <w:rFonts w:eastAsia="Times New Roman" w:cs="Times New Roman"/>
          <w:szCs w:val="24"/>
          <w:lang w:eastAsia="en-AU"/>
        </w:rPr>
      </w:pPr>
      <w:r>
        <w:t>Improving outcomes for equity groups</w:t>
      </w:r>
    </w:p>
    <w:p w14:paraId="72AC1FAB" w14:textId="1F85D3BB" w:rsidR="00315523" w:rsidRPr="00315523" w:rsidRDefault="00315523" w:rsidP="00315523">
      <w:pPr>
        <w:pStyle w:val="BodyText"/>
        <w:numPr>
          <w:ilvl w:val="0"/>
          <w:numId w:val="24"/>
        </w:numPr>
        <w:rPr>
          <w:rFonts w:eastAsia="Times New Roman" w:cs="Times New Roman"/>
          <w:szCs w:val="24"/>
          <w:lang w:eastAsia="en-AU"/>
        </w:rPr>
      </w:pPr>
      <w:r>
        <w:t>Efficient cost of higher education and Commonwealth contributions</w:t>
      </w:r>
    </w:p>
    <w:p w14:paraId="491B1D81" w14:textId="391506DC" w:rsidR="00315523" w:rsidRDefault="00315523"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Opportunities to streamline the regulation of higher education providers</w:t>
      </w:r>
    </w:p>
    <w:p w14:paraId="1119C9A5" w14:textId="2559738B" w:rsidR="00315523" w:rsidRDefault="00315523" w:rsidP="00315523">
      <w:pPr>
        <w:pStyle w:val="BodyText"/>
        <w:rPr>
          <w:rFonts w:eastAsia="Times New Roman" w:cs="Times New Roman"/>
          <w:szCs w:val="24"/>
          <w:lang w:eastAsia="en-AU"/>
        </w:rPr>
      </w:pPr>
    </w:p>
    <w:p w14:paraId="49AF8CDC" w14:textId="54A6CDDF" w:rsidR="00CE2259" w:rsidRDefault="00315523" w:rsidP="00315523">
      <w:pPr>
        <w:pStyle w:val="BodyText"/>
        <w:rPr>
          <w:rFonts w:eastAsia="Times New Roman" w:cs="Times New Roman"/>
          <w:szCs w:val="24"/>
          <w:lang w:eastAsia="en-AU"/>
        </w:rPr>
      </w:pPr>
      <w:r>
        <w:rPr>
          <w:rFonts w:eastAsia="Times New Roman" w:cs="Times New Roman"/>
          <w:szCs w:val="24"/>
          <w:lang w:eastAsia="en-AU"/>
        </w:rPr>
        <w:t xml:space="preserve">Under the bill’s </w:t>
      </w:r>
      <w:r w:rsidR="004F3B6D">
        <w:rPr>
          <w:rFonts w:eastAsia="Times New Roman" w:cs="Times New Roman"/>
          <w:szCs w:val="24"/>
          <w:lang w:eastAsia="en-AU"/>
        </w:rPr>
        <w:t xml:space="preserve">section 41 </w:t>
      </w:r>
      <w:r>
        <w:rPr>
          <w:rFonts w:eastAsia="Times New Roman" w:cs="Times New Roman"/>
          <w:szCs w:val="24"/>
          <w:lang w:eastAsia="en-AU"/>
        </w:rPr>
        <w:t>advice and recommendations provisions th</w:t>
      </w:r>
      <w:r w:rsidR="004F3B6D">
        <w:rPr>
          <w:rFonts w:eastAsia="Times New Roman" w:cs="Times New Roman"/>
          <w:szCs w:val="24"/>
          <w:lang w:eastAsia="en-AU"/>
        </w:rPr>
        <w:t>ese</w:t>
      </w:r>
      <w:r>
        <w:rPr>
          <w:rFonts w:eastAsia="Times New Roman" w:cs="Times New Roman"/>
          <w:szCs w:val="24"/>
          <w:lang w:eastAsia="en-AU"/>
        </w:rPr>
        <w:t xml:space="preserve"> can </w:t>
      </w:r>
      <w:r w:rsidR="00EA4BD5">
        <w:rPr>
          <w:rFonts w:eastAsia="Times New Roman" w:cs="Times New Roman"/>
          <w:szCs w:val="24"/>
          <w:lang w:eastAsia="en-AU"/>
        </w:rPr>
        <w:t xml:space="preserve">also </w:t>
      </w:r>
      <w:r>
        <w:rPr>
          <w:rFonts w:eastAsia="Times New Roman" w:cs="Times New Roman"/>
          <w:szCs w:val="24"/>
          <w:lang w:eastAsia="en-AU"/>
        </w:rPr>
        <w:t xml:space="preserve">be provided ‘if requested by the minister’. The list of topics repeats the first two items of section 11(d) </w:t>
      </w:r>
      <w:r w:rsidR="004F3B6D">
        <w:rPr>
          <w:rFonts w:eastAsia="Times New Roman" w:cs="Times New Roman"/>
          <w:szCs w:val="24"/>
          <w:lang w:eastAsia="en-AU"/>
        </w:rPr>
        <w:t xml:space="preserve">with variations noted in chapter </w:t>
      </w:r>
      <w:r w:rsidR="004F3B6D">
        <w:rPr>
          <w:rFonts w:eastAsia="Times New Roman" w:cs="Times New Roman"/>
          <w:szCs w:val="24"/>
          <w:lang w:eastAsia="en-AU"/>
        </w:rPr>
        <w:fldChar w:fldCharType="begin"/>
      </w:r>
      <w:r w:rsidR="004F3B6D">
        <w:rPr>
          <w:rFonts w:eastAsia="Times New Roman" w:cs="Times New Roman"/>
          <w:szCs w:val="24"/>
          <w:lang w:eastAsia="en-AU"/>
        </w:rPr>
        <w:instrText xml:space="preserve"> REF _Ref216188711 \r \h </w:instrText>
      </w:r>
      <w:r w:rsidR="004F3B6D">
        <w:rPr>
          <w:rFonts w:eastAsia="Times New Roman" w:cs="Times New Roman"/>
          <w:szCs w:val="24"/>
          <w:lang w:eastAsia="en-AU"/>
        </w:rPr>
      </w:r>
      <w:r w:rsidR="004F3B6D">
        <w:rPr>
          <w:rFonts w:eastAsia="Times New Roman" w:cs="Times New Roman"/>
          <w:szCs w:val="24"/>
          <w:lang w:eastAsia="en-AU"/>
        </w:rPr>
        <w:fldChar w:fldCharType="separate"/>
      </w:r>
      <w:r w:rsidR="0055214B">
        <w:rPr>
          <w:rFonts w:eastAsia="Times New Roman" w:cs="Times New Roman"/>
          <w:szCs w:val="24"/>
          <w:lang w:eastAsia="en-AU"/>
        </w:rPr>
        <w:t>2</w:t>
      </w:r>
      <w:r w:rsidR="004F3B6D">
        <w:rPr>
          <w:rFonts w:eastAsia="Times New Roman" w:cs="Times New Roman"/>
          <w:szCs w:val="24"/>
          <w:lang w:eastAsia="en-AU"/>
        </w:rPr>
        <w:fldChar w:fldCharType="end"/>
      </w:r>
      <w:r w:rsidR="004F3B6D">
        <w:rPr>
          <w:rFonts w:eastAsia="Times New Roman" w:cs="Times New Roman"/>
          <w:szCs w:val="24"/>
          <w:lang w:eastAsia="en-AU"/>
        </w:rPr>
        <w:t xml:space="preserve"> </w:t>
      </w:r>
      <w:r>
        <w:rPr>
          <w:rFonts w:eastAsia="Times New Roman" w:cs="Times New Roman"/>
          <w:szCs w:val="24"/>
          <w:lang w:eastAsia="en-AU"/>
        </w:rPr>
        <w:t xml:space="preserve">and adds </w:t>
      </w:r>
      <w:r w:rsidR="00AD6077">
        <w:rPr>
          <w:rFonts w:eastAsia="Times New Roman" w:cs="Times New Roman"/>
          <w:szCs w:val="24"/>
          <w:lang w:eastAsia="en-AU"/>
        </w:rPr>
        <w:t xml:space="preserve">at </w:t>
      </w:r>
      <w:r>
        <w:rPr>
          <w:rFonts w:eastAsia="Times New Roman" w:cs="Times New Roman"/>
          <w:szCs w:val="24"/>
          <w:lang w:eastAsia="en-AU"/>
        </w:rPr>
        <w:t>section 41(1):</w:t>
      </w:r>
    </w:p>
    <w:p w14:paraId="1C81DAC9" w14:textId="33652814" w:rsidR="00315523" w:rsidRDefault="00315523"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Student demand by </w:t>
      </w:r>
      <w:r w:rsidR="00DA3091">
        <w:rPr>
          <w:rFonts w:eastAsia="Times New Roman" w:cs="Times New Roman"/>
          <w:szCs w:val="24"/>
          <w:lang w:eastAsia="en-AU"/>
        </w:rPr>
        <w:t>discipline, cohort and region and the higher education system’s ability to meet that demand</w:t>
      </w:r>
    </w:p>
    <w:p w14:paraId="635E2569" w14:textId="4ABF660D"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higher education system’s ability to meet current and future skills needs, including by geographic region</w:t>
      </w:r>
    </w:p>
    <w:p w14:paraId="4DC2224C" w14:textId="76B4E682"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strategic direction, governance, size and diversity of the higher education system</w:t>
      </w:r>
    </w:p>
    <w:p w14:paraId="51243226" w14:textId="218FEEE7"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Methods for increasing the number of ATSI persons in higher education governance</w:t>
      </w:r>
    </w:p>
    <w:p w14:paraId="46E2DBCC" w14:textId="336B7870"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Developments within the higher education system including mergers, changes in ownership, and establishment of new providers</w:t>
      </w:r>
    </w:p>
    <w:p w14:paraId="5D2CDB81" w14:textId="06F9F53A"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The financial sustainability of higher education provider</w:t>
      </w:r>
      <w:r w:rsidR="004F3B6D">
        <w:rPr>
          <w:rFonts w:eastAsia="Times New Roman" w:cs="Times New Roman"/>
          <w:szCs w:val="24"/>
          <w:lang w:eastAsia="en-AU"/>
        </w:rPr>
        <w:t>s</w:t>
      </w:r>
    </w:p>
    <w:p w14:paraId="085167DE" w14:textId="3268942B" w:rsidR="00DA3091" w:rsidRDefault="00DA3091"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Higher education data collection and publication</w:t>
      </w:r>
    </w:p>
    <w:p w14:paraId="36173DAB" w14:textId="5F87971C" w:rsidR="00CE2259" w:rsidRDefault="00CE2259"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Policy settings for higher education. </w:t>
      </w:r>
    </w:p>
    <w:p w14:paraId="127C8108" w14:textId="199A1A18" w:rsidR="00242C55" w:rsidRDefault="00242C55" w:rsidP="00315523">
      <w:pPr>
        <w:pStyle w:val="BodyText"/>
        <w:numPr>
          <w:ilvl w:val="0"/>
          <w:numId w:val="24"/>
        </w:numPr>
        <w:rPr>
          <w:rFonts w:eastAsia="Times New Roman" w:cs="Times New Roman"/>
          <w:szCs w:val="24"/>
          <w:lang w:eastAsia="en-AU"/>
        </w:rPr>
      </w:pPr>
      <w:r>
        <w:rPr>
          <w:rFonts w:eastAsia="Times New Roman" w:cs="Times New Roman"/>
          <w:szCs w:val="24"/>
          <w:lang w:eastAsia="en-AU"/>
        </w:rPr>
        <w:t xml:space="preserve">Any other advice in relation to the higher education system. </w:t>
      </w:r>
    </w:p>
    <w:p w14:paraId="47E7C397" w14:textId="21474C87" w:rsidR="00CE2259" w:rsidRDefault="00CE2259" w:rsidP="00CE2259">
      <w:pPr>
        <w:pStyle w:val="BodyText"/>
        <w:rPr>
          <w:rFonts w:eastAsia="Times New Roman" w:cs="Times New Roman"/>
          <w:szCs w:val="24"/>
          <w:lang w:eastAsia="en-AU"/>
        </w:rPr>
      </w:pPr>
    </w:p>
    <w:p w14:paraId="474F9442" w14:textId="04D99EE6" w:rsidR="00CE2259" w:rsidRDefault="00CE2259" w:rsidP="00CE2259">
      <w:pPr>
        <w:pStyle w:val="BodyText"/>
        <w:rPr>
          <w:rFonts w:eastAsia="Times New Roman" w:cs="Times New Roman"/>
          <w:szCs w:val="24"/>
          <w:lang w:eastAsia="en-AU"/>
        </w:rPr>
      </w:pPr>
      <w:r>
        <w:rPr>
          <w:rFonts w:eastAsia="Times New Roman" w:cs="Times New Roman"/>
          <w:szCs w:val="24"/>
          <w:lang w:eastAsia="en-AU"/>
        </w:rPr>
        <w:lastRenderedPageBreak/>
        <w:t xml:space="preserve">There is also </w:t>
      </w:r>
      <w:proofErr w:type="gramStart"/>
      <w:r>
        <w:rPr>
          <w:rFonts w:eastAsia="Times New Roman" w:cs="Times New Roman"/>
          <w:szCs w:val="24"/>
          <w:lang w:eastAsia="en-AU"/>
        </w:rPr>
        <w:t>scope</w:t>
      </w:r>
      <w:proofErr w:type="gramEnd"/>
      <w:r>
        <w:rPr>
          <w:rFonts w:eastAsia="Times New Roman" w:cs="Times New Roman"/>
          <w:szCs w:val="24"/>
          <w:lang w:eastAsia="en-AU"/>
        </w:rPr>
        <w:t xml:space="preserve"> to advise Commonwealth, state and territory skills ministers on (section 41(2)):</w:t>
      </w:r>
    </w:p>
    <w:p w14:paraId="2BB1953A" w14:textId="7108F3F5"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Opportunities to improve coordination and collaboration between higher education and VET</w:t>
      </w:r>
    </w:p>
    <w:p w14:paraId="3A54971F" w14:textId="7F840300"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Tertiary education attainment or participation targets</w:t>
      </w:r>
    </w:p>
    <w:p w14:paraId="42706A79" w14:textId="20D883D3" w:rsidR="00CE2259" w:rsidRDefault="00CE2259" w:rsidP="00CE2259">
      <w:pPr>
        <w:pStyle w:val="BodyText"/>
        <w:numPr>
          <w:ilvl w:val="0"/>
          <w:numId w:val="24"/>
        </w:numPr>
        <w:rPr>
          <w:rFonts w:eastAsia="Times New Roman" w:cs="Times New Roman"/>
          <w:szCs w:val="24"/>
          <w:lang w:eastAsia="en-AU"/>
        </w:rPr>
      </w:pPr>
      <w:r>
        <w:rPr>
          <w:rFonts w:eastAsia="Times New Roman" w:cs="Times New Roman"/>
          <w:szCs w:val="24"/>
          <w:lang w:eastAsia="en-AU"/>
        </w:rPr>
        <w:t>Any other advice about Commonwealth activities in the tertiary education system.</w:t>
      </w:r>
    </w:p>
    <w:p w14:paraId="5699BB66" w14:textId="62B71710" w:rsidR="00242C55" w:rsidRDefault="00242C55" w:rsidP="00242C55">
      <w:pPr>
        <w:pStyle w:val="BodyText"/>
        <w:rPr>
          <w:rFonts w:eastAsia="Times New Roman" w:cs="Times New Roman"/>
          <w:szCs w:val="24"/>
          <w:lang w:eastAsia="en-AU"/>
        </w:rPr>
      </w:pPr>
    </w:p>
    <w:p w14:paraId="5FD4AECE" w14:textId="0A3592B2" w:rsidR="00C22EDC" w:rsidRDefault="00C22EDC" w:rsidP="00242C55">
      <w:pPr>
        <w:pStyle w:val="BodyText"/>
        <w:rPr>
          <w:rFonts w:eastAsia="Times New Roman" w:cs="Times New Roman"/>
          <w:szCs w:val="24"/>
          <w:lang w:eastAsia="en-AU"/>
        </w:rPr>
      </w:pPr>
      <w:r>
        <w:rPr>
          <w:rFonts w:eastAsia="Times New Roman" w:cs="Times New Roman"/>
          <w:szCs w:val="24"/>
          <w:lang w:eastAsia="en-AU"/>
        </w:rPr>
        <w:t>While ‘any other advice’</w:t>
      </w:r>
      <w:r w:rsidR="00CE2259">
        <w:rPr>
          <w:rFonts w:eastAsia="Times New Roman" w:cs="Times New Roman"/>
          <w:szCs w:val="24"/>
          <w:lang w:eastAsia="en-AU"/>
        </w:rPr>
        <w:t xml:space="preserve"> provisions</w:t>
      </w:r>
      <w:r>
        <w:rPr>
          <w:rFonts w:eastAsia="Times New Roman" w:cs="Times New Roman"/>
          <w:szCs w:val="24"/>
          <w:lang w:eastAsia="en-AU"/>
        </w:rPr>
        <w:t xml:space="preserve"> can fill gaps it is odd that, a</w:t>
      </w:r>
      <w:r w:rsidR="00242C55">
        <w:rPr>
          <w:rFonts w:eastAsia="Times New Roman" w:cs="Times New Roman"/>
          <w:szCs w:val="24"/>
          <w:lang w:eastAsia="en-AU"/>
        </w:rPr>
        <w:t xml:space="preserve">s discussed in </w:t>
      </w:r>
      <w:r>
        <w:rPr>
          <w:rFonts w:eastAsia="Times New Roman" w:cs="Times New Roman"/>
          <w:szCs w:val="24"/>
          <w:lang w:eastAsia="en-AU"/>
        </w:rPr>
        <w:t>other chapters</w:t>
      </w:r>
      <w:r w:rsidR="00242C55">
        <w:rPr>
          <w:rFonts w:eastAsia="Times New Roman" w:cs="Times New Roman"/>
          <w:szCs w:val="24"/>
          <w:lang w:eastAsia="en-AU"/>
        </w:rPr>
        <w:t xml:space="preserve">, </w:t>
      </w:r>
      <w:r w:rsidR="000A2EFD">
        <w:rPr>
          <w:rFonts w:eastAsia="Times New Roman" w:cs="Times New Roman"/>
          <w:szCs w:val="24"/>
          <w:lang w:eastAsia="en-AU"/>
        </w:rPr>
        <w:t xml:space="preserve">the list of </w:t>
      </w:r>
      <w:r w:rsidR="00242C55">
        <w:rPr>
          <w:rFonts w:eastAsia="Times New Roman" w:cs="Times New Roman"/>
          <w:szCs w:val="24"/>
          <w:lang w:eastAsia="en-AU"/>
        </w:rPr>
        <w:t>ATEC’s advisory role</w:t>
      </w:r>
      <w:r w:rsidR="000A2EFD">
        <w:rPr>
          <w:rFonts w:eastAsia="Times New Roman" w:cs="Times New Roman"/>
          <w:szCs w:val="24"/>
          <w:lang w:eastAsia="en-AU"/>
        </w:rPr>
        <w:t>s</w:t>
      </w:r>
      <w:r w:rsidR="00242C55">
        <w:rPr>
          <w:rFonts w:eastAsia="Times New Roman" w:cs="Times New Roman"/>
          <w:szCs w:val="24"/>
          <w:lang w:eastAsia="en-AU"/>
        </w:rPr>
        <w:t xml:space="preserve"> ha</w:t>
      </w:r>
      <w:r>
        <w:rPr>
          <w:rFonts w:eastAsia="Times New Roman" w:cs="Times New Roman"/>
          <w:szCs w:val="24"/>
          <w:lang w:eastAsia="en-AU"/>
        </w:rPr>
        <w:t>s</w:t>
      </w:r>
      <w:r w:rsidR="00242C55">
        <w:rPr>
          <w:rFonts w:eastAsia="Times New Roman" w:cs="Times New Roman"/>
          <w:szCs w:val="24"/>
          <w:lang w:eastAsia="en-AU"/>
        </w:rPr>
        <w:t xml:space="preserve"> significant omissions: </w:t>
      </w:r>
    </w:p>
    <w:p w14:paraId="24FCA6F1" w14:textId="68A36305" w:rsidR="00242C55"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w:t>
      </w:r>
      <w:r w:rsidR="00242C55">
        <w:rPr>
          <w:rFonts w:eastAsia="Times New Roman" w:cs="Times New Roman"/>
          <w:szCs w:val="24"/>
          <w:lang w:eastAsia="en-AU"/>
        </w:rPr>
        <w:t>othing about research</w:t>
      </w:r>
      <w:r w:rsidR="00C22EDC">
        <w:rPr>
          <w:rFonts w:eastAsia="Times New Roman" w:cs="Times New Roman"/>
          <w:szCs w:val="24"/>
          <w:lang w:eastAsia="en-AU"/>
        </w:rPr>
        <w:t xml:space="preserve"> or research training</w:t>
      </w:r>
      <w:r w:rsidR="001666BE">
        <w:rPr>
          <w:rFonts w:eastAsia="Times New Roman" w:cs="Times New Roman"/>
          <w:szCs w:val="24"/>
          <w:lang w:eastAsia="en-AU"/>
        </w:rPr>
        <w:t xml:space="preserve"> despite research being mentioned in the bill’s objects </w:t>
      </w:r>
      <w:r w:rsidR="00C22EDC">
        <w:rPr>
          <w:rFonts w:eastAsia="Times New Roman" w:cs="Times New Roman"/>
          <w:szCs w:val="24"/>
          <w:lang w:eastAsia="en-AU"/>
        </w:rPr>
        <w:t>(</w:t>
      </w:r>
      <w:r w:rsidR="001666BE">
        <w:rPr>
          <w:rFonts w:eastAsia="Times New Roman" w:cs="Times New Roman"/>
          <w:szCs w:val="24"/>
          <w:lang w:eastAsia="en-AU"/>
        </w:rPr>
        <w:t xml:space="preserve">discussed in </w:t>
      </w:r>
      <w:r w:rsidR="00C22EDC">
        <w:rPr>
          <w:rFonts w:eastAsia="Times New Roman" w:cs="Times New Roman"/>
          <w:szCs w:val="24"/>
          <w:lang w:eastAsia="en-AU"/>
        </w:rPr>
        <w:t>chapter</w:t>
      </w:r>
      <w:r w:rsidR="001666BE">
        <w:rPr>
          <w:rFonts w:eastAsia="Times New Roman" w:cs="Times New Roman"/>
          <w:szCs w:val="24"/>
          <w:lang w:eastAsia="en-AU"/>
        </w:rPr>
        <w:t>s</w:t>
      </w:r>
      <w:r w:rsidR="00C22EDC">
        <w:rPr>
          <w:rFonts w:eastAsia="Times New Roman" w:cs="Times New Roman"/>
          <w:szCs w:val="24"/>
          <w:lang w:eastAsia="en-AU"/>
        </w:rPr>
        <w:t xml:space="preserve">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_Ref216188711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2</w:t>
      </w:r>
      <w:r w:rsidR="00C22EDC">
        <w:rPr>
          <w:rFonts w:eastAsia="Times New Roman" w:cs="Times New Roman"/>
          <w:szCs w:val="24"/>
          <w:lang w:eastAsia="en-AU"/>
        </w:rPr>
        <w:fldChar w:fldCharType="end"/>
      </w:r>
      <w:r w:rsidR="001666BE">
        <w:rPr>
          <w:rFonts w:eastAsia="Times New Roman" w:cs="Times New Roman"/>
          <w:szCs w:val="24"/>
          <w:lang w:eastAsia="en-AU"/>
        </w:rPr>
        <w:t xml:space="preserve"> &amp; 7</w:t>
      </w:r>
      <w:proofErr w:type="gramStart"/>
      <w:r w:rsidR="00C22EDC">
        <w:rPr>
          <w:rFonts w:eastAsia="Times New Roman" w:cs="Times New Roman"/>
          <w:szCs w:val="24"/>
          <w:lang w:eastAsia="en-AU"/>
        </w:rPr>
        <w:t>);</w:t>
      </w:r>
      <w:proofErr w:type="gramEnd"/>
    </w:p>
    <w:p w14:paraId="3FC2B1A1" w14:textId="1CC42552" w:rsidR="00C22EDC"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No</w:t>
      </w:r>
      <w:r w:rsidR="00C22EDC">
        <w:rPr>
          <w:rFonts w:eastAsia="Times New Roman" w:cs="Times New Roman"/>
          <w:szCs w:val="24"/>
          <w:lang w:eastAsia="en-AU"/>
        </w:rPr>
        <w:t xml:space="preserve">thing about teaching quality despite ATEC’s role in setting the Threshold Standards and the interim ATEC already working in this area (chapter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_Ref216885768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3</w:t>
      </w:r>
      <w:r w:rsidR="00C22EDC">
        <w:rPr>
          <w:rFonts w:eastAsia="Times New Roman" w:cs="Times New Roman"/>
          <w:szCs w:val="24"/>
          <w:lang w:eastAsia="en-AU"/>
        </w:rPr>
        <w:fldChar w:fldCharType="end"/>
      </w:r>
      <w:proofErr w:type="gramStart"/>
      <w:r w:rsidR="00C22EDC">
        <w:rPr>
          <w:rFonts w:eastAsia="Times New Roman" w:cs="Times New Roman"/>
          <w:szCs w:val="24"/>
          <w:lang w:eastAsia="en-AU"/>
        </w:rPr>
        <w:t>);</w:t>
      </w:r>
      <w:proofErr w:type="gramEnd"/>
    </w:p>
    <w:p w14:paraId="3D071EA1" w14:textId="2C918FC5" w:rsidR="00C22EDC" w:rsidRDefault="004F3B6D" w:rsidP="00C22EDC">
      <w:pPr>
        <w:pStyle w:val="BodyText"/>
        <w:numPr>
          <w:ilvl w:val="0"/>
          <w:numId w:val="24"/>
        </w:numPr>
        <w:rPr>
          <w:rFonts w:eastAsia="Times New Roman" w:cs="Times New Roman"/>
          <w:szCs w:val="24"/>
          <w:lang w:eastAsia="en-AU"/>
        </w:rPr>
      </w:pPr>
      <w:r>
        <w:rPr>
          <w:rFonts w:eastAsia="Times New Roman" w:cs="Times New Roman"/>
          <w:szCs w:val="24"/>
          <w:lang w:eastAsia="en-AU"/>
        </w:rPr>
        <w:t>N</w:t>
      </w:r>
      <w:r w:rsidR="00C22EDC">
        <w:rPr>
          <w:rFonts w:eastAsia="Times New Roman" w:cs="Times New Roman"/>
          <w:szCs w:val="24"/>
          <w:lang w:eastAsia="en-AU"/>
        </w:rPr>
        <w:t xml:space="preserve">othing about international education, despite ATEC having a role in capping international student numbers (chapter </w:t>
      </w:r>
      <w:r w:rsidR="00C22EDC">
        <w:rPr>
          <w:rFonts w:eastAsia="Times New Roman" w:cs="Times New Roman"/>
          <w:szCs w:val="24"/>
          <w:lang w:eastAsia="en-AU"/>
        </w:rPr>
        <w:fldChar w:fldCharType="begin"/>
      </w:r>
      <w:r w:rsidR="00C22EDC">
        <w:rPr>
          <w:rFonts w:eastAsia="Times New Roman" w:cs="Times New Roman"/>
          <w:szCs w:val="24"/>
          <w:lang w:eastAsia="en-AU"/>
        </w:rPr>
        <w:instrText xml:space="preserve"> REF _Ref218521411 \r \h </w:instrText>
      </w:r>
      <w:r w:rsidR="00C22EDC">
        <w:rPr>
          <w:rFonts w:eastAsia="Times New Roman" w:cs="Times New Roman"/>
          <w:szCs w:val="24"/>
          <w:lang w:eastAsia="en-AU"/>
        </w:rPr>
      </w:r>
      <w:r w:rsidR="00C22EDC">
        <w:rPr>
          <w:rFonts w:eastAsia="Times New Roman" w:cs="Times New Roman"/>
          <w:szCs w:val="24"/>
          <w:lang w:eastAsia="en-AU"/>
        </w:rPr>
        <w:fldChar w:fldCharType="separate"/>
      </w:r>
      <w:r w:rsidR="0055214B">
        <w:rPr>
          <w:rFonts w:eastAsia="Times New Roman" w:cs="Times New Roman"/>
          <w:szCs w:val="24"/>
          <w:lang w:eastAsia="en-AU"/>
        </w:rPr>
        <w:t>6</w:t>
      </w:r>
      <w:r w:rsidR="00C22EDC">
        <w:rPr>
          <w:rFonts w:eastAsia="Times New Roman" w:cs="Times New Roman"/>
          <w:szCs w:val="24"/>
          <w:lang w:eastAsia="en-AU"/>
        </w:rPr>
        <w:fldChar w:fldCharType="end"/>
      </w:r>
      <w:r w:rsidR="00C22EDC">
        <w:rPr>
          <w:rFonts w:eastAsia="Times New Roman" w:cs="Times New Roman"/>
          <w:szCs w:val="24"/>
          <w:lang w:eastAsia="en-AU"/>
        </w:rPr>
        <w:t>).</w:t>
      </w:r>
    </w:p>
    <w:p w14:paraId="72351BE9" w14:textId="7A7CA670" w:rsidR="00C22EDC" w:rsidRDefault="00C22EDC" w:rsidP="00C22EDC">
      <w:pPr>
        <w:pStyle w:val="BodyText"/>
        <w:rPr>
          <w:rFonts w:eastAsia="Times New Roman" w:cs="Times New Roman"/>
          <w:szCs w:val="24"/>
          <w:lang w:eastAsia="en-AU"/>
        </w:rPr>
      </w:pPr>
    </w:p>
    <w:p w14:paraId="3884994D" w14:textId="4BCB2BAF" w:rsidR="006D0CA2" w:rsidRDefault="00ED6F27" w:rsidP="00C22EDC">
      <w:pPr>
        <w:pStyle w:val="BodyText"/>
        <w:rPr>
          <w:rFonts w:eastAsia="Times New Roman" w:cs="Times New Roman"/>
          <w:szCs w:val="24"/>
          <w:lang w:eastAsia="en-AU"/>
        </w:rPr>
      </w:pPr>
      <w:r>
        <w:rPr>
          <w:rFonts w:eastAsia="Times New Roman" w:cs="Times New Roman"/>
          <w:szCs w:val="24"/>
          <w:lang w:eastAsia="en-AU"/>
        </w:rPr>
        <w:t xml:space="preserve">There is also nothing about the higher education workforce and its skills, although this issue may come up indirectly in the system’s teaching capacity to meet student demand and workforce needs. </w:t>
      </w:r>
    </w:p>
    <w:p w14:paraId="4C57AD9E" w14:textId="5AAC6675" w:rsidR="00EA4BD5" w:rsidRDefault="00EA4BD5" w:rsidP="00C22EDC">
      <w:pPr>
        <w:pStyle w:val="BodyText"/>
        <w:rPr>
          <w:rFonts w:eastAsia="Times New Roman" w:cs="Times New Roman"/>
          <w:szCs w:val="24"/>
          <w:lang w:eastAsia="en-AU"/>
        </w:rPr>
      </w:pPr>
    </w:p>
    <w:p w14:paraId="2ED1E134" w14:textId="44B95597" w:rsidR="00EA4BD5" w:rsidRDefault="00EA4BD5" w:rsidP="00DA3091">
      <w:pPr>
        <w:pStyle w:val="BodyText"/>
        <w:rPr>
          <w:rFonts w:eastAsia="Times New Roman" w:cs="Times New Roman"/>
          <w:szCs w:val="24"/>
          <w:lang w:eastAsia="en-AU"/>
        </w:rPr>
      </w:pPr>
      <w:r>
        <w:rPr>
          <w:rFonts w:eastAsia="Times New Roman" w:cs="Times New Roman"/>
          <w:szCs w:val="24"/>
          <w:lang w:eastAsia="en-AU"/>
        </w:rPr>
        <w:t xml:space="preserve">That ATEC </w:t>
      </w:r>
      <w:proofErr w:type="gramStart"/>
      <w:r>
        <w:rPr>
          <w:rFonts w:eastAsia="Times New Roman" w:cs="Times New Roman"/>
          <w:szCs w:val="24"/>
          <w:lang w:eastAsia="en-AU"/>
        </w:rPr>
        <w:t>has to</w:t>
      </w:r>
      <w:proofErr w:type="gramEnd"/>
      <w:r>
        <w:rPr>
          <w:rFonts w:eastAsia="Times New Roman" w:cs="Times New Roman"/>
          <w:szCs w:val="24"/>
          <w:lang w:eastAsia="en-AU"/>
        </w:rPr>
        <w:t xml:space="preserve"> wait for a ministerial request before offering advice makes it less independent than envisaged by the </w:t>
      </w:r>
      <w:r w:rsidRPr="004F3B6D">
        <w:rPr>
          <w:rFonts w:eastAsia="Times New Roman" w:cs="Times New Roman"/>
          <w:i/>
          <w:iCs/>
          <w:szCs w:val="24"/>
          <w:lang w:eastAsia="en-AU"/>
        </w:rPr>
        <w:t>Universities Accord Final Report</w:t>
      </w:r>
      <w:r>
        <w:rPr>
          <w:rFonts w:eastAsia="Times New Roman" w:cs="Times New Roman"/>
          <w:szCs w:val="24"/>
          <w:lang w:eastAsia="en-AU"/>
        </w:rPr>
        <w:t>. However, once the minister asks for advice the minister</w:t>
      </w:r>
      <w:r w:rsidR="006D0CA2">
        <w:rPr>
          <w:rFonts w:eastAsia="Times New Roman" w:cs="Times New Roman"/>
          <w:szCs w:val="24"/>
          <w:lang w:eastAsia="en-AU"/>
        </w:rPr>
        <w:t xml:space="preserve"> cannot direct ATEC as to the content of any advice he or she will be </w:t>
      </w:r>
      <w:proofErr w:type="gramStart"/>
      <w:r w:rsidR="006D0CA2">
        <w:rPr>
          <w:rFonts w:eastAsia="Times New Roman" w:cs="Times New Roman"/>
          <w:szCs w:val="24"/>
          <w:lang w:eastAsia="en-AU"/>
        </w:rPr>
        <w:t>given:</w:t>
      </w:r>
      <w:proofErr w:type="gramEnd"/>
      <w:r w:rsidR="006D0CA2">
        <w:rPr>
          <w:rFonts w:eastAsia="Times New Roman" w:cs="Times New Roman"/>
          <w:szCs w:val="24"/>
          <w:lang w:eastAsia="en-AU"/>
        </w:rPr>
        <w:t xml:space="preserve"> section 71(2)(a).</w:t>
      </w:r>
    </w:p>
    <w:p w14:paraId="717F5568" w14:textId="77777777" w:rsidR="00EA4BD5" w:rsidRDefault="00EA4BD5" w:rsidP="00DA3091">
      <w:pPr>
        <w:pStyle w:val="BodyText"/>
        <w:rPr>
          <w:rFonts w:eastAsia="Times New Roman" w:cs="Times New Roman"/>
          <w:szCs w:val="24"/>
          <w:lang w:eastAsia="en-AU"/>
        </w:rPr>
      </w:pPr>
    </w:p>
    <w:p w14:paraId="40072599" w14:textId="1515698F" w:rsidR="00DA3091" w:rsidRPr="000A2EFD" w:rsidRDefault="00DA3091" w:rsidP="00DA3091">
      <w:pPr>
        <w:pStyle w:val="BodyText"/>
        <w:rPr>
          <w:rFonts w:eastAsia="Times New Roman" w:cs="Times New Roman"/>
          <w:szCs w:val="24"/>
          <w:lang w:eastAsia="en-AU"/>
        </w:rPr>
      </w:pPr>
      <w:r>
        <w:rPr>
          <w:rFonts w:eastAsia="Times New Roman" w:cs="Times New Roman"/>
          <w:szCs w:val="24"/>
          <w:lang w:eastAsia="en-AU"/>
        </w:rPr>
        <w:t xml:space="preserve">If ATEC gives the minister advice or recommendations these can only be released to the public with the minister’s agreement: section 69. </w:t>
      </w:r>
      <w:r w:rsidR="00E53E6F">
        <w:rPr>
          <w:rFonts w:eastAsia="Times New Roman" w:cs="Times New Roman"/>
          <w:szCs w:val="24"/>
          <w:lang w:eastAsia="en-AU"/>
        </w:rPr>
        <w:t xml:space="preserve">ATEC advice or recommendations are likely </w:t>
      </w:r>
      <w:r w:rsidR="000A2EFD">
        <w:rPr>
          <w:rFonts w:eastAsia="Times New Roman" w:cs="Times New Roman"/>
          <w:szCs w:val="24"/>
          <w:lang w:eastAsia="en-AU"/>
        </w:rPr>
        <w:t xml:space="preserve">to </w:t>
      </w:r>
      <w:r w:rsidR="00E53E6F">
        <w:rPr>
          <w:rFonts w:eastAsia="Times New Roman" w:cs="Times New Roman"/>
          <w:szCs w:val="24"/>
          <w:lang w:eastAsia="en-AU"/>
        </w:rPr>
        <w:t xml:space="preserve">be exempt from freedom of information requests as part of the government’s deliberative processes: section 47C, </w:t>
      </w:r>
      <w:r w:rsidR="00E53E6F">
        <w:rPr>
          <w:rFonts w:eastAsia="Times New Roman" w:cs="Times New Roman"/>
          <w:i/>
          <w:iCs/>
          <w:szCs w:val="24"/>
          <w:lang w:eastAsia="en-AU"/>
        </w:rPr>
        <w:t xml:space="preserve">Freedom of Information Act 1982. </w:t>
      </w:r>
      <w:r w:rsidR="000A2EFD">
        <w:rPr>
          <w:rFonts w:eastAsia="Times New Roman" w:cs="Times New Roman"/>
          <w:szCs w:val="24"/>
          <w:lang w:eastAsia="en-AU"/>
        </w:rPr>
        <w:t xml:space="preserve">Provided that this does not restrict ATEC’s capacity to report on the same issues this is a sensible provision. It will encourage the minister to ask questions that may have controversial answers and ATEC </w:t>
      </w:r>
      <w:r w:rsidR="00CE2259">
        <w:rPr>
          <w:rFonts w:eastAsia="Times New Roman" w:cs="Times New Roman"/>
          <w:szCs w:val="24"/>
          <w:lang w:eastAsia="en-AU"/>
        </w:rPr>
        <w:t xml:space="preserve">to give ‘robust’ advice. </w:t>
      </w:r>
    </w:p>
    <w:p w14:paraId="7D286F01" w14:textId="133785DB" w:rsidR="00F16367" w:rsidRDefault="00F16367" w:rsidP="00DA3091">
      <w:pPr>
        <w:pStyle w:val="BodyText"/>
        <w:rPr>
          <w:rFonts w:eastAsia="Times New Roman" w:cs="Times New Roman"/>
          <w:szCs w:val="24"/>
          <w:lang w:eastAsia="en-AU"/>
        </w:rPr>
      </w:pPr>
    </w:p>
    <w:p w14:paraId="5416EC36" w14:textId="792227EC" w:rsidR="00F16367" w:rsidRDefault="00F16367" w:rsidP="00F16367">
      <w:pPr>
        <w:pStyle w:val="Heading2"/>
        <w:rPr>
          <w:lang w:eastAsia="en-AU"/>
        </w:rPr>
      </w:pPr>
      <w:bookmarkStart w:id="83" w:name="_Toc219380941"/>
      <w:r>
        <w:rPr>
          <w:lang w:eastAsia="en-AU"/>
        </w:rPr>
        <w:t>State of the Tertiary Education System report</w:t>
      </w:r>
      <w:bookmarkEnd w:id="83"/>
    </w:p>
    <w:p w14:paraId="6561CFE0" w14:textId="4B7C936E" w:rsidR="000A2EFD" w:rsidRDefault="00F16367" w:rsidP="00F16367">
      <w:pPr>
        <w:rPr>
          <w:lang w:eastAsia="en-AU"/>
        </w:rPr>
      </w:pPr>
      <w:r>
        <w:rPr>
          <w:lang w:eastAsia="en-AU"/>
        </w:rPr>
        <w:t>ATEC must produce an annual State of the Tertiary Education System report</w:t>
      </w:r>
      <w:r w:rsidR="00242C55">
        <w:rPr>
          <w:lang w:eastAsia="en-AU"/>
        </w:rPr>
        <w:t>: section 42</w:t>
      </w:r>
      <w:r w:rsidR="000A2EFD">
        <w:rPr>
          <w:lang w:eastAsia="en-AU"/>
        </w:rPr>
        <w:t xml:space="preserve">, </w:t>
      </w:r>
      <w:r w:rsidR="000A2EFD" w:rsidRPr="003477B6">
        <w:rPr>
          <w:rFonts w:ascii="Aptos" w:hAnsi="Aptos" w:cstheme="minorHAnsi"/>
          <w:i/>
          <w:iCs/>
          <w:color w:val="242424"/>
          <w:szCs w:val="24"/>
        </w:rPr>
        <w:t>Universities Accord (Australian Tertiary Education Commission) Bill 2025</w:t>
      </w:r>
      <w:r w:rsidR="00242C55">
        <w:rPr>
          <w:lang w:eastAsia="en-AU"/>
        </w:rPr>
        <w:t xml:space="preserve">. </w:t>
      </w:r>
      <w:r w:rsidR="000A2EFD">
        <w:rPr>
          <w:lang w:eastAsia="en-AU"/>
        </w:rPr>
        <w:t xml:space="preserve">This has a statutory publication deadline of no later than 12 months after the year the report covers: section 42(3)(a). </w:t>
      </w:r>
      <w:r w:rsidR="00C7352B">
        <w:rPr>
          <w:lang w:eastAsia="en-AU"/>
        </w:rPr>
        <w:t>This means that the first state of the system report</w:t>
      </w:r>
      <w:r w:rsidR="0080489C">
        <w:rPr>
          <w:lang w:eastAsia="en-AU"/>
        </w:rPr>
        <w:t>, covering the 2026 calendar year,</w:t>
      </w:r>
      <w:r w:rsidR="00C7352B">
        <w:rPr>
          <w:lang w:eastAsia="en-AU"/>
        </w:rPr>
        <w:t xml:space="preserve"> could appear as late as 31 December 2027. </w:t>
      </w:r>
    </w:p>
    <w:p w14:paraId="5A341191" w14:textId="77777777" w:rsidR="002246EE" w:rsidRDefault="002246EE" w:rsidP="00F16367">
      <w:pPr>
        <w:rPr>
          <w:lang w:eastAsia="en-AU"/>
        </w:rPr>
      </w:pPr>
    </w:p>
    <w:p w14:paraId="2E628DF5" w14:textId="726E3CA7" w:rsidR="00F16367" w:rsidRDefault="00242C55" w:rsidP="00F16367">
      <w:pPr>
        <w:rPr>
          <w:lang w:eastAsia="en-AU"/>
        </w:rPr>
      </w:pPr>
      <w:r>
        <w:rPr>
          <w:lang w:eastAsia="en-AU"/>
        </w:rPr>
        <w:t xml:space="preserve">While ATEC can only give formal advice to the government </w:t>
      </w:r>
      <w:r w:rsidR="002246EE">
        <w:rPr>
          <w:lang w:eastAsia="en-AU"/>
        </w:rPr>
        <w:t>on request</w:t>
      </w:r>
      <w:r>
        <w:rPr>
          <w:lang w:eastAsia="en-AU"/>
        </w:rPr>
        <w:t xml:space="preserve">, section 42 authorises ATEC to </w:t>
      </w:r>
      <w:r w:rsidR="002246EE">
        <w:rPr>
          <w:lang w:eastAsia="en-AU"/>
        </w:rPr>
        <w:t xml:space="preserve">include analysis and commentary on many of the same </w:t>
      </w:r>
      <w:r w:rsidR="001666BE">
        <w:rPr>
          <w:lang w:eastAsia="en-AU"/>
        </w:rPr>
        <w:t xml:space="preserve">broad </w:t>
      </w:r>
      <w:r w:rsidR="002246EE">
        <w:rPr>
          <w:lang w:eastAsia="en-AU"/>
        </w:rPr>
        <w:t xml:space="preserve">topics, as shown in </w:t>
      </w:r>
      <w:r w:rsidR="002246EE">
        <w:rPr>
          <w:lang w:eastAsia="en-AU"/>
        </w:rPr>
        <w:fldChar w:fldCharType="begin"/>
      </w:r>
      <w:r w:rsidR="002246EE">
        <w:rPr>
          <w:lang w:eastAsia="en-AU"/>
        </w:rPr>
        <w:instrText xml:space="preserve"> REF _Ref218583491 \h </w:instrText>
      </w:r>
      <w:r w:rsidR="002246EE">
        <w:rPr>
          <w:lang w:eastAsia="en-AU"/>
        </w:rPr>
      </w:r>
      <w:r w:rsidR="002246EE">
        <w:rPr>
          <w:lang w:eastAsia="en-AU"/>
        </w:rPr>
        <w:fldChar w:fldCharType="separate"/>
      </w:r>
      <w:r w:rsidR="0055214B">
        <w:t xml:space="preserve">Table </w:t>
      </w:r>
      <w:r w:rsidR="0055214B">
        <w:rPr>
          <w:noProof/>
        </w:rPr>
        <w:t>4</w:t>
      </w:r>
      <w:r w:rsidR="002246EE">
        <w:rPr>
          <w:lang w:eastAsia="en-AU"/>
        </w:rPr>
        <w:fldChar w:fldCharType="end"/>
      </w:r>
      <w:r w:rsidR="002246EE">
        <w:rPr>
          <w:lang w:eastAsia="en-AU"/>
        </w:rPr>
        <w:t>.</w:t>
      </w:r>
    </w:p>
    <w:p w14:paraId="63502DBE" w14:textId="6FBD014F" w:rsidR="00242C55" w:rsidRDefault="00242C55" w:rsidP="00F16367">
      <w:pPr>
        <w:rPr>
          <w:lang w:eastAsia="en-AU"/>
        </w:rPr>
      </w:pPr>
    </w:p>
    <w:p w14:paraId="1F5AAAC6" w14:textId="695A0A94" w:rsidR="00C01395" w:rsidRDefault="00C01395" w:rsidP="00C01395">
      <w:pPr>
        <w:pStyle w:val="Caption"/>
        <w:keepNext/>
      </w:pPr>
      <w:bookmarkStart w:id="84" w:name="_Ref218583491"/>
      <w:r>
        <w:lastRenderedPageBreak/>
        <w:t xml:space="preserve">Table </w:t>
      </w:r>
      <w:r>
        <w:fldChar w:fldCharType="begin"/>
      </w:r>
      <w:r>
        <w:instrText xml:space="preserve"> SEQ Table \* ARABIC </w:instrText>
      </w:r>
      <w:r>
        <w:fldChar w:fldCharType="separate"/>
      </w:r>
      <w:r w:rsidR="0055214B">
        <w:rPr>
          <w:noProof/>
        </w:rPr>
        <w:t>4</w:t>
      </w:r>
      <w:r>
        <w:fldChar w:fldCharType="end"/>
      </w:r>
      <w:bookmarkEnd w:id="84"/>
      <w:r>
        <w:t xml:space="preserve">: Private and public ATEC advice </w:t>
      </w:r>
    </w:p>
    <w:tbl>
      <w:tblPr>
        <w:tblStyle w:val="TableGrid"/>
        <w:tblW w:w="0" w:type="auto"/>
        <w:tblLook w:val="04A0" w:firstRow="1" w:lastRow="0" w:firstColumn="1" w:lastColumn="0" w:noHBand="0" w:noVBand="1"/>
      </w:tblPr>
      <w:tblGrid>
        <w:gridCol w:w="4277"/>
        <w:gridCol w:w="4278"/>
      </w:tblGrid>
      <w:tr w:rsidR="00CE2259" w14:paraId="419B551F" w14:textId="77777777" w:rsidTr="00CE2259">
        <w:trPr>
          <w:trHeight w:val="870"/>
        </w:trPr>
        <w:tc>
          <w:tcPr>
            <w:tcW w:w="4277" w:type="dxa"/>
          </w:tcPr>
          <w:p w14:paraId="092CD18F" w14:textId="7328C468" w:rsidR="00CE2259" w:rsidRPr="00893570" w:rsidRDefault="00CE2259" w:rsidP="00F16367">
            <w:pPr>
              <w:rPr>
                <w:b/>
                <w:bCs/>
                <w:lang w:eastAsia="en-AU"/>
              </w:rPr>
            </w:pPr>
            <w:r w:rsidRPr="00893570">
              <w:rPr>
                <w:b/>
                <w:bCs/>
                <w:lang w:eastAsia="en-AU"/>
              </w:rPr>
              <w:t>Confidential advice and recommendations (section 41)</w:t>
            </w:r>
          </w:p>
        </w:tc>
        <w:tc>
          <w:tcPr>
            <w:tcW w:w="4278" w:type="dxa"/>
          </w:tcPr>
          <w:p w14:paraId="17701326" w14:textId="03003619" w:rsidR="00CE2259" w:rsidRPr="00893570" w:rsidRDefault="00CE2259" w:rsidP="00F16367">
            <w:pPr>
              <w:rPr>
                <w:b/>
                <w:bCs/>
                <w:lang w:eastAsia="en-AU"/>
              </w:rPr>
            </w:pPr>
            <w:r w:rsidRPr="00893570">
              <w:rPr>
                <w:b/>
                <w:bCs/>
                <w:lang w:eastAsia="en-AU"/>
              </w:rPr>
              <w:t>Public ATEC reporting (section 42)</w:t>
            </w:r>
          </w:p>
        </w:tc>
      </w:tr>
      <w:tr w:rsidR="00CE2259" w14:paraId="3652F102" w14:textId="77777777" w:rsidTr="00CE2259">
        <w:trPr>
          <w:trHeight w:val="885"/>
        </w:trPr>
        <w:tc>
          <w:tcPr>
            <w:tcW w:w="4277" w:type="dxa"/>
          </w:tcPr>
          <w:p w14:paraId="7F1D6890" w14:textId="16E8113A" w:rsidR="00CE2259" w:rsidRDefault="00CE2259" w:rsidP="00F16367">
            <w:pPr>
              <w:rPr>
                <w:lang w:eastAsia="en-AU"/>
              </w:rPr>
            </w:pPr>
            <w:r>
              <w:rPr>
                <w:lang w:eastAsia="en-AU"/>
              </w:rPr>
              <w:t xml:space="preserve">Policy settings for higher education </w:t>
            </w:r>
          </w:p>
        </w:tc>
        <w:tc>
          <w:tcPr>
            <w:tcW w:w="4278" w:type="dxa"/>
          </w:tcPr>
          <w:p w14:paraId="26416881" w14:textId="2811ACEA" w:rsidR="00CE2259" w:rsidRDefault="00CE2259" w:rsidP="00F16367">
            <w:pPr>
              <w:rPr>
                <w:lang w:eastAsia="en-AU"/>
              </w:rPr>
            </w:pPr>
            <w:r>
              <w:rPr>
                <w:lang w:eastAsia="en-AU"/>
              </w:rPr>
              <w:t xml:space="preserve">Proposed changes to address current trends and issues </w:t>
            </w:r>
          </w:p>
        </w:tc>
      </w:tr>
      <w:tr w:rsidR="00CE2259" w14:paraId="023CDDB6" w14:textId="77777777" w:rsidTr="00CE2259">
        <w:trPr>
          <w:trHeight w:val="285"/>
        </w:trPr>
        <w:tc>
          <w:tcPr>
            <w:tcW w:w="4277" w:type="dxa"/>
          </w:tcPr>
          <w:p w14:paraId="26F4B2E5" w14:textId="547AA1A3" w:rsidR="00CE2259" w:rsidRDefault="00CE2259" w:rsidP="00F16367">
            <w:pPr>
              <w:rPr>
                <w:lang w:eastAsia="en-AU"/>
              </w:rPr>
            </w:pPr>
            <w:r>
              <w:rPr>
                <w:lang w:eastAsia="en-AU"/>
              </w:rPr>
              <w:t xml:space="preserve">Cost of teaching and overall higher education funding amounts </w:t>
            </w:r>
          </w:p>
        </w:tc>
        <w:tc>
          <w:tcPr>
            <w:tcW w:w="4278" w:type="dxa"/>
          </w:tcPr>
          <w:p w14:paraId="147FB484" w14:textId="5DEFF8D4" w:rsidR="00CE2259" w:rsidRDefault="00CE2259" w:rsidP="00F16367">
            <w:pPr>
              <w:rPr>
                <w:lang w:eastAsia="en-AU"/>
              </w:rPr>
            </w:pPr>
            <w:r>
              <w:rPr>
                <w:lang w:eastAsia="en-AU"/>
              </w:rPr>
              <w:t xml:space="preserve">Financial sustainability of the higher education system and kinds of higher education providers </w:t>
            </w:r>
          </w:p>
        </w:tc>
      </w:tr>
      <w:tr w:rsidR="00CE2259" w14:paraId="73BA6B29" w14:textId="77777777" w:rsidTr="00CE2259">
        <w:trPr>
          <w:trHeight w:val="285"/>
        </w:trPr>
        <w:tc>
          <w:tcPr>
            <w:tcW w:w="4277" w:type="dxa"/>
          </w:tcPr>
          <w:p w14:paraId="7412339B" w14:textId="0722F374" w:rsidR="00CE2259" w:rsidRDefault="00CE2259" w:rsidP="00F16367">
            <w:pPr>
              <w:rPr>
                <w:lang w:eastAsia="en-AU"/>
              </w:rPr>
            </w:pPr>
            <w:r>
              <w:rPr>
                <w:lang w:eastAsia="en-AU"/>
              </w:rPr>
              <w:t>Student demand by discipline, region, cohort along with capacity to meet it</w:t>
            </w:r>
          </w:p>
        </w:tc>
        <w:tc>
          <w:tcPr>
            <w:tcW w:w="4278" w:type="dxa"/>
          </w:tcPr>
          <w:p w14:paraId="7952ACC1" w14:textId="57006C44" w:rsidR="00CE2259" w:rsidRDefault="00CE2259" w:rsidP="00F16367">
            <w:pPr>
              <w:rPr>
                <w:lang w:eastAsia="en-AU"/>
              </w:rPr>
            </w:pPr>
            <w:r>
              <w:rPr>
                <w:lang w:eastAsia="en-AU"/>
              </w:rPr>
              <w:t xml:space="preserve">Extent to which the higher education system meets current and can meet future student demand </w:t>
            </w:r>
          </w:p>
        </w:tc>
      </w:tr>
      <w:tr w:rsidR="00CE2259" w14:paraId="6CB0BEA5" w14:textId="77777777" w:rsidTr="00CE2259">
        <w:trPr>
          <w:trHeight w:val="236"/>
        </w:trPr>
        <w:tc>
          <w:tcPr>
            <w:tcW w:w="4277" w:type="dxa"/>
          </w:tcPr>
          <w:p w14:paraId="51ADF842" w14:textId="3E647452" w:rsidR="00CE2259" w:rsidRDefault="00CE2259" w:rsidP="00F16367">
            <w:pPr>
              <w:rPr>
                <w:lang w:eastAsia="en-AU"/>
              </w:rPr>
            </w:pPr>
            <w:r>
              <w:rPr>
                <w:lang w:eastAsia="en-AU"/>
              </w:rPr>
              <w:t>Capacity to meet skills demand</w:t>
            </w:r>
          </w:p>
        </w:tc>
        <w:tc>
          <w:tcPr>
            <w:tcW w:w="4278" w:type="dxa"/>
          </w:tcPr>
          <w:p w14:paraId="1A19D944" w14:textId="3B302961" w:rsidR="00CE2259" w:rsidRDefault="00CE2259" w:rsidP="00F16367">
            <w:pPr>
              <w:rPr>
                <w:lang w:eastAsia="en-AU"/>
              </w:rPr>
            </w:pPr>
            <w:r>
              <w:rPr>
                <w:lang w:eastAsia="en-AU"/>
              </w:rPr>
              <w:t>Extent to which the higher education system meets current and can meet future skills demand</w:t>
            </w:r>
          </w:p>
        </w:tc>
      </w:tr>
      <w:tr w:rsidR="00CE2259" w14:paraId="3FFC882C" w14:textId="77777777" w:rsidTr="00CE2259">
        <w:trPr>
          <w:trHeight w:val="285"/>
        </w:trPr>
        <w:tc>
          <w:tcPr>
            <w:tcW w:w="4277" w:type="dxa"/>
          </w:tcPr>
          <w:p w14:paraId="538EC1F1" w14:textId="79DE64A2" w:rsidR="00CE2259" w:rsidRDefault="00CE2259" w:rsidP="00F16367">
            <w:pPr>
              <w:rPr>
                <w:lang w:eastAsia="en-AU"/>
              </w:rPr>
            </w:pPr>
            <w:r>
              <w:rPr>
                <w:lang w:eastAsia="en-AU"/>
              </w:rPr>
              <w:t>Strategic direction, governance and, size and diversity of the higher education system</w:t>
            </w:r>
          </w:p>
        </w:tc>
        <w:tc>
          <w:tcPr>
            <w:tcW w:w="4278" w:type="dxa"/>
          </w:tcPr>
          <w:p w14:paraId="1BFAAC80" w14:textId="114FCB16" w:rsidR="00CE2259" w:rsidRDefault="00CE2259" w:rsidP="00F16367">
            <w:pPr>
              <w:rPr>
                <w:lang w:eastAsia="en-AU"/>
              </w:rPr>
            </w:pPr>
            <w:r>
              <w:rPr>
                <w:lang w:eastAsia="en-AU"/>
              </w:rPr>
              <w:t>None</w:t>
            </w:r>
          </w:p>
          <w:p w14:paraId="26B31A16" w14:textId="14A1BDCA" w:rsidR="00CE2259" w:rsidRDefault="00CE2259" w:rsidP="00F16367">
            <w:pPr>
              <w:rPr>
                <w:lang w:eastAsia="en-AU"/>
              </w:rPr>
            </w:pPr>
          </w:p>
        </w:tc>
      </w:tr>
      <w:tr w:rsidR="00CE2259" w14:paraId="7A329EA3" w14:textId="77777777" w:rsidTr="00CE2259">
        <w:trPr>
          <w:trHeight w:val="285"/>
        </w:trPr>
        <w:tc>
          <w:tcPr>
            <w:tcW w:w="4277" w:type="dxa"/>
          </w:tcPr>
          <w:p w14:paraId="440600A9" w14:textId="40D16AA0" w:rsidR="00CE2259" w:rsidRDefault="00CE2259" w:rsidP="00F16367">
            <w:pPr>
              <w:rPr>
                <w:lang w:eastAsia="en-AU"/>
              </w:rPr>
            </w:pPr>
            <w:r>
              <w:rPr>
                <w:lang w:eastAsia="en-AU"/>
              </w:rPr>
              <w:t xml:space="preserve">Establishment of providers, mergers, changes in ownership </w:t>
            </w:r>
          </w:p>
        </w:tc>
        <w:tc>
          <w:tcPr>
            <w:tcW w:w="4278" w:type="dxa"/>
          </w:tcPr>
          <w:p w14:paraId="355432EE" w14:textId="569C7CA3" w:rsidR="00CE2259" w:rsidRDefault="00CE2259" w:rsidP="00F16367">
            <w:pPr>
              <w:rPr>
                <w:lang w:eastAsia="en-AU"/>
              </w:rPr>
            </w:pPr>
            <w:r>
              <w:rPr>
                <w:lang w:eastAsia="en-AU"/>
              </w:rPr>
              <w:t xml:space="preserve">None </w:t>
            </w:r>
          </w:p>
        </w:tc>
      </w:tr>
      <w:tr w:rsidR="00CE2259" w14:paraId="5BFC2061" w14:textId="77777777" w:rsidTr="00CE2259">
        <w:trPr>
          <w:trHeight w:val="300"/>
        </w:trPr>
        <w:tc>
          <w:tcPr>
            <w:tcW w:w="4277" w:type="dxa"/>
          </w:tcPr>
          <w:p w14:paraId="5600D314" w14:textId="5ADABADF" w:rsidR="00CE2259" w:rsidRDefault="00CE2259" w:rsidP="00F16367">
            <w:pPr>
              <w:rPr>
                <w:lang w:eastAsia="en-AU"/>
              </w:rPr>
            </w:pPr>
            <w:r>
              <w:rPr>
                <w:lang w:eastAsia="en-AU"/>
              </w:rPr>
              <w:t xml:space="preserve">Financial sustainability of higher education providers </w:t>
            </w:r>
          </w:p>
        </w:tc>
        <w:tc>
          <w:tcPr>
            <w:tcW w:w="4278" w:type="dxa"/>
          </w:tcPr>
          <w:p w14:paraId="78AE90F6" w14:textId="4B83E420" w:rsidR="00CE2259" w:rsidRDefault="00CE2259" w:rsidP="00F16367">
            <w:pPr>
              <w:rPr>
                <w:lang w:eastAsia="en-AU"/>
              </w:rPr>
            </w:pPr>
            <w:r>
              <w:rPr>
                <w:lang w:eastAsia="en-AU"/>
              </w:rPr>
              <w:t>Financial sustainability of the higher education system and kinds of higher education providers</w:t>
            </w:r>
          </w:p>
        </w:tc>
      </w:tr>
      <w:tr w:rsidR="00CE2259" w14:paraId="36D975CE" w14:textId="77777777" w:rsidTr="00CE2259">
        <w:trPr>
          <w:trHeight w:val="285"/>
        </w:trPr>
        <w:tc>
          <w:tcPr>
            <w:tcW w:w="4277" w:type="dxa"/>
          </w:tcPr>
          <w:p w14:paraId="7273228B" w14:textId="78591693" w:rsidR="00CE2259" w:rsidRDefault="00CE2259" w:rsidP="00F16367">
            <w:pPr>
              <w:rPr>
                <w:lang w:eastAsia="en-AU"/>
              </w:rPr>
            </w:pPr>
            <w:r>
              <w:rPr>
                <w:lang w:eastAsia="en-AU"/>
              </w:rPr>
              <w:t xml:space="preserve">Improvement of equity access, participation and outcomes </w:t>
            </w:r>
          </w:p>
        </w:tc>
        <w:tc>
          <w:tcPr>
            <w:tcW w:w="4278" w:type="dxa"/>
          </w:tcPr>
          <w:p w14:paraId="0B252D2E" w14:textId="77777777" w:rsidR="00CE2259" w:rsidRDefault="00CE2259" w:rsidP="00F16367">
            <w:pPr>
              <w:rPr>
                <w:lang w:eastAsia="en-AU"/>
              </w:rPr>
            </w:pPr>
            <w:r>
              <w:rPr>
                <w:lang w:eastAsia="en-AU"/>
              </w:rPr>
              <w:t xml:space="preserve">Progress towards tertiary attainment or participation targets </w:t>
            </w:r>
          </w:p>
          <w:p w14:paraId="4601319F" w14:textId="6C5E7AF7" w:rsidR="00CE2259" w:rsidRDefault="00CE2259" w:rsidP="00F16367">
            <w:pPr>
              <w:rPr>
                <w:lang w:eastAsia="en-AU"/>
              </w:rPr>
            </w:pPr>
            <w:r>
              <w:rPr>
                <w:lang w:eastAsia="en-AU"/>
              </w:rPr>
              <w:t xml:space="preserve">Outcomes for equity groups </w:t>
            </w:r>
          </w:p>
        </w:tc>
      </w:tr>
      <w:tr w:rsidR="00CE2259" w14:paraId="420EE3A2" w14:textId="77777777" w:rsidTr="00CE2259">
        <w:trPr>
          <w:trHeight w:val="285"/>
        </w:trPr>
        <w:tc>
          <w:tcPr>
            <w:tcW w:w="4277" w:type="dxa"/>
          </w:tcPr>
          <w:p w14:paraId="4F893FE5" w14:textId="267B1C8C" w:rsidR="00CE2259" w:rsidRDefault="00CE2259" w:rsidP="00F16367">
            <w:pPr>
              <w:rPr>
                <w:lang w:eastAsia="en-AU"/>
              </w:rPr>
            </w:pPr>
            <w:r>
              <w:rPr>
                <w:lang w:eastAsia="en-AU"/>
              </w:rPr>
              <w:t>Methods for improving ATSI governance representation</w:t>
            </w:r>
          </w:p>
        </w:tc>
        <w:tc>
          <w:tcPr>
            <w:tcW w:w="4278" w:type="dxa"/>
          </w:tcPr>
          <w:p w14:paraId="5F6508C9" w14:textId="7E6D20D4" w:rsidR="00CE2259" w:rsidRDefault="00CE2259" w:rsidP="00F16367">
            <w:pPr>
              <w:rPr>
                <w:lang w:eastAsia="en-AU"/>
              </w:rPr>
            </w:pPr>
            <w:r>
              <w:rPr>
                <w:lang w:eastAsia="en-AU"/>
              </w:rPr>
              <w:t>None</w:t>
            </w:r>
          </w:p>
        </w:tc>
      </w:tr>
      <w:tr w:rsidR="00CE2259" w14:paraId="5F7F1766" w14:textId="77777777" w:rsidTr="00CE2259">
        <w:trPr>
          <w:trHeight w:val="285"/>
        </w:trPr>
        <w:tc>
          <w:tcPr>
            <w:tcW w:w="4277" w:type="dxa"/>
          </w:tcPr>
          <w:p w14:paraId="503F84CF" w14:textId="7BF5E7FD" w:rsidR="00CE2259" w:rsidRDefault="00CE2259" w:rsidP="00F16367">
            <w:pPr>
              <w:rPr>
                <w:lang w:eastAsia="en-AU"/>
              </w:rPr>
            </w:pPr>
            <w:r>
              <w:rPr>
                <w:lang w:eastAsia="en-AU"/>
              </w:rPr>
              <w:t xml:space="preserve">Higher education data and publications </w:t>
            </w:r>
          </w:p>
        </w:tc>
        <w:tc>
          <w:tcPr>
            <w:tcW w:w="4278" w:type="dxa"/>
          </w:tcPr>
          <w:p w14:paraId="2FD6D390" w14:textId="1D95C33A" w:rsidR="00CE2259" w:rsidRDefault="00CE2259" w:rsidP="00F16367">
            <w:pPr>
              <w:rPr>
                <w:lang w:eastAsia="en-AU"/>
              </w:rPr>
            </w:pPr>
            <w:r>
              <w:rPr>
                <w:lang w:eastAsia="en-AU"/>
              </w:rPr>
              <w:t xml:space="preserve">None </w:t>
            </w:r>
          </w:p>
        </w:tc>
      </w:tr>
      <w:tr w:rsidR="00CE2259" w14:paraId="3F3A175D" w14:textId="77777777" w:rsidTr="00CE2259">
        <w:trPr>
          <w:trHeight w:val="285"/>
        </w:trPr>
        <w:tc>
          <w:tcPr>
            <w:tcW w:w="4277" w:type="dxa"/>
          </w:tcPr>
          <w:p w14:paraId="60DB13AF" w14:textId="080ABD96" w:rsidR="00CE2259" w:rsidRDefault="00CE2259" w:rsidP="00F16367">
            <w:pPr>
              <w:rPr>
                <w:lang w:eastAsia="en-AU"/>
              </w:rPr>
            </w:pPr>
            <w:r>
              <w:rPr>
                <w:lang w:eastAsia="en-AU"/>
              </w:rPr>
              <w:t xml:space="preserve">Any other advice with relation to the higher education system </w:t>
            </w:r>
          </w:p>
        </w:tc>
        <w:tc>
          <w:tcPr>
            <w:tcW w:w="4278" w:type="dxa"/>
          </w:tcPr>
          <w:p w14:paraId="4F8F1589" w14:textId="2A2E2327" w:rsidR="00CE2259" w:rsidRDefault="00CE2259" w:rsidP="00F16367">
            <w:pPr>
              <w:rPr>
                <w:lang w:eastAsia="en-AU"/>
              </w:rPr>
            </w:pPr>
            <w:r>
              <w:rPr>
                <w:lang w:eastAsia="en-AU"/>
              </w:rPr>
              <w:t>Proposed changes to address current trends and issues</w:t>
            </w:r>
          </w:p>
        </w:tc>
      </w:tr>
      <w:tr w:rsidR="00CE2259" w14:paraId="4D3F1D15" w14:textId="77777777" w:rsidTr="00CE2259">
        <w:trPr>
          <w:trHeight w:val="285"/>
        </w:trPr>
        <w:tc>
          <w:tcPr>
            <w:tcW w:w="4277" w:type="dxa"/>
          </w:tcPr>
          <w:p w14:paraId="3ACC35F5" w14:textId="5C3C3053" w:rsidR="00CE2259" w:rsidRDefault="00CE2259" w:rsidP="00F16367">
            <w:pPr>
              <w:rPr>
                <w:lang w:eastAsia="en-AU"/>
              </w:rPr>
            </w:pPr>
            <w:r>
              <w:rPr>
                <w:lang w:eastAsia="en-AU"/>
              </w:rPr>
              <w:t>Coordination and collaboration between higher education and VET</w:t>
            </w:r>
          </w:p>
        </w:tc>
        <w:tc>
          <w:tcPr>
            <w:tcW w:w="4278" w:type="dxa"/>
          </w:tcPr>
          <w:p w14:paraId="473EBF56" w14:textId="2D43E776" w:rsidR="00CE2259" w:rsidRDefault="00CE2259" w:rsidP="00F16367">
            <w:pPr>
              <w:rPr>
                <w:lang w:eastAsia="en-AU"/>
              </w:rPr>
            </w:pPr>
            <w:r>
              <w:rPr>
                <w:lang w:eastAsia="en-AU"/>
              </w:rPr>
              <w:t>Progress in improving coordination and collaboration between higher education and VET</w:t>
            </w:r>
          </w:p>
        </w:tc>
      </w:tr>
      <w:tr w:rsidR="00CE2259" w14:paraId="7A48DAF5" w14:textId="77777777" w:rsidTr="00CE2259">
        <w:trPr>
          <w:trHeight w:val="285"/>
        </w:trPr>
        <w:tc>
          <w:tcPr>
            <w:tcW w:w="4277" w:type="dxa"/>
          </w:tcPr>
          <w:p w14:paraId="44F5EB1B" w14:textId="6BE5748F" w:rsidR="00CE2259" w:rsidRDefault="00CE2259" w:rsidP="00F16367">
            <w:pPr>
              <w:rPr>
                <w:lang w:eastAsia="en-AU"/>
              </w:rPr>
            </w:pPr>
            <w:r>
              <w:rPr>
                <w:lang w:eastAsia="en-AU"/>
              </w:rPr>
              <w:t xml:space="preserve">Tertiary education participation and attainment targets </w:t>
            </w:r>
          </w:p>
        </w:tc>
        <w:tc>
          <w:tcPr>
            <w:tcW w:w="4278" w:type="dxa"/>
          </w:tcPr>
          <w:p w14:paraId="48D8E8DF" w14:textId="77777777" w:rsidR="00CE2259" w:rsidRDefault="00CE2259" w:rsidP="00CE2259">
            <w:pPr>
              <w:rPr>
                <w:lang w:eastAsia="en-AU"/>
              </w:rPr>
            </w:pPr>
            <w:r>
              <w:rPr>
                <w:lang w:eastAsia="en-AU"/>
              </w:rPr>
              <w:t xml:space="preserve">Progress towards tertiary attainment or participation targets </w:t>
            </w:r>
          </w:p>
          <w:p w14:paraId="294940D4" w14:textId="77777777" w:rsidR="00CE2259" w:rsidRDefault="00CE2259" w:rsidP="00F16367">
            <w:pPr>
              <w:rPr>
                <w:lang w:eastAsia="en-AU"/>
              </w:rPr>
            </w:pPr>
          </w:p>
        </w:tc>
      </w:tr>
      <w:tr w:rsidR="00CE2259" w14:paraId="1149FFE4" w14:textId="77777777" w:rsidTr="00CE2259">
        <w:trPr>
          <w:trHeight w:val="285"/>
        </w:trPr>
        <w:tc>
          <w:tcPr>
            <w:tcW w:w="4277" w:type="dxa"/>
          </w:tcPr>
          <w:p w14:paraId="0C2C0D58" w14:textId="51DB9119" w:rsidR="00CE2259" w:rsidRDefault="00CE2259" w:rsidP="00F16367">
            <w:pPr>
              <w:rPr>
                <w:lang w:eastAsia="en-AU"/>
              </w:rPr>
            </w:pPr>
            <w:r>
              <w:rPr>
                <w:lang w:eastAsia="en-AU"/>
              </w:rPr>
              <w:t xml:space="preserve">Any other advice with relation to the higher education system </w:t>
            </w:r>
          </w:p>
        </w:tc>
        <w:tc>
          <w:tcPr>
            <w:tcW w:w="4278" w:type="dxa"/>
          </w:tcPr>
          <w:p w14:paraId="11089508" w14:textId="4504A44D" w:rsidR="00CE2259" w:rsidRDefault="00CE2259" w:rsidP="00CE2259">
            <w:pPr>
              <w:rPr>
                <w:lang w:eastAsia="en-AU"/>
              </w:rPr>
            </w:pPr>
            <w:r>
              <w:rPr>
                <w:lang w:eastAsia="en-AU"/>
              </w:rPr>
              <w:t xml:space="preserve">Extent to which the higher education system is delivering services in and for regional Australia </w:t>
            </w:r>
          </w:p>
        </w:tc>
      </w:tr>
      <w:tr w:rsidR="00CE2259" w14:paraId="010E3C4F" w14:textId="77777777" w:rsidTr="00CE2259">
        <w:trPr>
          <w:trHeight w:val="285"/>
        </w:trPr>
        <w:tc>
          <w:tcPr>
            <w:tcW w:w="4277" w:type="dxa"/>
          </w:tcPr>
          <w:p w14:paraId="658BEA18" w14:textId="4291BE01" w:rsidR="00CE2259" w:rsidRDefault="00A83257" w:rsidP="00F16367">
            <w:pPr>
              <w:rPr>
                <w:lang w:eastAsia="en-AU"/>
              </w:rPr>
            </w:pPr>
            <w:r>
              <w:rPr>
                <w:lang w:eastAsia="en-AU"/>
              </w:rPr>
              <w:t>Any other advice with relation to the higher education system</w:t>
            </w:r>
          </w:p>
        </w:tc>
        <w:tc>
          <w:tcPr>
            <w:tcW w:w="4278" w:type="dxa"/>
          </w:tcPr>
          <w:p w14:paraId="43A08B56" w14:textId="771F8A45" w:rsidR="00CE2259" w:rsidRDefault="00A83257" w:rsidP="00CE2259">
            <w:pPr>
              <w:rPr>
                <w:lang w:eastAsia="en-AU"/>
              </w:rPr>
            </w:pPr>
            <w:r>
              <w:rPr>
                <w:lang w:eastAsia="en-AU"/>
              </w:rPr>
              <w:t xml:space="preserve">Extent to which the higher education system promotes long-term innovation and creativity that </w:t>
            </w:r>
            <w:r>
              <w:rPr>
                <w:lang w:eastAsia="en-AU"/>
              </w:rPr>
              <w:lastRenderedPageBreak/>
              <w:t xml:space="preserve">contributes to skills and workforce development </w:t>
            </w:r>
          </w:p>
        </w:tc>
      </w:tr>
      <w:tr w:rsidR="00A83257" w14:paraId="57F4EAEA" w14:textId="77777777" w:rsidTr="00CE2259">
        <w:trPr>
          <w:trHeight w:val="285"/>
        </w:trPr>
        <w:tc>
          <w:tcPr>
            <w:tcW w:w="4277" w:type="dxa"/>
          </w:tcPr>
          <w:p w14:paraId="0DBA1B78" w14:textId="65DFA8AF" w:rsidR="00A83257" w:rsidRDefault="00A83257" w:rsidP="00F16367">
            <w:pPr>
              <w:rPr>
                <w:lang w:eastAsia="en-AU"/>
              </w:rPr>
            </w:pPr>
            <w:r>
              <w:rPr>
                <w:lang w:eastAsia="en-AU"/>
              </w:rPr>
              <w:lastRenderedPageBreak/>
              <w:t>Any other advice with relation to the higher education system</w:t>
            </w:r>
          </w:p>
        </w:tc>
        <w:tc>
          <w:tcPr>
            <w:tcW w:w="4278" w:type="dxa"/>
          </w:tcPr>
          <w:p w14:paraId="37BC9034" w14:textId="0F03E6E3" w:rsidR="00A83257" w:rsidRDefault="00A83257" w:rsidP="00CE2259">
            <w:pPr>
              <w:rPr>
                <w:lang w:eastAsia="en-AU"/>
              </w:rPr>
            </w:pPr>
            <w:r>
              <w:rPr>
                <w:lang w:eastAsia="en-AU"/>
              </w:rPr>
              <w:t>Good practice by tertiary education providers in relation to any of the above</w:t>
            </w:r>
          </w:p>
        </w:tc>
      </w:tr>
    </w:tbl>
    <w:p w14:paraId="40E8225E" w14:textId="77777777" w:rsidR="00CE2259" w:rsidRDefault="00CE2259" w:rsidP="00F16367">
      <w:pPr>
        <w:rPr>
          <w:lang w:eastAsia="en-AU"/>
        </w:rPr>
      </w:pPr>
    </w:p>
    <w:p w14:paraId="513CEC69" w14:textId="20A6C8F4" w:rsidR="00CE2259" w:rsidRDefault="002246EE" w:rsidP="009B5808">
      <w:pPr>
        <w:pStyle w:val="Heading3"/>
        <w:rPr>
          <w:lang w:eastAsia="en-AU"/>
        </w:rPr>
      </w:pPr>
      <w:bookmarkStart w:id="85" w:name="_Toc219380942"/>
      <w:r>
        <w:rPr>
          <w:lang w:eastAsia="en-AU"/>
        </w:rPr>
        <w:t xml:space="preserve">Other topics in the State of the </w:t>
      </w:r>
      <w:r w:rsidR="009B5808">
        <w:rPr>
          <w:lang w:eastAsia="en-AU"/>
        </w:rPr>
        <w:t xml:space="preserve">Tertiary </w:t>
      </w:r>
      <w:r>
        <w:rPr>
          <w:lang w:eastAsia="en-AU"/>
        </w:rPr>
        <w:t>Education</w:t>
      </w:r>
      <w:r w:rsidR="009B5808">
        <w:rPr>
          <w:lang w:eastAsia="en-AU"/>
        </w:rPr>
        <w:t xml:space="preserve"> System Report</w:t>
      </w:r>
      <w:bookmarkEnd w:id="85"/>
    </w:p>
    <w:p w14:paraId="39BE12CA" w14:textId="77777777" w:rsidR="004F579B" w:rsidRDefault="009B5808" w:rsidP="00F16367">
      <w:pPr>
        <w:rPr>
          <w:lang w:eastAsia="en-AU"/>
        </w:rPr>
      </w:pPr>
      <w:r>
        <w:rPr>
          <w:lang w:eastAsia="en-AU"/>
        </w:rPr>
        <w:t xml:space="preserve">As with the scope of advice to the government in section 41, there are significant omissions in the topics specifically nominated by section 42 for ATEC’s state of the system report – research and international education most obviously, although the latter is an unavoidable topic when considering the system’s ‘financial sustainability’. </w:t>
      </w:r>
    </w:p>
    <w:p w14:paraId="7869BB2B" w14:textId="77777777" w:rsidR="004F579B" w:rsidRDefault="004F579B" w:rsidP="00F16367">
      <w:pPr>
        <w:rPr>
          <w:lang w:eastAsia="en-AU"/>
        </w:rPr>
      </w:pPr>
    </w:p>
    <w:p w14:paraId="60FF3AFF" w14:textId="59BD0850" w:rsidR="004F3B6D" w:rsidRDefault="0080489C" w:rsidP="00F16367">
      <w:pPr>
        <w:rPr>
          <w:lang w:eastAsia="en-AU"/>
        </w:rPr>
      </w:pPr>
      <w:r>
        <w:rPr>
          <w:lang w:eastAsia="en-AU"/>
        </w:rPr>
        <w:t>It</w:t>
      </w:r>
      <w:r w:rsidR="004F579B">
        <w:rPr>
          <w:lang w:eastAsia="en-AU"/>
        </w:rPr>
        <w:t xml:space="preserve"> is not clear whether section 42 envisages constraints on what ATEC can include in its state of the system report. When the preface of section 42(2) says a ‘report </w:t>
      </w:r>
      <w:r w:rsidR="004F579B" w:rsidRPr="004F579B">
        <w:rPr>
          <w:i/>
          <w:iCs/>
          <w:lang w:eastAsia="en-AU"/>
        </w:rPr>
        <w:t>may</w:t>
      </w:r>
      <w:r w:rsidR="004F579B">
        <w:rPr>
          <w:lang w:eastAsia="en-AU"/>
        </w:rPr>
        <w:t xml:space="preserve"> include’… (emphasis added) i</w:t>
      </w:r>
      <w:r>
        <w:rPr>
          <w:lang w:eastAsia="en-AU"/>
        </w:rPr>
        <w:t xml:space="preserve">t is at minimum </w:t>
      </w:r>
      <w:r w:rsidR="004F579B">
        <w:rPr>
          <w:lang w:eastAsia="en-AU"/>
        </w:rPr>
        <w:t>saying that ATEC can include these matters but is not required to include them</w:t>
      </w:r>
      <w:r>
        <w:rPr>
          <w:lang w:eastAsia="en-AU"/>
        </w:rPr>
        <w:t>.</w:t>
      </w:r>
      <w:r>
        <w:rPr>
          <w:rStyle w:val="FootnoteReference"/>
          <w:lang w:eastAsia="en-AU"/>
        </w:rPr>
        <w:footnoteReference w:id="12"/>
      </w:r>
      <w:r w:rsidR="004F579B">
        <w:rPr>
          <w:lang w:eastAsia="en-AU"/>
        </w:rPr>
        <w:t xml:space="preserve"> </w:t>
      </w:r>
      <w:r>
        <w:rPr>
          <w:lang w:eastAsia="en-AU"/>
        </w:rPr>
        <w:t>But</w:t>
      </w:r>
      <w:r w:rsidR="004F579B">
        <w:rPr>
          <w:lang w:eastAsia="en-AU"/>
        </w:rPr>
        <w:t xml:space="preserve"> is it saying these are the only matters that ATEC may include in the report? </w:t>
      </w:r>
      <w:r w:rsidR="00721F69">
        <w:rPr>
          <w:lang w:eastAsia="en-AU"/>
        </w:rPr>
        <w:t>There is no equivalent of section 41(1)(k) on advice to the minister ‘any other advice in relation to the higher education system’.</w:t>
      </w:r>
      <w:r w:rsidR="002878BD">
        <w:rPr>
          <w:lang w:eastAsia="en-AU"/>
        </w:rPr>
        <w:t xml:space="preserve"> </w:t>
      </w:r>
      <w:r w:rsidR="00721F69">
        <w:rPr>
          <w:lang w:eastAsia="en-AU"/>
        </w:rPr>
        <w:t>On the other hand, section 42(2)(a) on ‘current and emerging trends and issues’ creates an opportunity for ATEC to comment on matters not specified in other sections. T</w:t>
      </w:r>
      <w:r w:rsidR="004F579B">
        <w:rPr>
          <w:lang w:eastAsia="en-AU"/>
        </w:rPr>
        <w:t xml:space="preserve">he section 42(2) list of topics </w:t>
      </w:r>
      <w:r w:rsidR="00721F69">
        <w:rPr>
          <w:lang w:eastAsia="en-AU"/>
        </w:rPr>
        <w:t xml:space="preserve">could </w:t>
      </w:r>
      <w:r w:rsidR="004F579B">
        <w:rPr>
          <w:lang w:eastAsia="en-AU"/>
        </w:rPr>
        <w:t xml:space="preserve">be seen as a prompt on matters the government would like to hear about </w:t>
      </w:r>
      <w:r w:rsidR="00721F69">
        <w:rPr>
          <w:lang w:eastAsia="en-AU"/>
        </w:rPr>
        <w:t>rather than</w:t>
      </w:r>
      <w:r w:rsidR="004F579B">
        <w:rPr>
          <w:lang w:eastAsia="en-AU"/>
        </w:rPr>
        <w:t xml:space="preserve"> a restriction</w:t>
      </w:r>
      <w:r w:rsidR="00721F69">
        <w:rPr>
          <w:lang w:eastAsia="en-AU"/>
        </w:rPr>
        <w:t>.</w:t>
      </w:r>
    </w:p>
    <w:p w14:paraId="700B53EB" w14:textId="77777777" w:rsidR="004F3B6D" w:rsidRDefault="004F3B6D" w:rsidP="00F16367">
      <w:pPr>
        <w:rPr>
          <w:lang w:eastAsia="en-AU"/>
        </w:rPr>
      </w:pPr>
    </w:p>
    <w:p w14:paraId="1F93D007" w14:textId="016E37C9" w:rsidR="009F4E45" w:rsidRDefault="009F4E45" w:rsidP="00F16367">
      <w:pPr>
        <w:rPr>
          <w:lang w:eastAsia="en-AU"/>
        </w:rPr>
      </w:pPr>
      <w:r>
        <w:rPr>
          <w:lang w:eastAsia="en-AU"/>
        </w:rPr>
        <w:t>For policy commentary, only section 42(2)(a) specifically mentions ‘commentary’ on ‘proposed changes’ to address the issues described. Sections 42(b) to 42(h) however just require reporting on progress or performance in various areas. Does this drafting imply that ATEC should not discuss proposed changes in policy in relation to sections 42(b) to 42(h)?</w:t>
      </w:r>
    </w:p>
    <w:p w14:paraId="1E315F8F" w14:textId="77777777" w:rsidR="00721F69" w:rsidRDefault="00721F69" w:rsidP="00F16367">
      <w:pPr>
        <w:rPr>
          <w:lang w:eastAsia="en-AU"/>
        </w:rPr>
      </w:pPr>
    </w:p>
    <w:p w14:paraId="7C5EC09B" w14:textId="432E77CA" w:rsidR="006D0CA2" w:rsidRDefault="006D0CA2" w:rsidP="00F16367">
      <w:pPr>
        <w:rPr>
          <w:lang w:eastAsia="en-AU"/>
        </w:rPr>
      </w:pPr>
      <w:r>
        <w:rPr>
          <w:lang w:eastAsia="en-AU"/>
        </w:rPr>
        <w:t xml:space="preserve">If ATEC includes discussion of ‘proposed changes’ it will need to decide whether these constitute ‘advice and </w:t>
      </w:r>
      <w:proofErr w:type="gramStart"/>
      <w:r>
        <w:rPr>
          <w:lang w:eastAsia="en-AU"/>
        </w:rPr>
        <w:t>recommendations’</w:t>
      </w:r>
      <w:proofErr w:type="gramEnd"/>
      <w:r>
        <w:rPr>
          <w:lang w:eastAsia="en-AU"/>
        </w:rPr>
        <w:t xml:space="preserve">. If so, the minister needs to approve their release: section 69. In any case, the state of the system report must be provided to the minister at least four weeks prior to publication: section 42(3)(b). </w:t>
      </w:r>
    </w:p>
    <w:p w14:paraId="797F5BEF" w14:textId="77777777" w:rsidR="00E33047" w:rsidRDefault="00E33047" w:rsidP="00F16367">
      <w:pPr>
        <w:rPr>
          <w:lang w:eastAsia="en-AU"/>
        </w:rPr>
      </w:pPr>
    </w:p>
    <w:p w14:paraId="0CB50A6E" w14:textId="17BD2D64" w:rsidR="00E33047" w:rsidRDefault="00E33047" w:rsidP="00F16367">
      <w:pPr>
        <w:rPr>
          <w:lang w:eastAsia="en-AU"/>
        </w:rPr>
      </w:pPr>
      <w:r>
        <w:rPr>
          <w:lang w:eastAsia="en-AU"/>
        </w:rPr>
        <w:t xml:space="preserve">While the drafting of the State of the Tertiary Education System report provisions needs improving, more active consideration of the sector’s trends and performance is desirable. This is one good thing I can find in this bill. </w:t>
      </w:r>
    </w:p>
    <w:p w14:paraId="149F899D" w14:textId="77777777" w:rsidR="00721F69" w:rsidRDefault="00721F69" w:rsidP="00F16367">
      <w:pPr>
        <w:rPr>
          <w:lang w:eastAsia="en-AU"/>
        </w:rPr>
      </w:pPr>
    </w:p>
    <w:p w14:paraId="06CBE798" w14:textId="35D207F9" w:rsidR="00721F69" w:rsidRDefault="00721F69" w:rsidP="00F16367">
      <w:pPr>
        <w:rPr>
          <w:lang w:eastAsia="en-AU"/>
        </w:rPr>
      </w:pPr>
      <w:r>
        <w:rPr>
          <w:lang w:eastAsia="en-AU"/>
        </w:rPr>
        <w:t>Recommendation:</w:t>
      </w:r>
    </w:p>
    <w:p w14:paraId="774425ED" w14:textId="77777777" w:rsidR="00721F69" w:rsidRDefault="00721F69" w:rsidP="00F16367">
      <w:pPr>
        <w:rPr>
          <w:lang w:eastAsia="en-AU"/>
        </w:rPr>
      </w:pPr>
    </w:p>
    <w:p w14:paraId="3E0E3D8D" w14:textId="4B702D9B" w:rsidR="00721F69" w:rsidRDefault="00721F69" w:rsidP="00F16367">
      <w:pPr>
        <w:rPr>
          <w:lang w:eastAsia="en-AU"/>
        </w:rPr>
      </w:pPr>
      <w:r>
        <w:rPr>
          <w:lang w:eastAsia="en-AU"/>
        </w:rPr>
        <w:t xml:space="preserve">The drafting of section 42, relating to the state of the tertiary education system report, should be improved to make clear what can and cannot be included. </w:t>
      </w:r>
    </w:p>
    <w:p w14:paraId="7B6E787F" w14:textId="5811AAFA" w:rsidR="004F579B" w:rsidRDefault="004F579B" w:rsidP="00F16367">
      <w:pPr>
        <w:rPr>
          <w:lang w:eastAsia="en-AU"/>
        </w:rPr>
      </w:pPr>
    </w:p>
    <w:p w14:paraId="38D928FD" w14:textId="1A251DFA" w:rsidR="004F579B" w:rsidRDefault="004F579B" w:rsidP="004F579B">
      <w:pPr>
        <w:pStyle w:val="Heading3"/>
        <w:rPr>
          <w:lang w:eastAsia="en-AU"/>
        </w:rPr>
      </w:pPr>
      <w:bookmarkStart w:id="86" w:name="_Toc219380943"/>
      <w:r>
        <w:rPr>
          <w:lang w:eastAsia="en-AU"/>
        </w:rPr>
        <w:lastRenderedPageBreak/>
        <w:t>Ad hoc reports</w:t>
      </w:r>
      <w:bookmarkEnd w:id="86"/>
    </w:p>
    <w:p w14:paraId="341CF5CC" w14:textId="7AD52F58" w:rsidR="009B5808" w:rsidRDefault="009F4E45" w:rsidP="00F16367">
      <w:pPr>
        <w:rPr>
          <w:lang w:eastAsia="en-AU"/>
        </w:rPr>
      </w:pPr>
      <w:r>
        <w:rPr>
          <w:lang w:eastAsia="en-AU"/>
        </w:rPr>
        <w:t xml:space="preserve">For ATEC to address ‘emerging’ issues an ad hoc </w:t>
      </w:r>
      <w:r w:rsidR="0055214B">
        <w:rPr>
          <w:lang w:eastAsia="en-AU"/>
        </w:rPr>
        <w:t xml:space="preserve">rather than annual </w:t>
      </w:r>
      <w:r>
        <w:rPr>
          <w:lang w:eastAsia="en-AU"/>
        </w:rPr>
        <w:t xml:space="preserve">report would more effectively draw quick attention to the problem. ATEC can ‘report and publish information in relation to the tertiary education system and higher education providers’: section 11(h). </w:t>
      </w:r>
      <w:r w:rsidR="006D0CA2">
        <w:rPr>
          <w:lang w:eastAsia="en-AU"/>
        </w:rPr>
        <w:t xml:space="preserve">However, the wording of this section seems to preclude advice or commentary. </w:t>
      </w:r>
      <w:r w:rsidR="00C7352B">
        <w:rPr>
          <w:lang w:eastAsia="en-AU"/>
        </w:rPr>
        <w:t xml:space="preserve">If advice was included, it would be subject to section 69 ministerial approval. </w:t>
      </w:r>
    </w:p>
    <w:p w14:paraId="4C47C21E" w14:textId="77EED86E" w:rsidR="006D0CA2" w:rsidRDefault="006D0CA2" w:rsidP="00F16367">
      <w:pPr>
        <w:rPr>
          <w:lang w:eastAsia="en-AU"/>
        </w:rPr>
      </w:pPr>
    </w:p>
    <w:p w14:paraId="4026CDFD" w14:textId="742FDB17" w:rsidR="00315523" w:rsidRPr="00315523" w:rsidRDefault="00DA3091" w:rsidP="00DA3091">
      <w:pPr>
        <w:pStyle w:val="Heading2"/>
        <w:rPr>
          <w:lang w:eastAsia="en-AU"/>
        </w:rPr>
      </w:pPr>
      <w:bookmarkStart w:id="87" w:name="_Toc219380944"/>
      <w:r>
        <w:rPr>
          <w:lang w:eastAsia="en-AU"/>
        </w:rPr>
        <w:t>ATEC’s capacity to give advice</w:t>
      </w:r>
      <w:bookmarkEnd w:id="87"/>
      <w:r>
        <w:rPr>
          <w:lang w:eastAsia="en-AU"/>
        </w:rPr>
        <w:t xml:space="preserve"> </w:t>
      </w:r>
    </w:p>
    <w:p w14:paraId="20ED637F" w14:textId="5A0496B8" w:rsidR="00406561" w:rsidRDefault="00DA3091" w:rsidP="00DA3091">
      <w:pPr>
        <w:pStyle w:val="BodyText"/>
      </w:pPr>
      <w:r>
        <w:t xml:space="preserve">As noted in chapter </w:t>
      </w:r>
      <w:r>
        <w:fldChar w:fldCharType="begin"/>
      </w:r>
      <w:r>
        <w:instrText xml:space="preserve"> REF _Ref217042283 \r \h </w:instrText>
      </w:r>
      <w:r>
        <w:fldChar w:fldCharType="separate"/>
      </w:r>
      <w:r w:rsidR="0055214B">
        <w:t>8</w:t>
      </w:r>
      <w:r>
        <w:fldChar w:fldCharType="end"/>
      </w:r>
      <w:r>
        <w:t xml:space="preserve">, ATEC’s commissioners are not required to have expertise in </w:t>
      </w:r>
      <w:r w:rsidR="00C7352B">
        <w:t>many</w:t>
      </w:r>
      <w:r>
        <w:t xml:space="preserve"> of these areas</w:t>
      </w:r>
      <w:r w:rsidR="00C7352B">
        <w:t xml:space="preserve"> in which ATEC is expected to give advice</w:t>
      </w:r>
      <w:r>
        <w:t xml:space="preserve">. While that chapter has recommendations to increase the range of expertise in the commissioner group, realistically not every area of desirable expertise can be covered. </w:t>
      </w:r>
      <w:r w:rsidR="007A1F69">
        <w:t xml:space="preserve">The commissioners will rely on </w:t>
      </w:r>
      <w:r w:rsidR="00C22EDC">
        <w:t xml:space="preserve">formal committees, </w:t>
      </w:r>
      <w:r w:rsidR="007A1F69">
        <w:t xml:space="preserve">consultations, </w:t>
      </w:r>
      <w:r w:rsidR="00B97798">
        <w:t xml:space="preserve">ATEC staff and </w:t>
      </w:r>
      <w:r w:rsidR="007A1F69">
        <w:t>consultants</w:t>
      </w:r>
      <w:r w:rsidR="00B97798">
        <w:t>.</w:t>
      </w:r>
      <w:r w:rsidR="00B05898">
        <w:t xml:space="preserve"> </w:t>
      </w:r>
      <w:r w:rsidR="0055214B">
        <w:t>T</w:t>
      </w:r>
      <w:r w:rsidR="00B05898">
        <w:t xml:space="preserve">hese are discussed below. </w:t>
      </w:r>
    </w:p>
    <w:p w14:paraId="2531BF59" w14:textId="77777777" w:rsidR="00406561" w:rsidRDefault="00406561" w:rsidP="00DA3091">
      <w:pPr>
        <w:pStyle w:val="BodyText"/>
      </w:pPr>
    </w:p>
    <w:p w14:paraId="1FF1F4AA" w14:textId="288A83B7" w:rsidR="007A1F69" w:rsidRDefault="00B05898" w:rsidP="00DA3091">
      <w:pPr>
        <w:pStyle w:val="BodyText"/>
      </w:pPr>
      <w:r>
        <w:t xml:space="preserve">The key problem is that </w:t>
      </w:r>
      <w:r w:rsidR="00406561">
        <w:t xml:space="preserve">the </w:t>
      </w:r>
      <w:r>
        <w:t xml:space="preserve">ATEC </w:t>
      </w:r>
      <w:r w:rsidR="00406561">
        <w:t xml:space="preserve">commissioners have no guaranteed resources other that their own time, about 2.5 FTE. They are reliant on the Department of Education for staffing resources, with only limited control over how many staff they have and who they are. They can also access information through consultations and official advisory committees. </w:t>
      </w:r>
    </w:p>
    <w:p w14:paraId="04C3726C" w14:textId="59095853" w:rsidR="00C7352B" w:rsidRDefault="00C7352B" w:rsidP="00DA3091">
      <w:pPr>
        <w:pStyle w:val="BodyText"/>
      </w:pPr>
    </w:p>
    <w:p w14:paraId="375157D8" w14:textId="41889748" w:rsidR="003E611A" w:rsidRDefault="003E611A" w:rsidP="003E611A">
      <w:pPr>
        <w:pStyle w:val="Heading3"/>
      </w:pPr>
      <w:bookmarkStart w:id="88" w:name="_Toc219380945"/>
      <w:r>
        <w:t>Committees</w:t>
      </w:r>
      <w:bookmarkEnd w:id="88"/>
    </w:p>
    <w:p w14:paraId="40E85EB7" w14:textId="1695D767" w:rsidR="00721F69" w:rsidRDefault="00C7352B" w:rsidP="00DA3091">
      <w:pPr>
        <w:pStyle w:val="BodyText"/>
      </w:pPr>
      <w:r>
        <w:t>ATEC can establish committees ‘to provide advice or recommendations to the ATEC in relation to the performance of the ATEC’s functions: section 25(2). The mention of ‘functions’ restricts it to the section 11 list of functions</w:t>
      </w:r>
      <w:r w:rsidR="00721F69">
        <w:t xml:space="preserve">. As noted earlier in this chapter, section 11 has a much shorter list of subjects of advice from ATEC to the minister than section 41. As also noted, both lists have surprising omissions. </w:t>
      </w:r>
    </w:p>
    <w:p w14:paraId="1C670D14" w14:textId="77777777" w:rsidR="00721F69" w:rsidRDefault="00721F69" w:rsidP="00DA3091">
      <w:pPr>
        <w:pStyle w:val="BodyText"/>
      </w:pPr>
    </w:p>
    <w:p w14:paraId="5960A2F8" w14:textId="731C2E68" w:rsidR="00721F69" w:rsidRDefault="00721F69" w:rsidP="00DA3091">
      <w:pPr>
        <w:pStyle w:val="BodyText"/>
      </w:pPr>
      <w:r>
        <w:t xml:space="preserve">My proposal in chapter </w:t>
      </w:r>
      <w:r>
        <w:fldChar w:fldCharType="begin"/>
      </w:r>
      <w:r>
        <w:instrText xml:space="preserve"> REF _Ref216188711 \r \h </w:instrText>
      </w:r>
      <w:r>
        <w:fldChar w:fldCharType="separate"/>
      </w:r>
      <w:r w:rsidR="0055214B">
        <w:t>2</w:t>
      </w:r>
      <w:r>
        <w:fldChar w:fldCharType="end"/>
      </w:r>
      <w:r>
        <w:t xml:space="preserve"> to create a general advisory function in section 11 that cross-references section 41, along with additions to the list of topics, would remedy this problem and let ATEC establish committees on a wider range of topics. </w:t>
      </w:r>
    </w:p>
    <w:p w14:paraId="1B40BD15" w14:textId="77777777" w:rsidR="00721F69" w:rsidRDefault="00721F69" w:rsidP="00DA3091">
      <w:pPr>
        <w:pStyle w:val="BodyText"/>
      </w:pPr>
    </w:p>
    <w:p w14:paraId="14EB87AE" w14:textId="57EB77CC" w:rsidR="00C7352B" w:rsidRDefault="00C7352B" w:rsidP="00DA3091">
      <w:pPr>
        <w:pStyle w:val="BodyText"/>
      </w:pPr>
      <w:r>
        <w:t xml:space="preserve"> </w:t>
      </w:r>
      <w:r w:rsidR="00406561">
        <w:t xml:space="preserve">There is no direct mention of </w:t>
      </w:r>
      <w:r w:rsidR="00721F69">
        <w:t xml:space="preserve">committee member </w:t>
      </w:r>
      <w:proofErr w:type="gramStart"/>
      <w:r w:rsidR="00406561">
        <w:t>remuneration</w:t>
      </w:r>
      <w:proofErr w:type="gramEnd"/>
      <w:r w:rsidR="00406561">
        <w:t xml:space="preserve"> but ATEC can determine ‘terms and conditions of appointment’: section 25(5). </w:t>
      </w:r>
    </w:p>
    <w:p w14:paraId="206EE4D4" w14:textId="2EF00ADD" w:rsidR="003E611A" w:rsidRDefault="003E611A" w:rsidP="00DA3091">
      <w:pPr>
        <w:pStyle w:val="BodyText"/>
      </w:pPr>
    </w:p>
    <w:p w14:paraId="49DD8A50" w14:textId="13D1BBE5" w:rsidR="003E611A" w:rsidRDefault="003E611A" w:rsidP="003E611A">
      <w:pPr>
        <w:pStyle w:val="Heading3"/>
      </w:pPr>
      <w:bookmarkStart w:id="89" w:name="_Toc219380946"/>
      <w:r>
        <w:t>Consultation</w:t>
      </w:r>
      <w:bookmarkEnd w:id="89"/>
    </w:p>
    <w:p w14:paraId="367A1E99" w14:textId="52CAE06E" w:rsidR="003E611A" w:rsidRDefault="003E611A" w:rsidP="00DA3091">
      <w:pPr>
        <w:pStyle w:val="BodyText"/>
      </w:pPr>
      <w:r>
        <w:t>ATEC has a broad power to consult:</w:t>
      </w:r>
    </w:p>
    <w:p w14:paraId="4C10C7DB" w14:textId="1EE49CBF" w:rsidR="003E611A" w:rsidRDefault="003E611A" w:rsidP="003E611A">
      <w:pPr>
        <w:pStyle w:val="BodyText"/>
        <w:numPr>
          <w:ilvl w:val="0"/>
          <w:numId w:val="24"/>
        </w:numPr>
      </w:pPr>
      <w:r>
        <w:t>With participants and stakeholders in the tertiary education system: section 11(a).</w:t>
      </w:r>
    </w:p>
    <w:p w14:paraId="379B103E" w14:textId="78C6B418" w:rsidR="003E611A" w:rsidRDefault="003E611A" w:rsidP="006B39AE">
      <w:pPr>
        <w:pStyle w:val="BodyText"/>
        <w:numPr>
          <w:ilvl w:val="0"/>
          <w:numId w:val="24"/>
        </w:numPr>
      </w:pPr>
      <w:r>
        <w:t>In performing its functions (section 11) with relevant ministers, higher education stakeholder representatives, higher education student representatives, and ‘any other person that the ATEC considers appropriate</w:t>
      </w:r>
      <w:r w:rsidR="001666BE">
        <w:t>’</w:t>
      </w:r>
      <w:r>
        <w:t>: section 12.</w:t>
      </w:r>
    </w:p>
    <w:p w14:paraId="25CBBA06" w14:textId="74B5889F" w:rsidR="003E611A" w:rsidRDefault="003E611A" w:rsidP="006B39AE">
      <w:pPr>
        <w:pStyle w:val="BodyText"/>
        <w:numPr>
          <w:ilvl w:val="0"/>
          <w:numId w:val="24"/>
        </w:numPr>
      </w:pPr>
      <w:r>
        <w:t>In preparing its statement of strategic priorities, ATEC must consult with relevant ministers, higher education stakeholder representatives and higher education student representatives and may consult with another person or body it considers appropriate: section</w:t>
      </w:r>
      <w:r w:rsidR="0055214B">
        <w:t>s</w:t>
      </w:r>
      <w:r>
        <w:t xml:space="preserve"> 43(3) and (4). </w:t>
      </w:r>
    </w:p>
    <w:p w14:paraId="086051F4" w14:textId="5B57080D" w:rsidR="003E611A" w:rsidRDefault="003E611A" w:rsidP="006B39AE">
      <w:pPr>
        <w:pStyle w:val="BodyText"/>
        <w:numPr>
          <w:ilvl w:val="0"/>
          <w:numId w:val="24"/>
        </w:numPr>
      </w:pPr>
      <w:r>
        <w:lastRenderedPageBreak/>
        <w:t xml:space="preserve">Aboriginal and Torres Strait Islanders in relation to tertiary education policy and matters: section 19, functions of the First Nations Commissioner. </w:t>
      </w:r>
    </w:p>
    <w:p w14:paraId="34DCC08D" w14:textId="6C12AF6C" w:rsidR="003E611A" w:rsidRDefault="003E611A" w:rsidP="003E611A">
      <w:pPr>
        <w:pStyle w:val="BodyText"/>
      </w:pPr>
    </w:p>
    <w:p w14:paraId="429ADA36" w14:textId="1845857B" w:rsidR="00C7352B" w:rsidRDefault="003E611A" w:rsidP="00DA3091">
      <w:pPr>
        <w:pStyle w:val="BodyText"/>
      </w:pPr>
      <w:r>
        <w:t xml:space="preserve">ATEC </w:t>
      </w:r>
      <w:r w:rsidR="00721F69">
        <w:t>must</w:t>
      </w:r>
      <w:r>
        <w:t xml:space="preserve"> also invite public submissions on its statement of strategic priorities and its work plan: section 43(3)(b) and section 45(3)(b). </w:t>
      </w:r>
    </w:p>
    <w:p w14:paraId="49BB9345" w14:textId="3C0D8DB7" w:rsidR="00B97798" w:rsidRDefault="00B97798" w:rsidP="00DA3091">
      <w:pPr>
        <w:pStyle w:val="BodyText"/>
      </w:pPr>
    </w:p>
    <w:p w14:paraId="6F02828A" w14:textId="2EF60E34" w:rsidR="00B97798" w:rsidRDefault="00B97798" w:rsidP="00B97798">
      <w:pPr>
        <w:pStyle w:val="Heading3"/>
      </w:pPr>
      <w:bookmarkStart w:id="90" w:name="_Toc219380947"/>
      <w:r>
        <w:t>ATEC staff</w:t>
      </w:r>
      <w:bookmarkEnd w:id="90"/>
    </w:p>
    <w:p w14:paraId="666F9449" w14:textId="77777777" w:rsidR="00B97798" w:rsidRDefault="00B97798" w:rsidP="00B97798">
      <w:pPr>
        <w:pStyle w:val="BodyText"/>
      </w:pPr>
      <w:r>
        <w:t xml:space="preserve">Under the ATEC bill, its non-commissioner staff will mostly be employed by the Department of Education: section 22. The bill includes a power to second staff from other Commonwealth departments or agencies and state and territory government agencies: section 23. </w:t>
      </w:r>
    </w:p>
    <w:p w14:paraId="2974D9A1" w14:textId="77777777" w:rsidR="00B97798" w:rsidRDefault="00B97798" w:rsidP="00B97798">
      <w:pPr>
        <w:pStyle w:val="BodyText"/>
      </w:pPr>
    </w:p>
    <w:p w14:paraId="45A03B9F" w14:textId="5251B145" w:rsidR="00641306" w:rsidRDefault="00B97798" w:rsidP="00B97798">
      <w:pPr>
        <w:pStyle w:val="BodyText"/>
      </w:pPr>
      <w:r>
        <w:t>The</w:t>
      </w:r>
      <w:r w:rsidR="00641306">
        <w:t xml:space="preserve"> Secretary of the</w:t>
      </w:r>
      <w:r>
        <w:t xml:space="preserve"> Department will have full control over the number of staff provided to ATEC: section 22(1). </w:t>
      </w:r>
      <w:r w:rsidR="00641306">
        <w:t xml:space="preserve">Whether for budgetary or other reasons, the Department could limit the number of staff available to ATEC, limiting its capacity to perform its functions in the ways its commissioners would prefer. </w:t>
      </w:r>
    </w:p>
    <w:p w14:paraId="66763B1D" w14:textId="77777777" w:rsidR="00641306" w:rsidRDefault="00641306" w:rsidP="00B97798">
      <w:pPr>
        <w:pStyle w:val="BodyText"/>
      </w:pPr>
    </w:p>
    <w:p w14:paraId="1BF51A61" w14:textId="20188C69" w:rsidR="00B97798" w:rsidRDefault="00641306" w:rsidP="00B97798">
      <w:pPr>
        <w:pStyle w:val="BodyText"/>
      </w:pPr>
      <w:r>
        <w:t xml:space="preserve">Other than for a SES employee, the Secretary does not need to consult with ATEC as to which staff are made available to ATEC: section 22(2). </w:t>
      </w:r>
      <w:r w:rsidR="00E66214">
        <w:t>By contrast b</w:t>
      </w:r>
      <w:r>
        <w:t xml:space="preserve">oth TEQSA and the ARC are statutory agencies under the </w:t>
      </w:r>
      <w:r>
        <w:rPr>
          <w:i/>
          <w:iCs/>
        </w:rPr>
        <w:t>Public Service Act 1999</w:t>
      </w:r>
      <w:r>
        <w:t xml:space="preserve">, with power to appoint their own staff: section 156 of the </w:t>
      </w:r>
      <w:r>
        <w:rPr>
          <w:i/>
          <w:iCs/>
        </w:rPr>
        <w:t>Tertiary Education Quality and Standards Agency Act 2011</w:t>
      </w:r>
      <w:r>
        <w:t xml:space="preserve"> and section 41 of the </w:t>
      </w:r>
      <w:r>
        <w:rPr>
          <w:i/>
          <w:iCs/>
        </w:rPr>
        <w:t xml:space="preserve">Australian Research Council Act 2001. </w:t>
      </w:r>
      <w:r>
        <w:t xml:space="preserve">In the case of the ARC, it also appoints its own CEO (appointed </w:t>
      </w:r>
      <w:r w:rsidR="00721F69">
        <w:t xml:space="preserve">by </w:t>
      </w:r>
      <w:r>
        <w:t>the minister in the case of TEQSA).</w:t>
      </w:r>
      <w:r w:rsidR="002878BD">
        <w:t xml:space="preserve"> </w:t>
      </w:r>
      <w:r w:rsidR="00E66214">
        <w:t>ATEC having no power to hire and fire staff potentially limits its capacity to achieve its objectives.</w:t>
      </w:r>
    </w:p>
    <w:p w14:paraId="03EF8A1F" w14:textId="179289E0" w:rsidR="002043AB" w:rsidRDefault="002043AB" w:rsidP="00B97798">
      <w:pPr>
        <w:pStyle w:val="BodyText"/>
      </w:pPr>
    </w:p>
    <w:p w14:paraId="6BC01C35" w14:textId="2BC58D20" w:rsidR="002043AB" w:rsidRDefault="002043AB" w:rsidP="00B97798">
      <w:pPr>
        <w:pStyle w:val="BodyText"/>
      </w:pPr>
      <w:r>
        <w:t xml:space="preserve">The government needs to explain in more detail why it </w:t>
      </w:r>
      <w:r w:rsidR="00721F69">
        <w:t>chose</w:t>
      </w:r>
      <w:r>
        <w:t xml:space="preserve"> this system </w:t>
      </w:r>
      <w:r w:rsidR="00721F69">
        <w:t>of</w:t>
      </w:r>
      <w:r>
        <w:t xml:space="preserve"> staff</w:t>
      </w:r>
      <w:r w:rsidR="00721F69">
        <w:t>ing</w:t>
      </w:r>
      <w:r>
        <w:t xml:space="preserve"> ATEC. In the short term, continuity of activity will require the use of Department of Education bureaucrats, some of whom would be reluctant to give up a position </w:t>
      </w:r>
      <w:r w:rsidR="00721F69">
        <w:t>i</w:t>
      </w:r>
      <w:r>
        <w:t xml:space="preserve">n the Department for roles they may see as short term. </w:t>
      </w:r>
      <w:r w:rsidR="00B23447">
        <w:t xml:space="preserve">Over the longer term, </w:t>
      </w:r>
      <w:r w:rsidR="00721F69">
        <w:t xml:space="preserve">however, </w:t>
      </w:r>
      <w:r w:rsidR="00B23447">
        <w:t>one rationale for establishing an organisation like ATEC would be to build long-term expertise in higher education</w:t>
      </w:r>
      <w:r w:rsidR="00721F69">
        <w:t xml:space="preserve"> policy</w:t>
      </w:r>
      <w:r w:rsidR="00B05898">
        <w:t>. ATEC could sit</w:t>
      </w:r>
      <w:r w:rsidR="00B23447">
        <w:t xml:space="preserve"> to one side of </w:t>
      </w:r>
      <w:r w:rsidR="00B05898">
        <w:t>a</w:t>
      </w:r>
      <w:r w:rsidR="001666BE">
        <w:t>n APS</w:t>
      </w:r>
      <w:r w:rsidR="00B05898">
        <w:t xml:space="preserve"> </w:t>
      </w:r>
      <w:r w:rsidR="00B23447">
        <w:t xml:space="preserve">generic skills culture </w:t>
      </w:r>
      <w:r w:rsidR="00B05898">
        <w:t>in</w:t>
      </w:r>
      <w:r w:rsidR="00B23447">
        <w:t xml:space="preserve"> the Department</w:t>
      </w:r>
      <w:r w:rsidR="00B05898">
        <w:t xml:space="preserve">, which disfavours subject-matter expertise. </w:t>
      </w:r>
    </w:p>
    <w:p w14:paraId="42C5759E" w14:textId="2C3E167A" w:rsidR="002043AB" w:rsidRDefault="002043AB" w:rsidP="00B97798">
      <w:pPr>
        <w:pStyle w:val="BodyText"/>
      </w:pPr>
    </w:p>
    <w:p w14:paraId="065ED388" w14:textId="20EF6C9D" w:rsidR="00062C9C" w:rsidRDefault="00E66214" w:rsidP="00B97798">
      <w:pPr>
        <w:pStyle w:val="BodyText"/>
        <w:rPr>
          <w:rFonts w:eastAsia="Times New Roman" w:cs="Times New Roman"/>
          <w:szCs w:val="24"/>
          <w:lang w:eastAsia="en-AU"/>
        </w:rPr>
      </w:pPr>
      <w:r>
        <w:rPr>
          <w:rFonts w:eastAsia="Times New Roman" w:cs="Times New Roman"/>
          <w:szCs w:val="24"/>
          <w:lang w:eastAsia="en-AU"/>
        </w:rPr>
        <w:t xml:space="preserve">With the staff it has been allocated, ATEC commissioners will have the power to direct their activities: section 22(3). </w:t>
      </w:r>
    </w:p>
    <w:p w14:paraId="1DBD54FD" w14:textId="50D1B1D2" w:rsidR="00062C9C" w:rsidRPr="00641306" w:rsidRDefault="00062C9C" w:rsidP="00B97798">
      <w:pPr>
        <w:pStyle w:val="BodyText"/>
        <w:rPr>
          <w:rFonts w:eastAsia="Times New Roman" w:cs="Times New Roman"/>
          <w:szCs w:val="24"/>
          <w:lang w:eastAsia="en-AU"/>
        </w:rPr>
      </w:pPr>
    </w:p>
    <w:p w14:paraId="48E8EB45" w14:textId="3EB6E7EA" w:rsidR="00B97798" w:rsidRDefault="00B97798" w:rsidP="00B97798">
      <w:pPr>
        <w:pStyle w:val="Heading3"/>
      </w:pPr>
      <w:bookmarkStart w:id="91" w:name="_Toc219380948"/>
      <w:r>
        <w:t>Consultants</w:t>
      </w:r>
      <w:bookmarkEnd w:id="91"/>
    </w:p>
    <w:p w14:paraId="09EBD6C0" w14:textId="225C6CF0" w:rsidR="00B05898" w:rsidRDefault="00B05898" w:rsidP="00B05898">
      <w:r>
        <w:t xml:space="preserve">ATEC has no power to hire contractors or consultants. This must be done </w:t>
      </w:r>
      <w:r w:rsidR="0055214B">
        <w:t xml:space="preserve">on its behalf </w:t>
      </w:r>
      <w:r>
        <w:t xml:space="preserve">by the Department: section 24. </w:t>
      </w:r>
    </w:p>
    <w:p w14:paraId="59C79C11" w14:textId="77777777" w:rsidR="00B05898" w:rsidRPr="00B05898" w:rsidRDefault="00B05898" w:rsidP="00B05898"/>
    <w:p w14:paraId="61D9593F" w14:textId="0938473C" w:rsidR="0075793A" w:rsidRDefault="0075793A" w:rsidP="0075793A">
      <w:pPr>
        <w:pStyle w:val="Heading2"/>
      </w:pPr>
      <w:bookmarkStart w:id="92" w:name="_Toc219380949"/>
      <w:r>
        <w:t>ATEC advice to TEQSA</w:t>
      </w:r>
      <w:bookmarkEnd w:id="92"/>
    </w:p>
    <w:p w14:paraId="6D26F79B" w14:textId="77777777" w:rsidR="0075793A" w:rsidRDefault="0075793A" w:rsidP="0075793A">
      <w:pPr>
        <w:pStyle w:val="BodyText"/>
      </w:pPr>
      <w:r>
        <w:t xml:space="preserve">A function of ATEC is to provide advice to TEQSA on the Threshold Standards, either at ATEC’s initiative or at TEQSA’s request: section 11(h). </w:t>
      </w:r>
    </w:p>
    <w:p w14:paraId="1959CE72" w14:textId="77777777" w:rsidR="0075793A" w:rsidRDefault="0075793A" w:rsidP="0075793A">
      <w:pPr>
        <w:pStyle w:val="BodyText"/>
      </w:pPr>
    </w:p>
    <w:p w14:paraId="1289BD76" w14:textId="33899724" w:rsidR="00B97798" w:rsidRPr="00B97798" w:rsidRDefault="00885C94" w:rsidP="002917C3">
      <w:pPr>
        <w:pStyle w:val="BodyText"/>
      </w:pPr>
      <w:r>
        <w:t xml:space="preserve">As ATEC is to advise on the content of the Threshold Standards, despite none of its commissioners being required to have any expertise in quality standards (chapter </w:t>
      </w:r>
      <w:r>
        <w:fldChar w:fldCharType="begin"/>
      </w:r>
      <w:r>
        <w:instrText xml:space="preserve"> REF _Ref216885768 \r \h </w:instrText>
      </w:r>
      <w:r>
        <w:fldChar w:fldCharType="separate"/>
      </w:r>
      <w:r w:rsidR="0055214B">
        <w:t>3</w:t>
      </w:r>
      <w:r>
        <w:fldChar w:fldCharType="end"/>
      </w:r>
      <w:r>
        <w:t xml:space="preserve">), it </w:t>
      </w:r>
      <w:r>
        <w:lastRenderedPageBreak/>
        <w:t xml:space="preserve">seems odd that they would advise the organisation whose core activity is implementing the Threshold Standards. It should be the other way around. </w:t>
      </w:r>
    </w:p>
    <w:p w14:paraId="41FFDDE7" w14:textId="77777777" w:rsidR="003E611A" w:rsidRDefault="003E611A" w:rsidP="00DA3091">
      <w:pPr>
        <w:pStyle w:val="BodyText"/>
      </w:pPr>
    </w:p>
    <w:p w14:paraId="7B440A7F" w14:textId="2BB818B9" w:rsidR="002917C3" w:rsidRDefault="002917C3" w:rsidP="002917C3">
      <w:pPr>
        <w:pStyle w:val="Heading2"/>
      </w:pPr>
      <w:bookmarkStart w:id="93" w:name="_Toc219380950"/>
      <w:r>
        <w:t>Delegation of powers</w:t>
      </w:r>
      <w:bookmarkEnd w:id="93"/>
    </w:p>
    <w:p w14:paraId="7C539834" w14:textId="77777777" w:rsidR="002917C3" w:rsidRDefault="002917C3" w:rsidP="002917C3">
      <w:pPr>
        <w:rPr>
          <w:i/>
          <w:iCs/>
        </w:rPr>
      </w:pPr>
    </w:p>
    <w:p w14:paraId="2E02FCA7" w14:textId="75A8AC81" w:rsidR="002917C3" w:rsidRDefault="002917C3" w:rsidP="002917C3">
      <w:r>
        <w:t>For people concerned that the Department of Education will retain too much power under the ATEC system, section 73(2) is a problem. This enables the minister to delegate his powers, other than power to make legislative instruments, under the ATEC legislation to an ATEC commissioner or an ‘SES employee of the Department’.</w:t>
      </w:r>
      <w:r w:rsidR="002878BD">
        <w:t xml:space="preserve"> </w:t>
      </w:r>
      <w:r>
        <w:t xml:space="preserve">In theory, this could mean the minister’s section 15 statement on short and long-term priorities, which will guide the content of </w:t>
      </w:r>
      <w:proofErr w:type="gramStart"/>
      <w:r>
        <w:t>mission based</w:t>
      </w:r>
      <w:proofErr w:type="gramEnd"/>
      <w:r>
        <w:t xml:space="preserve"> compacts, could be made by this SES employee. </w:t>
      </w:r>
    </w:p>
    <w:p w14:paraId="43A34C96" w14:textId="77777777" w:rsidR="002917C3" w:rsidRDefault="002917C3" w:rsidP="002917C3"/>
    <w:p w14:paraId="6ABDFFFD" w14:textId="77777777" w:rsidR="002917C3" w:rsidRDefault="002917C3" w:rsidP="002917C3">
      <w:r>
        <w:t xml:space="preserve">Realistically, the Department will provide advice to the minister on the list of priorities. However, the minister should not delegate the power to make the list of priorities. </w:t>
      </w:r>
    </w:p>
    <w:p w14:paraId="16128386" w14:textId="77777777" w:rsidR="002917C3" w:rsidRDefault="002917C3" w:rsidP="002917C3"/>
    <w:p w14:paraId="5F4C73C2" w14:textId="77777777" w:rsidR="002917C3" w:rsidRDefault="002917C3" w:rsidP="002917C3">
      <w:r>
        <w:t>Recommendation:</w:t>
      </w:r>
    </w:p>
    <w:p w14:paraId="1301CFA4" w14:textId="77777777" w:rsidR="002917C3" w:rsidRDefault="002917C3" w:rsidP="002917C3"/>
    <w:p w14:paraId="47878B36" w14:textId="77777777" w:rsidR="002917C3" w:rsidRPr="00C7352B" w:rsidRDefault="002917C3" w:rsidP="002917C3">
      <w:r>
        <w:t xml:space="preserve">Amend section 73(2) so that the minister cannot delegate the power to set the list of strategic priorities for ATEC. </w:t>
      </w:r>
    </w:p>
    <w:p w14:paraId="35F47F25" w14:textId="77777777" w:rsidR="002917C3" w:rsidRDefault="002917C3" w:rsidP="002917C3">
      <w:r>
        <w:br w:type="page"/>
      </w:r>
    </w:p>
    <w:p w14:paraId="7FBE70D3" w14:textId="77777777" w:rsidR="002917C3" w:rsidRDefault="002917C3" w:rsidP="002917C3">
      <w:r>
        <w:lastRenderedPageBreak/>
        <w:t xml:space="preserve"> </w:t>
      </w:r>
    </w:p>
    <w:p w14:paraId="1AF19ED3" w14:textId="77777777" w:rsidR="00C3337B" w:rsidRPr="00C3337B" w:rsidRDefault="00C3337B" w:rsidP="0083641C">
      <w:pPr>
        <w:pStyle w:val="Heading1"/>
        <w:ind w:left="357" w:firstLine="0"/>
        <w:rPr>
          <w:rFonts w:ascii="Aptos" w:hAnsi="Aptos" w:cstheme="minorHAnsi"/>
          <w:sz w:val="32"/>
          <w:szCs w:val="32"/>
        </w:rPr>
      </w:pPr>
      <w:bookmarkStart w:id="94" w:name="_Toc219380951"/>
      <w:r>
        <w:rPr>
          <w:rFonts w:ascii="Aptos" w:hAnsi="Aptos" w:cstheme="minorHAnsi"/>
          <w:color w:val="4F81BD" w:themeColor="accent1"/>
          <w:sz w:val="32"/>
          <w:szCs w:val="32"/>
        </w:rPr>
        <w:t>References</w:t>
      </w:r>
      <w:bookmarkEnd w:id="94"/>
      <w:r>
        <w:rPr>
          <w:rFonts w:ascii="Aptos" w:hAnsi="Aptos" w:cstheme="minorHAnsi"/>
          <w:color w:val="4F81BD" w:themeColor="accent1"/>
          <w:sz w:val="32"/>
          <w:szCs w:val="32"/>
        </w:rPr>
        <w:t xml:space="preserve"> </w:t>
      </w:r>
    </w:p>
    <w:sdt>
      <w:sdtPr>
        <w:rPr>
          <w:rFonts w:ascii="Calibri" w:hAnsi="Calibri" w:cs="Calibri"/>
          <w:color w:val="000000"/>
        </w:rPr>
        <w:tag w:val="MENDELEY_BIBLIOGRAPHY"/>
        <w:id w:val="657505635"/>
        <w:placeholder>
          <w:docPart w:val="DefaultPlaceholder_-1854013440"/>
        </w:placeholder>
      </w:sdtPr>
      <w:sdtContent>
        <w:p w14:paraId="744CCB08" w14:textId="77777777" w:rsidR="0055214B" w:rsidRPr="0055214B" w:rsidRDefault="0055214B">
          <w:pPr>
            <w:autoSpaceDE w:val="0"/>
            <w:autoSpaceDN w:val="0"/>
            <w:ind w:hanging="480"/>
            <w:divId w:val="1671177506"/>
            <w:rPr>
              <w:rFonts w:ascii="Calibri" w:eastAsia="Times New Roman" w:hAnsi="Calibri" w:cs="Calibri"/>
              <w:color w:val="000000"/>
              <w:szCs w:val="24"/>
            </w:rPr>
          </w:pPr>
          <w:r w:rsidRPr="0055214B">
            <w:rPr>
              <w:rFonts w:ascii="Calibri" w:eastAsia="Times New Roman" w:hAnsi="Calibri" w:cs="Calibri"/>
              <w:color w:val="000000"/>
            </w:rPr>
            <w:t xml:space="preserve">Australian Government. (2024). </w:t>
          </w:r>
          <w:r w:rsidRPr="0055214B">
            <w:rPr>
              <w:rFonts w:ascii="Calibri" w:eastAsia="Times New Roman" w:hAnsi="Calibri" w:cs="Calibri"/>
              <w:i/>
              <w:iCs/>
              <w:color w:val="000000"/>
            </w:rPr>
            <w:t>Australian Universities Accord Final Report</w:t>
          </w:r>
          <w:r w:rsidRPr="0055214B">
            <w:rPr>
              <w:rFonts w:ascii="Calibri" w:eastAsia="Times New Roman" w:hAnsi="Calibri" w:cs="Calibri"/>
              <w:color w:val="000000"/>
            </w:rPr>
            <w:t>. Department of Education.</w:t>
          </w:r>
        </w:p>
        <w:p w14:paraId="4115F5A1" w14:textId="77777777" w:rsidR="0055214B" w:rsidRPr="0055214B" w:rsidRDefault="0055214B">
          <w:pPr>
            <w:autoSpaceDE w:val="0"/>
            <w:autoSpaceDN w:val="0"/>
            <w:ind w:hanging="480"/>
            <w:divId w:val="449251490"/>
            <w:rPr>
              <w:rFonts w:ascii="Calibri" w:eastAsia="Times New Roman" w:hAnsi="Calibri" w:cs="Calibri"/>
              <w:color w:val="000000"/>
            </w:rPr>
          </w:pPr>
          <w:r w:rsidRPr="0055214B">
            <w:rPr>
              <w:rFonts w:ascii="Calibri" w:eastAsia="Times New Roman" w:hAnsi="Calibri" w:cs="Calibri"/>
              <w:color w:val="000000"/>
            </w:rPr>
            <w:t xml:space="preserve">Australian Government. (2025a). </w:t>
          </w:r>
          <w:r w:rsidRPr="0055214B">
            <w:rPr>
              <w:rFonts w:ascii="Calibri" w:eastAsia="Times New Roman" w:hAnsi="Calibri" w:cs="Calibri"/>
              <w:i/>
              <w:iCs/>
              <w:color w:val="000000"/>
            </w:rPr>
            <w:t>Foundational research: Creating knowledge Issues paper</w:t>
          </w:r>
          <w:r w:rsidRPr="0055214B">
            <w:rPr>
              <w:rFonts w:ascii="Calibri" w:eastAsia="Times New Roman" w:hAnsi="Calibri" w:cs="Calibri"/>
              <w:color w:val="000000"/>
            </w:rPr>
            <w:t>. Department of Industry, Science and Resources.</w:t>
          </w:r>
        </w:p>
        <w:p w14:paraId="027D07EB" w14:textId="77777777" w:rsidR="0055214B" w:rsidRPr="0055214B" w:rsidRDefault="0055214B">
          <w:pPr>
            <w:autoSpaceDE w:val="0"/>
            <w:autoSpaceDN w:val="0"/>
            <w:ind w:hanging="480"/>
            <w:divId w:val="746075598"/>
            <w:rPr>
              <w:rFonts w:ascii="Calibri" w:eastAsia="Times New Roman" w:hAnsi="Calibri" w:cs="Calibri"/>
              <w:color w:val="000000"/>
            </w:rPr>
          </w:pPr>
          <w:r w:rsidRPr="0055214B">
            <w:rPr>
              <w:rFonts w:ascii="Calibri" w:eastAsia="Times New Roman" w:hAnsi="Calibri" w:cs="Calibri"/>
              <w:color w:val="000000"/>
            </w:rPr>
            <w:t xml:space="preserve">Australian Government. (2025b). </w:t>
          </w:r>
          <w:r w:rsidRPr="0055214B">
            <w:rPr>
              <w:rFonts w:ascii="Calibri" w:eastAsia="Times New Roman" w:hAnsi="Calibri" w:cs="Calibri"/>
              <w:i/>
              <w:iCs/>
              <w:color w:val="000000"/>
            </w:rPr>
            <w:t xml:space="preserve">National coordination for RD&amp;I </w:t>
          </w:r>
          <w:proofErr w:type="gramStart"/>
          <w:r w:rsidRPr="0055214B">
            <w:rPr>
              <w:rFonts w:ascii="Calibri" w:eastAsia="Times New Roman" w:hAnsi="Calibri" w:cs="Calibri"/>
              <w:i/>
              <w:iCs/>
              <w:color w:val="000000"/>
            </w:rPr>
            <w:t>impact</w:t>
          </w:r>
          <w:proofErr w:type="gramEnd"/>
          <w:r w:rsidRPr="0055214B">
            <w:rPr>
              <w:rFonts w:ascii="Calibri" w:eastAsia="Times New Roman" w:hAnsi="Calibri" w:cs="Calibri"/>
              <w:i/>
              <w:iCs/>
              <w:color w:val="000000"/>
            </w:rPr>
            <w:t>: Policy paper</w:t>
          </w:r>
          <w:r w:rsidRPr="0055214B">
            <w:rPr>
              <w:rFonts w:ascii="Calibri" w:eastAsia="Times New Roman" w:hAnsi="Calibri" w:cs="Calibri"/>
              <w:color w:val="000000"/>
            </w:rPr>
            <w:t>. Department of Industry, Science and Resources.</w:t>
          </w:r>
        </w:p>
        <w:p w14:paraId="11A58177" w14:textId="77777777" w:rsidR="0055214B" w:rsidRPr="0055214B" w:rsidRDefault="0055214B">
          <w:pPr>
            <w:autoSpaceDE w:val="0"/>
            <w:autoSpaceDN w:val="0"/>
            <w:ind w:hanging="480"/>
            <w:divId w:val="846792189"/>
            <w:rPr>
              <w:rFonts w:ascii="Calibri" w:eastAsia="Times New Roman" w:hAnsi="Calibri" w:cs="Calibri"/>
              <w:color w:val="000000"/>
            </w:rPr>
          </w:pPr>
          <w:r w:rsidRPr="0055214B">
            <w:rPr>
              <w:rFonts w:ascii="Calibri" w:eastAsia="Times New Roman" w:hAnsi="Calibri" w:cs="Calibri"/>
              <w:color w:val="000000"/>
            </w:rPr>
            <w:t xml:space="preserve">Cilento, M., Burrow, S., &amp; Cowley, B. (2025). </w:t>
          </w:r>
          <w:r w:rsidRPr="0055214B">
            <w:rPr>
              <w:rFonts w:ascii="Calibri" w:eastAsia="Times New Roman" w:hAnsi="Calibri" w:cs="Calibri"/>
              <w:i/>
              <w:iCs/>
              <w:color w:val="000000"/>
            </w:rPr>
            <w:t>Final Report and Principles - Expert Council on University Governance</w:t>
          </w:r>
          <w:r w:rsidRPr="0055214B">
            <w:rPr>
              <w:rFonts w:ascii="Calibri" w:eastAsia="Times New Roman" w:hAnsi="Calibri" w:cs="Calibri"/>
              <w:color w:val="000000"/>
            </w:rPr>
            <w:t>. Department of Education.</w:t>
          </w:r>
        </w:p>
        <w:p w14:paraId="15646377" w14:textId="77777777" w:rsidR="0055214B" w:rsidRPr="0055214B" w:rsidRDefault="0055214B">
          <w:pPr>
            <w:autoSpaceDE w:val="0"/>
            <w:autoSpaceDN w:val="0"/>
            <w:ind w:hanging="480"/>
            <w:divId w:val="887448248"/>
            <w:rPr>
              <w:rFonts w:ascii="Calibri" w:eastAsia="Times New Roman" w:hAnsi="Calibri" w:cs="Calibri"/>
              <w:color w:val="000000"/>
            </w:rPr>
          </w:pPr>
          <w:r w:rsidRPr="0055214B">
            <w:rPr>
              <w:rFonts w:ascii="Calibri" w:eastAsia="Times New Roman" w:hAnsi="Calibri" w:cs="Calibri"/>
              <w:color w:val="000000"/>
            </w:rPr>
            <w:t xml:space="preserve">DAE. (2025). </w:t>
          </w:r>
          <w:r w:rsidRPr="0055214B">
            <w:rPr>
              <w:rFonts w:ascii="Calibri" w:eastAsia="Times New Roman" w:hAnsi="Calibri" w:cs="Calibri"/>
              <w:i/>
              <w:iCs/>
              <w:color w:val="000000"/>
            </w:rPr>
            <w:t>Cost benefit analysis of the proposed National Higher Education Code to Prevent and Respond to Gender-based Violence</w:t>
          </w:r>
          <w:r w:rsidRPr="0055214B">
            <w:rPr>
              <w:rFonts w:ascii="Calibri" w:eastAsia="Times New Roman" w:hAnsi="Calibri" w:cs="Calibri"/>
              <w:color w:val="000000"/>
            </w:rPr>
            <w:t>. Deloitte Access Economics/Department of Education.</w:t>
          </w:r>
        </w:p>
        <w:p w14:paraId="47487D4F" w14:textId="77777777" w:rsidR="0055214B" w:rsidRPr="0055214B" w:rsidRDefault="0055214B">
          <w:pPr>
            <w:autoSpaceDE w:val="0"/>
            <w:autoSpaceDN w:val="0"/>
            <w:ind w:hanging="480"/>
            <w:divId w:val="1339311323"/>
            <w:rPr>
              <w:rFonts w:ascii="Calibri" w:eastAsia="Times New Roman" w:hAnsi="Calibri" w:cs="Calibri"/>
              <w:color w:val="000000"/>
            </w:rPr>
          </w:pPr>
          <w:r w:rsidRPr="0055214B">
            <w:rPr>
              <w:rFonts w:ascii="Calibri" w:eastAsia="Times New Roman" w:hAnsi="Calibri" w:cs="Calibri"/>
              <w:color w:val="000000"/>
            </w:rPr>
            <w:t xml:space="preserve">DESE. (2020). </w:t>
          </w:r>
          <w:r w:rsidRPr="0055214B">
            <w:rPr>
              <w:rFonts w:ascii="Calibri" w:eastAsia="Times New Roman" w:hAnsi="Calibri" w:cs="Calibri"/>
              <w:i/>
              <w:iCs/>
              <w:color w:val="000000"/>
            </w:rPr>
            <w:t>Factors affecting higher education completions – study assistance</w:t>
          </w:r>
          <w:r w:rsidRPr="0055214B">
            <w:rPr>
              <w:rFonts w:ascii="Calibri" w:eastAsia="Times New Roman" w:hAnsi="Calibri" w:cs="Calibri"/>
              <w:color w:val="000000"/>
            </w:rPr>
            <w:t>. Department of Education, Skills and Employment.</w:t>
          </w:r>
        </w:p>
        <w:p w14:paraId="42FC1890" w14:textId="77777777" w:rsidR="0055214B" w:rsidRPr="0055214B" w:rsidRDefault="0055214B">
          <w:pPr>
            <w:autoSpaceDE w:val="0"/>
            <w:autoSpaceDN w:val="0"/>
            <w:ind w:hanging="480"/>
            <w:divId w:val="869685421"/>
            <w:rPr>
              <w:rFonts w:ascii="Calibri" w:eastAsia="Times New Roman" w:hAnsi="Calibri" w:cs="Calibri"/>
              <w:color w:val="000000"/>
            </w:rPr>
          </w:pPr>
          <w:r w:rsidRPr="0055214B">
            <w:rPr>
              <w:rFonts w:ascii="Calibri" w:eastAsia="Times New Roman" w:hAnsi="Calibri" w:cs="Calibri"/>
              <w:color w:val="000000"/>
            </w:rPr>
            <w:t xml:space="preserve">DofE. (2024a). </w:t>
          </w:r>
          <w:r w:rsidRPr="0055214B">
            <w:rPr>
              <w:rFonts w:ascii="Calibri" w:eastAsia="Times New Roman" w:hAnsi="Calibri" w:cs="Calibri"/>
              <w:i/>
              <w:iCs/>
              <w:color w:val="000000"/>
            </w:rPr>
            <w:t>Australian Tertiary Education Commission: Implementation consultation paper</w:t>
          </w:r>
          <w:r w:rsidRPr="0055214B">
            <w:rPr>
              <w:rFonts w:ascii="Calibri" w:eastAsia="Times New Roman" w:hAnsi="Calibri" w:cs="Calibri"/>
              <w:color w:val="000000"/>
            </w:rPr>
            <w:t>. Department of Education.</w:t>
          </w:r>
        </w:p>
        <w:p w14:paraId="5C47367C" w14:textId="77777777" w:rsidR="0055214B" w:rsidRPr="0055214B" w:rsidRDefault="0055214B">
          <w:pPr>
            <w:autoSpaceDE w:val="0"/>
            <w:autoSpaceDN w:val="0"/>
            <w:ind w:hanging="480"/>
            <w:divId w:val="2132550172"/>
            <w:rPr>
              <w:rFonts w:ascii="Calibri" w:eastAsia="Times New Roman" w:hAnsi="Calibri" w:cs="Calibri"/>
              <w:color w:val="000000"/>
            </w:rPr>
          </w:pPr>
          <w:r w:rsidRPr="0055214B">
            <w:rPr>
              <w:rFonts w:ascii="Calibri" w:eastAsia="Times New Roman" w:hAnsi="Calibri" w:cs="Calibri"/>
              <w:color w:val="000000"/>
            </w:rPr>
            <w:t xml:space="preserve">DofE. (2024b). </w:t>
          </w:r>
          <w:r w:rsidRPr="0055214B">
            <w:rPr>
              <w:rFonts w:ascii="Calibri" w:eastAsia="Times New Roman" w:hAnsi="Calibri" w:cs="Calibri"/>
              <w:i/>
              <w:iCs/>
              <w:color w:val="000000"/>
            </w:rPr>
            <w:t>Australian Universities Accord: 2024-25 MYEFO Summary</w:t>
          </w:r>
          <w:r w:rsidRPr="0055214B">
            <w:rPr>
              <w:rFonts w:ascii="Calibri" w:eastAsia="Times New Roman" w:hAnsi="Calibri" w:cs="Calibri"/>
              <w:color w:val="000000"/>
            </w:rPr>
            <w:t>. Department of Education.</w:t>
          </w:r>
        </w:p>
        <w:p w14:paraId="33021BA6" w14:textId="77777777" w:rsidR="0055214B" w:rsidRPr="0055214B" w:rsidRDefault="0055214B">
          <w:pPr>
            <w:autoSpaceDE w:val="0"/>
            <w:autoSpaceDN w:val="0"/>
            <w:ind w:hanging="480"/>
            <w:divId w:val="751006586"/>
            <w:rPr>
              <w:rFonts w:ascii="Calibri" w:eastAsia="Times New Roman" w:hAnsi="Calibri" w:cs="Calibri"/>
              <w:color w:val="000000"/>
            </w:rPr>
          </w:pPr>
          <w:r w:rsidRPr="0055214B">
            <w:rPr>
              <w:rFonts w:ascii="Calibri" w:eastAsia="Times New Roman" w:hAnsi="Calibri" w:cs="Calibri"/>
              <w:color w:val="000000"/>
            </w:rPr>
            <w:t xml:space="preserve">DofE. (2025a). </w:t>
          </w:r>
          <w:r w:rsidRPr="0055214B">
            <w:rPr>
              <w:rFonts w:ascii="Calibri" w:eastAsia="Times New Roman" w:hAnsi="Calibri" w:cs="Calibri"/>
              <w:i/>
              <w:iCs/>
              <w:color w:val="000000"/>
            </w:rPr>
            <w:t>Finance 2024: Financial Reports of Higher Education Providers</w:t>
          </w:r>
          <w:r w:rsidRPr="0055214B">
            <w:rPr>
              <w:rFonts w:ascii="Calibri" w:eastAsia="Times New Roman" w:hAnsi="Calibri" w:cs="Calibri"/>
              <w:color w:val="000000"/>
            </w:rPr>
            <w:t>. Department of Education.</w:t>
          </w:r>
        </w:p>
        <w:p w14:paraId="72EB78A8" w14:textId="77777777" w:rsidR="0055214B" w:rsidRPr="0055214B" w:rsidRDefault="0055214B">
          <w:pPr>
            <w:autoSpaceDE w:val="0"/>
            <w:autoSpaceDN w:val="0"/>
            <w:ind w:hanging="480"/>
            <w:divId w:val="904218177"/>
            <w:rPr>
              <w:rFonts w:ascii="Calibri" w:eastAsia="Times New Roman" w:hAnsi="Calibri" w:cs="Calibri"/>
              <w:color w:val="000000"/>
            </w:rPr>
          </w:pPr>
          <w:r w:rsidRPr="0055214B">
            <w:rPr>
              <w:rFonts w:ascii="Calibri" w:eastAsia="Times New Roman" w:hAnsi="Calibri" w:cs="Calibri"/>
              <w:color w:val="000000"/>
            </w:rPr>
            <w:t xml:space="preserve">DofE. (2025b). </w:t>
          </w:r>
          <w:r w:rsidRPr="0055214B">
            <w:rPr>
              <w:rFonts w:ascii="Calibri" w:eastAsia="Times New Roman" w:hAnsi="Calibri" w:cs="Calibri"/>
              <w:i/>
              <w:iCs/>
              <w:color w:val="000000"/>
            </w:rPr>
            <w:t>Selected student statistics 2024</w:t>
          </w:r>
          <w:r w:rsidRPr="0055214B">
            <w:rPr>
              <w:rFonts w:ascii="Calibri" w:eastAsia="Times New Roman" w:hAnsi="Calibri" w:cs="Calibri"/>
              <w:color w:val="000000"/>
            </w:rPr>
            <w:t>. Department of Education.</w:t>
          </w:r>
        </w:p>
        <w:p w14:paraId="4E80BE90" w14:textId="77777777" w:rsidR="0055214B" w:rsidRPr="0055214B" w:rsidRDefault="0055214B">
          <w:pPr>
            <w:autoSpaceDE w:val="0"/>
            <w:autoSpaceDN w:val="0"/>
            <w:ind w:hanging="480"/>
            <w:divId w:val="1379628985"/>
            <w:rPr>
              <w:rFonts w:ascii="Calibri" w:eastAsia="Times New Roman" w:hAnsi="Calibri" w:cs="Calibri"/>
              <w:color w:val="000000"/>
            </w:rPr>
          </w:pPr>
          <w:r w:rsidRPr="0055214B">
            <w:rPr>
              <w:rFonts w:ascii="Calibri" w:eastAsia="Times New Roman" w:hAnsi="Calibri" w:cs="Calibri"/>
              <w:color w:val="000000"/>
            </w:rPr>
            <w:t xml:space="preserve">Norton, A. (2020a). Jobs, interests, and course choices.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3C1B8C21" w14:textId="77777777" w:rsidR="0055214B" w:rsidRPr="0055214B" w:rsidRDefault="0055214B">
          <w:pPr>
            <w:autoSpaceDE w:val="0"/>
            <w:autoSpaceDN w:val="0"/>
            <w:ind w:hanging="480"/>
            <w:divId w:val="835462136"/>
            <w:rPr>
              <w:rFonts w:ascii="Calibri" w:eastAsia="Times New Roman" w:hAnsi="Calibri" w:cs="Calibri"/>
              <w:color w:val="000000"/>
            </w:rPr>
          </w:pPr>
          <w:r w:rsidRPr="0055214B">
            <w:rPr>
              <w:rFonts w:ascii="Calibri" w:eastAsia="Times New Roman" w:hAnsi="Calibri" w:cs="Calibri"/>
              <w:color w:val="000000"/>
            </w:rPr>
            <w:t xml:space="preserve">Norton, A. (2020b). Prospective university students who might be influenced by student contributions.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07DBA476" w14:textId="77777777" w:rsidR="0055214B" w:rsidRPr="0055214B" w:rsidRDefault="0055214B">
          <w:pPr>
            <w:autoSpaceDE w:val="0"/>
            <w:autoSpaceDN w:val="0"/>
            <w:ind w:hanging="480"/>
            <w:divId w:val="1990279467"/>
            <w:rPr>
              <w:rFonts w:ascii="Calibri" w:eastAsia="Times New Roman" w:hAnsi="Calibri" w:cs="Calibri"/>
              <w:color w:val="000000"/>
            </w:rPr>
          </w:pPr>
          <w:r w:rsidRPr="0055214B">
            <w:rPr>
              <w:rFonts w:ascii="Calibri" w:eastAsia="Times New Roman" w:hAnsi="Calibri" w:cs="Calibri"/>
              <w:color w:val="000000"/>
            </w:rPr>
            <w:t xml:space="preserve">Norton, A. (2025a). Higher education: a new bureaucratic era. </w:t>
          </w:r>
          <w:r w:rsidRPr="0055214B">
            <w:rPr>
              <w:rFonts w:ascii="Calibri" w:eastAsia="Times New Roman" w:hAnsi="Calibri" w:cs="Calibri"/>
              <w:i/>
              <w:iCs/>
              <w:color w:val="000000"/>
            </w:rPr>
            <w:t>Advancing Scholarship and Research in Higher Education</w:t>
          </w:r>
          <w:r w:rsidRPr="0055214B">
            <w:rPr>
              <w:rFonts w:ascii="Calibri" w:eastAsia="Times New Roman" w:hAnsi="Calibri" w:cs="Calibri"/>
              <w:color w:val="000000"/>
            </w:rPr>
            <w:t xml:space="preserve">, </w:t>
          </w:r>
          <w:r w:rsidRPr="0055214B">
            <w:rPr>
              <w:rFonts w:ascii="Calibri" w:eastAsia="Times New Roman" w:hAnsi="Calibri" w:cs="Calibri"/>
              <w:i/>
              <w:iCs/>
              <w:color w:val="000000"/>
            </w:rPr>
            <w:t>6</w:t>
          </w:r>
          <w:r w:rsidRPr="0055214B">
            <w:rPr>
              <w:rFonts w:ascii="Calibri" w:eastAsia="Times New Roman" w:hAnsi="Calibri" w:cs="Calibri"/>
              <w:color w:val="000000"/>
            </w:rPr>
            <w:t>(1).</w:t>
          </w:r>
        </w:p>
        <w:p w14:paraId="1040E783" w14:textId="77777777" w:rsidR="0055214B" w:rsidRPr="0055214B" w:rsidRDefault="0055214B">
          <w:pPr>
            <w:autoSpaceDE w:val="0"/>
            <w:autoSpaceDN w:val="0"/>
            <w:ind w:hanging="480"/>
            <w:divId w:val="737940015"/>
            <w:rPr>
              <w:rFonts w:ascii="Calibri" w:eastAsia="Times New Roman" w:hAnsi="Calibri" w:cs="Calibri"/>
              <w:color w:val="000000"/>
            </w:rPr>
          </w:pPr>
          <w:r w:rsidRPr="0055214B">
            <w:rPr>
              <w:rFonts w:ascii="Calibri" w:eastAsia="Times New Roman" w:hAnsi="Calibri" w:cs="Calibri"/>
              <w:color w:val="000000"/>
            </w:rPr>
            <w:t xml:space="preserve">Norton, A. (2025b, November 17). The review of TEQSA’s powers – my submission. </w:t>
          </w:r>
          <w:r w:rsidRPr="0055214B">
            <w:rPr>
              <w:rFonts w:ascii="Calibri" w:eastAsia="Times New Roman" w:hAnsi="Calibri" w:cs="Calibri"/>
              <w:i/>
              <w:iCs/>
              <w:color w:val="000000"/>
            </w:rPr>
            <w:t>Andrew Norton: Higher Education Commentary from Carlton (Blog)</w:t>
          </w:r>
          <w:r w:rsidRPr="0055214B">
            <w:rPr>
              <w:rFonts w:ascii="Calibri" w:eastAsia="Times New Roman" w:hAnsi="Calibri" w:cs="Calibri"/>
              <w:color w:val="000000"/>
            </w:rPr>
            <w:t>.</w:t>
          </w:r>
        </w:p>
        <w:p w14:paraId="24FE3940" w14:textId="77777777" w:rsidR="0055214B" w:rsidRPr="0055214B" w:rsidRDefault="0055214B">
          <w:pPr>
            <w:autoSpaceDE w:val="0"/>
            <w:autoSpaceDN w:val="0"/>
            <w:ind w:hanging="480"/>
            <w:divId w:val="580526093"/>
            <w:rPr>
              <w:rFonts w:ascii="Calibri" w:eastAsia="Times New Roman" w:hAnsi="Calibri" w:cs="Calibri"/>
              <w:color w:val="000000"/>
            </w:rPr>
          </w:pPr>
          <w:r w:rsidRPr="0055214B">
            <w:rPr>
              <w:rFonts w:ascii="Calibri" w:eastAsia="Times New Roman" w:hAnsi="Calibri" w:cs="Calibri"/>
              <w:color w:val="000000"/>
            </w:rPr>
            <w:t xml:space="preserve">Pearce, D. (2024). </w:t>
          </w:r>
          <w:r w:rsidRPr="0055214B">
            <w:rPr>
              <w:rFonts w:ascii="Calibri" w:eastAsia="Times New Roman" w:hAnsi="Calibri" w:cs="Calibri"/>
              <w:i/>
              <w:iCs/>
              <w:color w:val="000000"/>
            </w:rPr>
            <w:t>Statutory interpretation in Australia, 10th edition</w:t>
          </w:r>
          <w:r w:rsidRPr="0055214B">
            <w:rPr>
              <w:rFonts w:ascii="Calibri" w:eastAsia="Times New Roman" w:hAnsi="Calibri" w:cs="Calibri"/>
              <w:color w:val="000000"/>
            </w:rPr>
            <w:t>. Lexis Nexis.</w:t>
          </w:r>
        </w:p>
        <w:p w14:paraId="47E7099E" w14:textId="77777777" w:rsidR="0055214B" w:rsidRPr="0055214B" w:rsidRDefault="0055214B">
          <w:pPr>
            <w:autoSpaceDE w:val="0"/>
            <w:autoSpaceDN w:val="0"/>
            <w:ind w:hanging="480"/>
            <w:divId w:val="427775965"/>
            <w:rPr>
              <w:rFonts w:ascii="Calibri" w:eastAsia="Times New Roman" w:hAnsi="Calibri" w:cs="Calibri"/>
              <w:color w:val="000000"/>
            </w:rPr>
          </w:pPr>
          <w:r w:rsidRPr="0055214B">
            <w:rPr>
              <w:rFonts w:ascii="Calibri" w:eastAsia="Times New Roman" w:hAnsi="Calibri" w:cs="Calibri"/>
              <w:color w:val="000000"/>
            </w:rPr>
            <w:t xml:space="preserve">Sakkal, P. (2024, November 5). University fees to be reviewed nationwide in next phase of education overhaul. </w:t>
          </w:r>
          <w:r w:rsidRPr="0055214B">
            <w:rPr>
              <w:rFonts w:ascii="Calibri" w:eastAsia="Times New Roman" w:hAnsi="Calibri" w:cs="Calibri"/>
              <w:i/>
              <w:iCs/>
              <w:color w:val="000000"/>
            </w:rPr>
            <w:t>The Sydney Morning Herald</w:t>
          </w:r>
          <w:r w:rsidRPr="0055214B">
            <w:rPr>
              <w:rFonts w:ascii="Calibri" w:eastAsia="Times New Roman" w:hAnsi="Calibri" w:cs="Calibri"/>
              <w:color w:val="000000"/>
            </w:rPr>
            <w:t>.</w:t>
          </w:r>
        </w:p>
        <w:p w14:paraId="0568C32D" w14:textId="77777777" w:rsidR="0055214B" w:rsidRPr="0055214B" w:rsidRDefault="0055214B">
          <w:pPr>
            <w:autoSpaceDE w:val="0"/>
            <w:autoSpaceDN w:val="0"/>
            <w:ind w:hanging="480"/>
            <w:divId w:val="1466003309"/>
            <w:rPr>
              <w:rFonts w:ascii="Calibri" w:eastAsia="Times New Roman" w:hAnsi="Calibri" w:cs="Calibri"/>
              <w:color w:val="000000"/>
            </w:rPr>
          </w:pPr>
          <w:r w:rsidRPr="0055214B">
            <w:rPr>
              <w:rFonts w:ascii="Calibri" w:eastAsia="Times New Roman" w:hAnsi="Calibri" w:cs="Calibri"/>
              <w:color w:val="000000"/>
            </w:rPr>
            <w:t xml:space="preserve">UAC. (2025). </w:t>
          </w:r>
          <w:r w:rsidRPr="0055214B">
            <w:rPr>
              <w:rFonts w:ascii="Calibri" w:eastAsia="Times New Roman" w:hAnsi="Calibri" w:cs="Calibri"/>
              <w:i/>
              <w:iCs/>
              <w:color w:val="000000"/>
            </w:rPr>
            <w:t>Student Lifestyle and Learning Report 2025</w:t>
          </w:r>
          <w:r w:rsidRPr="0055214B">
            <w:rPr>
              <w:rFonts w:ascii="Calibri" w:eastAsia="Times New Roman" w:hAnsi="Calibri" w:cs="Calibri"/>
              <w:color w:val="000000"/>
            </w:rPr>
            <w:t>. Universities Admission Centre.</w:t>
          </w:r>
        </w:p>
        <w:p w14:paraId="1F14417C" w14:textId="77777777" w:rsidR="0055214B" w:rsidRPr="0055214B" w:rsidRDefault="0055214B">
          <w:pPr>
            <w:autoSpaceDE w:val="0"/>
            <w:autoSpaceDN w:val="0"/>
            <w:ind w:hanging="480"/>
            <w:divId w:val="1068499819"/>
            <w:rPr>
              <w:rFonts w:ascii="Calibri" w:eastAsia="Times New Roman" w:hAnsi="Calibri" w:cs="Calibri"/>
              <w:color w:val="000000"/>
            </w:rPr>
          </w:pPr>
          <w:r w:rsidRPr="0055214B">
            <w:rPr>
              <w:rFonts w:ascii="Calibri" w:eastAsia="Times New Roman" w:hAnsi="Calibri" w:cs="Calibri"/>
              <w:color w:val="000000"/>
            </w:rPr>
            <w:t xml:space="preserve">Yong, M., Coelli, M., &amp; </w:t>
          </w:r>
          <w:proofErr w:type="spellStart"/>
          <w:r w:rsidRPr="0055214B">
            <w:rPr>
              <w:rFonts w:ascii="Calibri" w:eastAsia="Times New Roman" w:hAnsi="Calibri" w:cs="Calibri"/>
              <w:color w:val="000000"/>
            </w:rPr>
            <w:t>Kabatek</w:t>
          </w:r>
          <w:proofErr w:type="spellEnd"/>
          <w:r w:rsidRPr="0055214B">
            <w:rPr>
              <w:rFonts w:ascii="Calibri" w:eastAsia="Times New Roman" w:hAnsi="Calibri" w:cs="Calibri"/>
              <w:color w:val="000000"/>
            </w:rPr>
            <w:t xml:space="preserve">, J. (2023). </w:t>
          </w:r>
          <w:r w:rsidRPr="0055214B">
            <w:rPr>
              <w:rFonts w:ascii="Calibri" w:eastAsia="Times New Roman" w:hAnsi="Calibri" w:cs="Calibri"/>
              <w:i/>
              <w:iCs/>
              <w:color w:val="000000"/>
            </w:rPr>
            <w:t>University fees, subsidies and field of study</w:t>
          </w:r>
          <w:r w:rsidRPr="0055214B">
            <w:rPr>
              <w:rFonts w:ascii="Calibri" w:eastAsia="Times New Roman" w:hAnsi="Calibri" w:cs="Calibri"/>
              <w:color w:val="000000"/>
            </w:rPr>
            <w:t>. Melbourne Institute: Applied Economic and Social Research.</w:t>
          </w:r>
        </w:p>
        <w:p w14:paraId="0E8096EE" w14:textId="6720E4FF" w:rsidR="00C3337B" w:rsidRDefault="0055214B" w:rsidP="00C3337B">
          <w:pPr>
            <w:pStyle w:val="BodyText"/>
          </w:pPr>
          <w:r w:rsidRPr="0055214B">
            <w:rPr>
              <w:rFonts w:ascii="Calibri" w:eastAsia="Times New Roman" w:hAnsi="Calibri" w:cs="Calibri"/>
              <w:color w:val="000000"/>
            </w:rPr>
            <w:t> </w:t>
          </w:r>
        </w:p>
      </w:sdtContent>
    </w:sdt>
    <w:p w14:paraId="769C1E89" w14:textId="648CF42F" w:rsidR="00C3337B" w:rsidRPr="00226637" w:rsidRDefault="00C3337B" w:rsidP="00C3337B">
      <w:pPr>
        <w:pStyle w:val="BodyText"/>
      </w:pPr>
      <w:r>
        <w:t xml:space="preserve"> </w:t>
      </w:r>
    </w:p>
    <w:p w14:paraId="4B1819A1" w14:textId="77777777" w:rsidR="00C3337B" w:rsidRPr="005C2C26" w:rsidRDefault="00C3337B" w:rsidP="005C2C26"/>
    <w:sectPr w:rsidR="00C3337B" w:rsidRPr="005C2C26" w:rsidSect="000D6031">
      <w:footerReference w:type="default" r:id="rId10"/>
      <w:pgSz w:w="11906" w:h="16838" w:code="9"/>
      <w:pgMar w:top="1440" w:right="1440" w:bottom="1440" w:left="1440" w:header="0" w:footer="101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9CDAFD" w14:textId="77777777" w:rsidR="003C545C" w:rsidRDefault="003C545C">
      <w:r>
        <w:separator/>
      </w:r>
    </w:p>
  </w:endnote>
  <w:endnote w:type="continuationSeparator" w:id="0">
    <w:p w14:paraId="404BF9FA" w14:textId="77777777" w:rsidR="003C545C" w:rsidRDefault="003C5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Playfair Display">
    <w:altName w:val="Calibri"/>
    <w:charset w:val="00"/>
    <w:family w:val="auto"/>
    <w:pitch w:val="variable"/>
    <w:sig w:usb0="20000207" w:usb1="00000000"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C8BD" w14:textId="6B77F398" w:rsidR="009B5476" w:rsidRDefault="009B5476">
    <w:pPr>
      <w:pStyle w:val="Footer"/>
      <w:jc w:val="center"/>
      <w:rPr>
        <w:caps/>
        <w:noProof/>
        <w:color w:val="4F81BD" w:themeColor="accent1"/>
      </w:rPr>
    </w:pPr>
    <w:r>
      <w:rPr>
        <w:caps/>
        <w:color w:val="4F81BD" w:themeColor="accent1"/>
      </w:rPr>
      <w:fldChar w:fldCharType="begin"/>
    </w:r>
    <w:r>
      <w:rPr>
        <w:caps/>
        <w:color w:val="4F81BD" w:themeColor="accent1"/>
      </w:rPr>
      <w:instrText xml:space="preserve"> PAGE   \* MERGEFORMAT </w:instrText>
    </w:r>
    <w:r>
      <w:rPr>
        <w:caps/>
        <w:color w:val="4F81BD" w:themeColor="accent1"/>
      </w:rPr>
      <w:fldChar w:fldCharType="separate"/>
    </w:r>
    <w:r>
      <w:rPr>
        <w:caps/>
        <w:noProof/>
        <w:color w:val="4F81BD" w:themeColor="accent1"/>
      </w:rPr>
      <w:t>2</w:t>
    </w:r>
    <w:r>
      <w:rPr>
        <w:caps/>
        <w:noProof/>
        <w:color w:val="4F81BD" w:themeColor="accent1"/>
      </w:rPr>
      <w:fldChar w:fldCharType="end"/>
    </w:r>
    <w:r>
      <w:rPr>
        <w:caps/>
        <w:noProof/>
        <w:color w:val="4F81BD" w:themeColor="accent1"/>
      </w:rPr>
      <w:t xml:space="preserve"> </w:t>
    </w:r>
  </w:p>
  <w:p w14:paraId="04170E73" w14:textId="49555947" w:rsidR="009B5476" w:rsidRDefault="009B5476">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797E6D" w14:textId="77777777" w:rsidR="003C545C" w:rsidRDefault="003C545C">
      <w:r>
        <w:separator/>
      </w:r>
    </w:p>
  </w:footnote>
  <w:footnote w:type="continuationSeparator" w:id="0">
    <w:p w14:paraId="44AEB74B" w14:textId="77777777" w:rsidR="003C545C" w:rsidRDefault="003C545C">
      <w:r>
        <w:continuationSeparator/>
      </w:r>
    </w:p>
  </w:footnote>
  <w:footnote w:id="1">
    <w:p w14:paraId="6100C3DF" w14:textId="6E11D42C" w:rsidR="00076E33" w:rsidRPr="00184258" w:rsidRDefault="00076E33">
      <w:pPr>
        <w:pStyle w:val="FootnoteText"/>
      </w:pPr>
      <w:r>
        <w:rPr>
          <w:rStyle w:val="FootnoteReference"/>
        </w:rPr>
        <w:footnoteRef/>
      </w:r>
      <w:r>
        <w:t xml:space="preserve"> See the </w:t>
      </w:r>
      <w:r w:rsidRPr="00954F37">
        <w:rPr>
          <w:i/>
          <w:iCs/>
        </w:rPr>
        <w:t>Universities Accord Final Report</w:t>
      </w:r>
      <w:r>
        <w:t xml:space="preserve">, chapter 3; the allocation of places to specific courses in the 20,000 equity places policy, the allocation of places to specific courses in the nuclear-powered submarine program, the newly legislated power to cancel courses for international students when they do not meet Australia’s skills needs, sections 3(1)(c) and 41(1)(d) of the </w:t>
      </w:r>
      <w:r w:rsidRPr="003477B6">
        <w:rPr>
          <w:rFonts w:ascii="Aptos" w:hAnsi="Aptos" w:cstheme="minorHAnsi"/>
          <w:i/>
          <w:iCs/>
          <w:color w:val="242424"/>
        </w:rPr>
        <w:t>Universities Accord (Australian Tertiary Education Commission) Bill 2025</w:t>
      </w:r>
      <w:r w:rsidR="00184258">
        <w:rPr>
          <w:rFonts w:ascii="Aptos" w:hAnsi="Aptos" w:cstheme="minorHAnsi"/>
          <w:i/>
          <w:iCs/>
          <w:color w:val="242424"/>
        </w:rPr>
        <w:t>.</w:t>
      </w:r>
      <w:r w:rsidR="00184258">
        <w:rPr>
          <w:rFonts w:ascii="Aptos" w:hAnsi="Aptos" w:cstheme="minorHAnsi"/>
          <w:color w:val="242424"/>
        </w:rPr>
        <w:t xml:space="preserve"> </w:t>
      </w:r>
    </w:p>
  </w:footnote>
  <w:footnote w:id="2">
    <w:p w14:paraId="1985435D" w14:textId="7C836A0B" w:rsidR="00184258" w:rsidRDefault="00184258">
      <w:pPr>
        <w:pStyle w:val="FootnoteText"/>
      </w:pPr>
      <w:r>
        <w:rPr>
          <w:rStyle w:val="FootnoteReference"/>
        </w:rPr>
        <w:footnoteRef/>
      </w:r>
      <w:r>
        <w:t xml:space="preserve"> </w:t>
      </w:r>
      <w:r w:rsidR="004903AA">
        <w:t xml:space="preserve">See the </w:t>
      </w:r>
      <w:r w:rsidR="004903AA" w:rsidRPr="00EF3436">
        <w:rPr>
          <w:i/>
          <w:iCs/>
        </w:rPr>
        <w:t>Universities Accord Final Report</w:t>
      </w:r>
      <w:r w:rsidR="004903AA">
        <w:t xml:space="preserve">, chapter 4 (noting the tensions between the Accord panel supporting First Nations self-determination and the Accord panel determining First Nations enrolment share targets), the Accord bill explanatory memorandum reference to ‘aspirational and ambitious’ university performance targets (p.4), the general lack of interest in the Accord final report and Australia’s equity literature in whether university is the best option for specific individuals from equity backgrounds. </w:t>
      </w:r>
    </w:p>
  </w:footnote>
  <w:footnote w:id="3">
    <w:p w14:paraId="788F7450" w14:textId="2BB5EF6D" w:rsidR="004903AA" w:rsidRDefault="004903AA">
      <w:pPr>
        <w:pStyle w:val="FootnoteText"/>
      </w:pPr>
      <w:r>
        <w:rPr>
          <w:rStyle w:val="FootnoteReference"/>
        </w:rPr>
        <w:footnoteRef/>
      </w:r>
      <w:r>
        <w:t xml:space="preserve"> </w:t>
      </w:r>
      <w:r w:rsidR="004024BE">
        <w:t xml:space="preserve">See the Strategic Examination of Research and Development’s criticism of investigator-led research lacking strategic direction </w:t>
      </w:r>
      <w:sdt>
        <w:sdtPr>
          <w:rPr>
            <w:rFonts w:ascii="Calibri" w:hAnsi="Calibri" w:cs="Calibri"/>
            <w:color w:val="000000"/>
          </w:rPr>
          <w:tag w:val="MENDELEY_CITATION_v3_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mkifV19"/>
          <w:id w:val="-787430553"/>
          <w:placeholder>
            <w:docPart w:val="DefaultPlaceholder_-1854013440"/>
          </w:placeholder>
        </w:sdtPr>
        <w:sdtContent>
          <w:r w:rsidR="00094A58" w:rsidRPr="00094A58">
            <w:rPr>
              <w:rFonts w:ascii="Calibri" w:hAnsi="Calibri" w:cs="Calibri"/>
              <w:color w:val="000000"/>
            </w:rPr>
            <w:t>(Australian Government, 2025b, p. i)</w:t>
          </w:r>
        </w:sdtContent>
      </w:sdt>
      <w:r w:rsidR="004024BE">
        <w:rPr>
          <w:color w:val="000000"/>
        </w:rPr>
        <w:t xml:space="preserve"> </w:t>
      </w:r>
      <w:r w:rsidR="009973A6">
        <w:rPr>
          <w:color w:val="000000"/>
        </w:rPr>
        <w:t xml:space="preserve">and its proposal to use mission-based compacts to encourage universities to build research scale and specialisation </w:t>
      </w:r>
      <w:sdt>
        <w:sdtPr>
          <w:rPr>
            <w:rFonts w:ascii="Calibri" w:hAnsi="Calibri" w:cs="Calibri"/>
            <w:color w:val="000000"/>
          </w:rPr>
          <w:tag w:val="MENDELEY_CITATION_v3_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jUifV19"/>
          <w:id w:val="-902749253"/>
          <w:placeholder>
            <w:docPart w:val="DefaultPlaceholder_-1854013440"/>
          </w:placeholder>
        </w:sdtPr>
        <w:sdtContent>
          <w:r w:rsidR="00094A58" w:rsidRPr="00094A58">
            <w:rPr>
              <w:rFonts w:ascii="Calibri" w:hAnsi="Calibri" w:cs="Calibri"/>
              <w:color w:val="000000"/>
            </w:rPr>
            <w:t>(Australian Government, 2025a, p. 5)</w:t>
          </w:r>
        </w:sdtContent>
      </w:sdt>
      <w:r w:rsidR="009973A6">
        <w:rPr>
          <w:color w:val="000000"/>
        </w:rPr>
        <w:t xml:space="preserve">. </w:t>
      </w:r>
    </w:p>
  </w:footnote>
  <w:footnote w:id="4">
    <w:p w14:paraId="09A237C3" w14:textId="1B5BF141" w:rsidR="007C0A8D" w:rsidRDefault="007C0A8D">
      <w:pPr>
        <w:pStyle w:val="FootnoteText"/>
      </w:pPr>
      <w:r>
        <w:rPr>
          <w:rStyle w:val="FootnoteReference"/>
        </w:rPr>
        <w:footnoteRef/>
      </w:r>
      <w:r>
        <w:t xml:space="preserve"> I searched for ‘objectives’ on the legislation.gov.au website and checked approximately 10 Acts in which this word appears, without finding any parallel structures. </w:t>
      </w:r>
    </w:p>
  </w:footnote>
  <w:footnote w:id="5">
    <w:p w14:paraId="611E0BD1" w14:textId="0878169A" w:rsidR="00655EFD" w:rsidRPr="00655EFD" w:rsidRDefault="00655EFD">
      <w:pPr>
        <w:pStyle w:val="FootnoteText"/>
        <w:rPr>
          <w:i/>
          <w:iCs/>
        </w:rPr>
      </w:pPr>
      <w:r>
        <w:rPr>
          <w:rStyle w:val="FootnoteReference"/>
        </w:rPr>
        <w:footnoteRef/>
      </w:r>
      <w:r>
        <w:t xml:space="preserve"> Formally, the </w:t>
      </w:r>
      <w:r>
        <w:rPr>
          <w:i/>
          <w:iCs/>
        </w:rPr>
        <w:t>Higher Education Standards Framework (Threshold Standards) 2021.</w:t>
      </w:r>
    </w:p>
  </w:footnote>
  <w:footnote w:id="6">
    <w:p w14:paraId="1CE0C40D" w14:textId="7576F2FB" w:rsidR="008866D9" w:rsidRDefault="008866D9">
      <w:pPr>
        <w:pStyle w:val="FootnoteText"/>
      </w:pPr>
      <w:r>
        <w:rPr>
          <w:rStyle w:val="FootnoteReference"/>
        </w:rPr>
        <w:footnoteRef/>
      </w:r>
      <w:r>
        <w:t xml:space="preserve"> Jason Clare, House of Representatives, 26 November 2025. </w:t>
      </w:r>
    </w:p>
  </w:footnote>
  <w:footnote w:id="7">
    <w:p w14:paraId="7EB92263" w14:textId="442D5ABD" w:rsidR="001454FB" w:rsidRDefault="001454FB" w:rsidP="001454FB">
      <w:pPr>
        <w:pStyle w:val="FootnoteText"/>
      </w:pPr>
      <w:r>
        <w:rPr>
          <w:rStyle w:val="FootnoteReference"/>
        </w:rPr>
        <w:footnoteRef/>
      </w:r>
      <w:r>
        <w:t xml:space="preserve"> Reported in a presentation by Mary O’Kane to the Universities Australia plenary, 28 August 20</w:t>
      </w:r>
      <w:r w:rsidR="009B27B2">
        <w:t>2</w:t>
      </w:r>
      <w:r>
        <w:t xml:space="preserve">5, ‘Mission-based compacts including Statement of Strategic Priorities: Briefing and consultation kick off’. </w:t>
      </w:r>
    </w:p>
  </w:footnote>
  <w:footnote w:id="8">
    <w:p w14:paraId="4A69D562" w14:textId="0E0B0E35" w:rsidR="00ED5C5A" w:rsidRDefault="00ED5C5A">
      <w:pPr>
        <w:pStyle w:val="FootnoteText"/>
      </w:pPr>
      <w:r>
        <w:rPr>
          <w:rStyle w:val="FootnoteReference"/>
        </w:rPr>
        <w:footnoteRef/>
      </w:r>
      <w:r>
        <w:t xml:space="preserve"> T</w:t>
      </w:r>
      <w:r>
        <w:rPr>
          <w:rFonts w:ascii="Aptos" w:hAnsi="Aptos"/>
        </w:rPr>
        <w:t>he Australian University of Theology, which achieved university status in December 2024, is the only TEQSA-registered university not on Table B.</w:t>
      </w:r>
    </w:p>
  </w:footnote>
  <w:footnote w:id="9">
    <w:p w14:paraId="75F6EC3A" w14:textId="7115986A" w:rsidR="00E41907" w:rsidRDefault="00E41907">
      <w:pPr>
        <w:pStyle w:val="FootnoteText"/>
      </w:pPr>
      <w:r>
        <w:rPr>
          <w:rStyle w:val="FootnoteReference"/>
        </w:rPr>
        <w:footnoteRef/>
      </w:r>
      <w:r>
        <w:t xml:space="preserve"> </w:t>
      </w:r>
      <w:r w:rsidRPr="00E41907">
        <w:t>https://www.education.gov.au/collections/higher-education-providers-2025-26-mission-based-compacts</w:t>
      </w:r>
    </w:p>
  </w:footnote>
  <w:footnote w:id="10">
    <w:p w14:paraId="63314D25" w14:textId="77777777" w:rsidR="00073D23" w:rsidRPr="00636C13" w:rsidRDefault="00073D23" w:rsidP="00073D23">
      <w:pPr>
        <w:pStyle w:val="FootnoteText"/>
      </w:pPr>
      <w:r>
        <w:rPr>
          <w:rStyle w:val="FootnoteReference"/>
        </w:rPr>
        <w:footnoteRef/>
      </w:r>
      <w:r>
        <w:t xml:space="preserve"> See also section 33(1) of the </w:t>
      </w:r>
      <w:r>
        <w:rPr>
          <w:i/>
          <w:iCs/>
        </w:rPr>
        <w:t>Acts Interpretation Act 1901</w:t>
      </w:r>
      <w:r>
        <w:t xml:space="preserve">: ‘When an Act confers a function or imposes a duty, then the power may be </w:t>
      </w:r>
      <w:proofErr w:type="gramStart"/>
      <w:r>
        <w:t>exercised</w:t>
      </w:r>
      <w:proofErr w:type="gramEnd"/>
      <w:r>
        <w:t xml:space="preserve"> and the functions or duty must be performed from time to time as the occasion requires.’</w:t>
      </w:r>
    </w:p>
  </w:footnote>
  <w:footnote w:id="11">
    <w:p w14:paraId="6A92B47C" w14:textId="77777777" w:rsidR="00655EFD" w:rsidRDefault="00655EFD" w:rsidP="00655EFD">
      <w:pPr>
        <w:pStyle w:val="FootnoteText"/>
      </w:pPr>
      <w:r>
        <w:rPr>
          <w:rStyle w:val="FootnoteReference"/>
        </w:rPr>
        <w:footnoteRef/>
      </w:r>
      <w:r>
        <w:t xml:space="preserve"> </w:t>
      </w:r>
      <w:r w:rsidRPr="00655EFD">
        <w:rPr>
          <w:i/>
          <w:iCs/>
        </w:rPr>
        <w:t>Higher Education Provider Amendment (Support for Students Policy) Guidelines 2023</w:t>
      </w:r>
      <w:r>
        <w:t xml:space="preserve">. </w:t>
      </w:r>
    </w:p>
  </w:footnote>
  <w:footnote w:id="12">
    <w:p w14:paraId="01C66060" w14:textId="6DE0AF1F" w:rsidR="0080489C" w:rsidRDefault="0080489C">
      <w:pPr>
        <w:pStyle w:val="FootnoteText"/>
      </w:pPr>
      <w:r>
        <w:rPr>
          <w:rStyle w:val="FootnoteReference"/>
        </w:rPr>
        <w:footnoteRef/>
      </w:r>
      <w:r>
        <w:t xml:space="preserve"> See section 33(2A) of the </w:t>
      </w:r>
      <w:r w:rsidRPr="0080489C">
        <w:rPr>
          <w:i/>
          <w:iCs/>
        </w:rPr>
        <w:t>Acts Interpretation Act 2001</w:t>
      </w: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75E9A"/>
    <w:multiLevelType w:val="multilevel"/>
    <w:tmpl w:val="FA3E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526912"/>
    <w:multiLevelType w:val="hybridMultilevel"/>
    <w:tmpl w:val="D77C55E8"/>
    <w:lvl w:ilvl="0" w:tplc="0C090017">
      <w:start w:val="1"/>
      <w:numFmt w:val="low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EC012EA"/>
    <w:multiLevelType w:val="hybridMultilevel"/>
    <w:tmpl w:val="85AEE904"/>
    <w:lvl w:ilvl="0" w:tplc="A5ECC88E">
      <w:numFmt w:val="bullet"/>
      <w:lvlText w:val=""/>
      <w:lvlJc w:val="left"/>
      <w:pPr>
        <w:ind w:left="1080" w:hanging="360"/>
      </w:pPr>
      <w:rPr>
        <w:rFonts w:ascii="Symbol" w:eastAsiaTheme="minorHAnsi" w:hAnsi="Symbol" w:cstheme="minorBidi"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10F83BE5"/>
    <w:multiLevelType w:val="hybridMultilevel"/>
    <w:tmpl w:val="AF7C99C4"/>
    <w:lvl w:ilvl="0" w:tplc="0C090011">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403789C"/>
    <w:multiLevelType w:val="hybridMultilevel"/>
    <w:tmpl w:val="02DACF56"/>
    <w:lvl w:ilvl="0" w:tplc="FFFFFFFF">
      <w:numFmt w:val="bullet"/>
      <w:lvlText w:val=""/>
      <w:lvlJc w:val="left"/>
      <w:pPr>
        <w:ind w:left="720" w:hanging="360"/>
      </w:pPr>
      <w:rPr>
        <w:rFonts w:ascii="Symbol" w:eastAsia="Verdana" w:hAnsi="Symbol" w:cs="Verdana" w:hint="default"/>
      </w:rPr>
    </w:lvl>
    <w:lvl w:ilvl="1" w:tplc="EB827E06">
      <w:numFmt w:val="bullet"/>
      <w:lvlText w:val=""/>
      <w:lvlJc w:val="left"/>
      <w:pPr>
        <w:ind w:left="1440" w:hanging="360"/>
      </w:pPr>
      <w:rPr>
        <w:rFonts w:ascii="Symbol" w:eastAsia="Verdana" w:hAnsi="Symbol" w:cs="Verdan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6FF6147"/>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7D33908"/>
    <w:multiLevelType w:val="hybridMultilevel"/>
    <w:tmpl w:val="AB00AFE4"/>
    <w:lvl w:ilvl="0" w:tplc="FFFFFFFF">
      <w:start w:val="1"/>
      <w:numFmt w:val="decimal"/>
      <w:lvlText w:val="%1."/>
      <w:lvlJc w:val="left"/>
      <w:pPr>
        <w:ind w:left="-154" w:hanging="360"/>
      </w:pPr>
    </w:lvl>
    <w:lvl w:ilvl="1" w:tplc="FFFFFFFF" w:tentative="1">
      <w:start w:val="1"/>
      <w:numFmt w:val="lowerLetter"/>
      <w:lvlText w:val="%2."/>
      <w:lvlJc w:val="left"/>
      <w:pPr>
        <w:ind w:left="566" w:hanging="360"/>
      </w:pPr>
    </w:lvl>
    <w:lvl w:ilvl="2" w:tplc="FFFFFFFF" w:tentative="1">
      <w:start w:val="1"/>
      <w:numFmt w:val="lowerRoman"/>
      <w:lvlText w:val="%3."/>
      <w:lvlJc w:val="right"/>
      <w:pPr>
        <w:ind w:left="1286" w:hanging="180"/>
      </w:pPr>
    </w:lvl>
    <w:lvl w:ilvl="3" w:tplc="FFFFFFFF" w:tentative="1">
      <w:start w:val="1"/>
      <w:numFmt w:val="decimal"/>
      <w:lvlText w:val="%4."/>
      <w:lvlJc w:val="left"/>
      <w:pPr>
        <w:ind w:left="2006" w:hanging="360"/>
      </w:pPr>
    </w:lvl>
    <w:lvl w:ilvl="4" w:tplc="FFFFFFFF" w:tentative="1">
      <w:start w:val="1"/>
      <w:numFmt w:val="lowerLetter"/>
      <w:lvlText w:val="%5."/>
      <w:lvlJc w:val="left"/>
      <w:pPr>
        <w:ind w:left="2726" w:hanging="360"/>
      </w:pPr>
    </w:lvl>
    <w:lvl w:ilvl="5" w:tplc="FFFFFFFF" w:tentative="1">
      <w:start w:val="1"/>
      <w:numFmt w:val="lowerRoman"/>
      <w:lvlText w:val="%6."/>
      <w:lvlJc w:val="right"/>
      <w:pPr>
        <w:ind w:left="3446" w:hanging="180"/>
      </w:pPr>
    </w:lvl>
    <w:lvl w:ilvl="6" w:tplc="FFFFFFFF" w:tentative="1">
      <w:start w:val="1"/>
      <w:numFmt w:val="decimal"/>
      <w:lvlText w:val="%7."/>
      <w:lvlJc w:val="left"/>
      <w:pPr>
        <w:ind w:left="4166" w:hanging="360"/>
      </w:pPr>
    </w:lvl>
    <w:lvl w:ilvl="7" w:tplc="FFFFFFFF" w:tentative="1">
      <w:start w:val="1"/>
      <w:numFmt w:val="lowerLetter"/>
      <w:lvlText w:val="%8."/>
      <w:lvlJc w:val="left"/>
      <w:pPr>
        <w:ind w:left="4886" w:hanging="360"/>
      </w:pPr>
    </w:lvl>
    <w:lvl w:ilvl="8" w:tplc="FFFFFFFF" w:tentative="1">
      <w:start w:val="1"/>
      <w:numFmt w:val="lowerRoman"/>
      <w:lvlText w:val="%9."/>
      <w:lvlJc w:val="right"/>
      <w:pPr>
        <w:ind w:left="5606" w:hanging="180"/>
      </w:pPr>
    </w:lvl>
  </w:abstractNum>
  <w:abstractNum w:abstractNumId="7" w15:restartNumberingAfterBreak="0">
    <w:nsid w:val="1EA12D38"/>
    <w:multiLevelType w:val="hybridMultilevel"/>
    <w:tmpl w:val="95C06014"/>
    <w:lvl w:ilvl="0" w:tplc="DF88EDB4">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1F3161A8"/>
    <w:multiLevelType w:val="hybridMultilevel"/>
    <w:tmpl w:val="BEC64614"/>
    <w:lvl w:ilvl="0" w:tplc="5EBCD66E">
      <w:numFmt w:val="bullet"/>
      <w:lvlText w:val=""/>
      <w:lvlJc w:val="left"/>
      <w:pPr>
        <w:ind w:left="1080" w:hanging="360"/>
      </w:pPr>
      <w:rPr>
        <w:rFonts w:ascii="Symbol" w:eastAsia="Verdana" w:hAnsi="Symbol" w:cs="Verdana" w:hint="default"/>
      </w:rPr>
    </w:lvl>
    <w:lvl w:ilvl="1" w:tplc="0C090003">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9" w15:restartNumberingAfterBreak="0">
    <w:nsid w:val="202619FC"/>
    <w:multiLevelType w:val="multilevel"/>
    <w:tmpl w:val="1B1C7A08"/>
    <w:lvl w:ilvl="0">
      <w:start w:val="3"/>
      <w:numFmt w:val="decimal"/>
      <w:lvlText w:val="%1"/>
      <w:lvlJc w:val="left"/>
      <w:pPr>
        <w:ind w:left="636" w:hanging="517"/>
      </w:pPr>
      <w:rPr>
        <w:rFonts w:hint="default"/>
        <w:lang w:val="en-AU" w:eastAsia="en-US" w:bidi="ar-SA"/>
      </w:rPr>
    </w:lvl>
    <w:lvl w:ilvl="1">
      <w:start w:val="1"/>
      <w:numFmt w:val="decimal"/>
      <w:lvlText w:val="%1.%2"/>
      <w:lvlJc w:val="left"/>
      <w:pPr>
        <w:ind w:left="636" w:hanging="517"/>
      </w:pPr>
      <w:rPr>
        <w:rFonts w:ascii="Verdana" w:eastAsia="Verdana" w:hAnsi="Verdana" w:cs="Verdana" w:hint="default"/>
        <w:color w:val="2E5395"/>
        <w:spacing w:val="-1"/>
        <w:w w:val="99"/>
        <w:sz w:val="26"/>
        <w:szCs w:val="26"/>
        <w:lang w:val="en-AU" w:eastAsia="en-US" w:bidi="ar-SA"/>
      </w:rPr>
    </w:lvl>
    <w:lvl w:ilvl="2">
      <w:numFmt w:val="bullet"/>
      <w:lvlText w:val="•"/>
      <w:lvlJc w:val="left"/>
      <w:pPr>
        <w:ind w:left="2428" w:hanging="517"/>
      </w:pPr>
      <w:rPr>
        <w:rFonts w:hint="default"/>
        <w:lang w:val="en-AU" w:eastAsia="en-US" w:bidi="ar-SA"/>
      </w:rPr>
    </w:lvl>
    <w:lvl w:ilvl="3">
      <w:numFmt w:val="bullet"/>
      <w:lvlText w:val="•"/>
      <w:lvlJc w:val="left"/>
      <w:pPr>
        <w:ind w:left="3322" w:hanging="517"/>
      </w:pPr>
      <w:rPr>
        <w:rFonts w:hint="default"/>
        <w:lang w:val="en-AU" w:eastAsia="en-US" w:bidi="ar-SA"/>
      </w:rPr>
    </w:lvl>
    <w:lvl w:ilvl="4">
      <w:numFmt w:val="bullet"/>
      <w:lvlText w:val="•"/>
      <w:lvlJc w:val="left"/>
      <w:pPr>
        <w:ind w:left="4216" w:hanging="517"/>
      </w:pPr>
      <w:rPr>
        <w:rFonts w:hint="default"/>
        <w:lang w:val="en-AU" w:eastAsia="en-US" w:bidi="ar-SA"/>
      </w:rPr>
    </w:lvl>
    <w:lvl w:ilvl="5">
      <w:numFmt w:val="bullet"/>
      <w:lvlText w:val="•"/>
      <w:lvlJc w:val="left"/>
      <w:pPr>
        <w:ind w:left="5110" w:hanging="517"/>
      </w:pPr>
      <w:rPr>
        <w:rFonts w:hint="default"/>
        <w:lang w:val="en-AU" w:eastAsia="en-US" w:bidi="ar-SA"/>
      </w:rPr>
    </w:lvl>
    <w:lvl w:ilvl="6">
      <w:numFmt w:val="bullet"/>
      <w:lvlText w:val="•"/>
      <w:lvlJc w:val="left"/>
      <w:pPr>
        <w:ind w:left="6004" w:hanging="517"/>
      </w:pPr>
      <w:rPr>
        <w:rFonts w:hint="default"/>
        <w:lang w:val="en-AU" w:eastAsia="en-US" w:bidi="ar-SA"/>
      </w:rPr>
    </w:lvl>
    <w:lvl w:ilvl="7">
      <w:numFmt w:val="bullet"/>
      <w:lvlText w:val="•"/>
      <w:lvlJc w:val="left"/>
      <w:pPr>
        <w:ind w:left="6898" w:hanging="517"/>
      </w:pPr>
      <w:rPr>
        <w:rFonts w:hint="default"/>
        <w:lang w:val="en-AU" w:eastAsia="en-US" w:bidi="ar-SA"/>
      </w:rPr>
    </w:lvl>
    <w:lvl w:ilvl="8">
      <w:numFmt w:val="bullet"/>
      <w:lvlText w:val="•"/>
      <w:lvlJc w:val="left"/>
      <w:pPr>
        <w:ind w:left="7792" w:hanging="517"/>
      </w:pPr>
      <w:rPr>
        <w:rFonts w:hint="default"/>
        <w:lang w:val="en-AU" w:eastAsia="en-US" w:bidi="ar-SA"/>
      </w:rPr>
    </w:lvl>
  </w:abstractNum>
  <w:abstractNum w:abstractNumId="10" w15:restartNumberingAfterBreak="0">
    <w:nsid w:val="2210720B"/>
    <w:multiLevelType w:val="hybridMultilevel"/>
    <w:tmpl w:val="5504CC14"/>
    <w:lvl w:ilvl="0" w:tplc="FFFFFFFF">
      <w:numFmt w:val="bullet"/>
      <w:lvlText w:val=""/>
      <w:lvlJc w:val="left"/>
      <w:pPr>
        <w:ind w:left="720" w:hanging="360"/>
      </w:pPr>
      <w:rPr>
        <w:rFonts w:ascii="Symbol" w:eastAsia="Verdana" w:hAnsi="Symbol" w:cs="Verdana" w:hint="default"/>
      </w:rPr>
    </w:lvl>
    <w:lvl w:ilvl="1" w:tplc="DF2059D8">
      <w:numFmt w:val="bullet"/>
      <w:lvlText w:val=""/>
      <w:lvlJc w:val="left"/>
      <w:pPr>
        <w:ind w:left="1440" w:hanging="360"/>
      </w:pPr>
      <w:rPr>
        <w:rFonts w:ascii="Symbol" w:eastAsia="Verdana" w:hAnsi="Symbol" w:cs="Verdana"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22E20387"/>
    <w:multiLevelType w:val="hybridMultilevel"/>
    <w:tmpl w:val="93A006DA"/>
    <w:lvl w:ilvl="0" w:tplc="57DAA3FC">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2" w15:restartNumberingAfterBreak="0">
    <w:nsid w:val="2C9B6BE0"/>
    <w:multiLevelType w:val="hybridMultilevel"/>
    <w:tmpl w:val="C3124416"/>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13" w15:restartNumberingAfterBreak="0">
    <w:nsid w:val="2D304D91"/>
    <w:multiLevelType w:val="multilevel"/>
    <w:tmpl w:val="EF646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391219"/>
    <w:multiLevelType w:val="hybridMultilevel"/>
    <w:tmpl w:val="89EC9C10"/>
    <w:lvl w:ilvl="0" w:tplc="A46666FA">
      <w:start w:val="1"/>
      <w:numFmt w:val="decimal"/>
      <w:lvlText w:val="%1."/>
      <w:lvlJc w:val="left"/>
      <w:pPr>
        <w:ind w:left="785" w:hanging="360"/>
      </w:pPr>
      <w:rPr>
        <w:rFonts w:hint="default"/>
        <w:i w:val="0"/>
        <w:iCs w:val="0"/>
      </w:rPr>
    </w:lvl>
    <w:lvl w:ilvl="1" w:tplc="0C090019" w:tentative="1">
      <w:start w:val="1"/>
      <w:numFmt w:val="lowerLetter"/>
      <w:lvlText w:val="%2."/>
      <w:lvlJc w:val="left"/>
      <w:pPr>
        <w:ind w:left="1505" w:hanging="360"/>
      </w:pPr>
    </w:lvl>
    <w:lvl w:ilvl="2" w:tplc="0C09001B" w:tentative="1">
      <w:start w:val="1"/>
      <w:numFmt w:val="lowerRoman"/>
      <w:lvlText w:val="%3."/>
      <w:lvlJc w:val="right"/>
      <w:pPr>
        <w:ind w:left="2225" w:hanging="180"/>
      </w:pPr>
    </w:lvl>
    <w:lvl w:ilvl="3" w:tplc="0C09000F" w:tentative="1">
      <w:start w:val="1"/>
      <w:numFmt w:val="decimal"/>
      <w:lvlText w:val="%4."/>
      <w:lvlJc w:val="left"/>
      <w:pPr>
        <w:ind w:left="2945" w:hanging="360"/>
      </w:pPr>
    </w:lvl>
    <w:lvl w:ilvl="4" w:tplc="0C090019" w:tentative="1">
      <w:start w:val="1"/>
      <w:numFmt w:val="lowerLetter"/>
      <w:lvlText w:val="%5."/>
      <w:lvlJc w:val="left"/>
      <w:pPr>
        <w:ind w:left="3665" w:hanging="360"/>
      </w:pPr>
    </w:lvl>
    <w:lvl w:ilvl="5" w:tplc="0C09001B" w:tentative="1">
      <w:start w:val="1"/>
      <w:numFmt w:val="lowerRoman"/>
      <w:lvlText w:val="%6."/>
      <w:lvlJc w:val="right"/>
      <w:pPr>
        <w:ind w:left="4385" w:hanging="180"/>
      </w:pPr>
    </w:lvl>
    <w:lvl w:ilvl="6" w:tplc="0C09000F" w:tentative="1">
      <w:start w:val="1"/>
      <w:numFmt w:val="decimal"/>
      <w:lvlText w:val="%7."/>
      <w:lvlJc w:val="left"/>
      <w:pPr>
        <w:ind w:left="5105" w:hanging="360"/>
      </w:pPr>
    </w:lvl>
    <w:lvl w:ilvl="7" w:tplc="0C090019" w:tentative="1">
      <w:start w:val="1"/>
      <w:numFmt w:val="lowerLetter"/>
      <w:lvlText w:val="%8."/>
      <w:lvlJc w:val="left"/>
      <w:pPr>
        <w:ind w:left="5825" w:hanging="360"/>
      </w:pPr>
    </w:lvl>
    <w:lvl w:ilvl="8" w:tplc="0C09001B" w:tentative="1">
      <w:start w:val="1"/>
      <w:numFmt w:val="lowerRoman"/>
      <w:lvlText w:val="%9."/>
      <w:lvlJc w:val="right"/>
      <w:pPr>
        <w:ind w:left="6545" w:hanging="180"/>
      </w:pPr>
    </w:lvl>
  </w:abstractNum>
  <w:abstractNum w:abstractNumId="15" w15:restartNumberingAfterBreak="0">
    <w:nsid w:val="3A244891"/>
    <w:multiLevelType w:val="hybridMultilevel"/>
    <w:tmpl w:val="188062CE"/>
    <w:lvl w:ilvl="0" w:tplc="4E0C79A4">
      <w:numFmt w:val="bullet"/>
      <w:lvlText w:val=""/>
      <w:lvlJc w:val="left"/>
      <w:pPr>
        <w:ind w:left="479" w:hanging="360"/>
      </w:pPr>
      <w:rPr>
        <w:rFonts w:ascii="Symbol" w:eastAsia="Verdana" w:hAnsi="Symbol" w:cstheme="minorHAnsi"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16" w15:restartNumberingAfterBreak="0">
    <w:nsid w:val="3AA75098"/>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7" w15:restartNumberingAfterBreak="0">
    <w:nsid w:val="3C194839"/>
    <w:multiLevelType w:val="hybridMultilevel"/>
    <w:tmpl w:val="53C87E54"/>
    <w:lvl w:ilvl="0" w:tplc="0C090017">
      <w:start w:val="1"/>
      <w:numFmt w:val="lowerLetter"/>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8" w15:restartNumberingAfterBreak="0">
    <w:nsid w:val="3C8D2F61"/>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19" w15:restartNumberingAfterBreak="0">
    <w:nsid w:val="41F91CD6"/>
    <w:multiLevelType w:val="hybridMultilevel"/>
    <w:tmpl w:val="CF6CE26C"/>
    <w:lvl w:ilvl="0" w:tplc="0C09000F">
      <w:start w:val="1"/>
      <w:numFmt w:val="decimal"/>
      <w:lvlText w:val="%1."/>
      <w:lvlJc w:val="left"/>
      <w:pPr>
        <w:ind w:left="786"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15:restartNumberingAfterBreak="0">
    <w:nsid w:val="447B6793"/>
    <w:multiLevelType w:val="hybridMultilevel"/>
    <w:tmpl w:val="FA4A996E"/>
    <w:lvl w:ilvl="0" w:tplc="A84874A2">
      <w:start w:val="1"/>
      <w:numFmt w:val="lowerLetter"/>
      <w:lvlText w:val="(%1)"/>
      <w:lvlJc w:val="left"/>
      <w:pPr>
        <w:tabs>
          <w:tab w:val="num" w:pos="930"/>
        </w:tabs>
        <w:ind w:left="930" w:hanging="570"/>
      </w:pPr>
      <w:rPr>
        <w:rFonts w:hint="default"/>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1" w15:restartNumberingAfterBreak="0">
    <w:nsid w:val="45F93292"/>
    <w:multiLevelType w:val="hybridMultilevel"/>
    <w:tmpl w:val="4248473A"/>
    <w:lvl w:ilvl="0" w:tplc="EB827E06">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BE43443"/>
    <w:multiLevelType w:val="hybridMultilevel"/>
    <w:tmpl w:val="5E486D1C"/>
    <w:lvl w:ilvl="0" w:tplc="FFFFFFFF">
      <w:numFmt w:val="bullet"/>
      <w:lvlText w:val=""/>
      <w:lvlJc w:val="left"/>
      <w:pPr>
        <w:ind w:left="720" w:hanging="360"/>
      </w:pPr>
      <w:rPr>
        <w:rFonts w:ascii="Symbol" w:eastAsia="Verdana" w:hAnsi="Symbol" w:cs="Verdana" w:hint="default"/>
      </w:rPr>
    </w:lvl>
    <w:lvl w:ilvl="1" w:tplc="0C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1C4021E"/>
    <w:multiLevelType w:val="hybridMultilevel"/>
    <w:tmpl w:val="1C60D616"/>
    <w:lvl w:ilvl="0" w:tplc="CBA4EB36">
      <w:start w:val="2"/>
      <w:numFmt w:val="lowerLetter"/>
      <w:lvlText w:val="%1)"/>
      <w:lvlJc w:val="left"/>
      <w:pPr>
        <w:ind w:left="786" w:hanging="360"/>
      </w:pPr>
      <w:rPr>
        <w:rFonts w:eastAsia="Verdana" w:cs="Verdana"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24" w15:restartNumberingAfterBreak="0">
    <w:nsid w:val="53077256"/>
    <w:multiLevelType w:val="hybridMultilevel"/>
    <w:tmpl w:val="C976708A"/>
    <w:lvl w:ilvl="0" w:tplc="FA6A7DE4">
      <w:start w:val="1"/>
      <w:numFmt w:val="decimal"/>
      <w:lvlText w:val="%1."/>
      <w:lvlJc w:val="left"/>
      <w:pPr>
        <w:ind w:left="480" w:hanging="361"/>
      </w:pPr>
      <w:rPr>
        <w:rFonts w:ascii="Verdana" w:eastAsia="Verdana" w:hAnsi="Verdana" w:cs="Verdana" w:hint="default"/>
        <w:color w:val="2E5395"/>
        <w:spacing w:val="0"/>
        <w:w w:val="99"/>
        <w:sz w:val="32"/>
        <w:szCs w:val="32"/>
        <w:lang w:val="en-AU" w:eastAsia="en-US" w:bidi="ar-SA"/>
      </w:rPr>
    </w:lvl>
    <w:lvl w:ilvl="1" w:tplc="172C78A4">
      <w:numFmt w:val="bullet"/>
      <w:lvlText w:val=""/>
      <w:lvlJc w:val="left"/>
      <w:pPr>
        <w:ind w:left="840" w:hanging="361"/>
      </w:pPr>
      <w:rPr>
        <w:rFonts w:ascii="Symbol" w:eastAsia="Symbol" w:hAnsi="Symbol" w:cs="Symbol" w:hint="default"/>
        <w:w w:val="100"/>
        <w:sz w:val="22"/>
        <w:szCs w:val="22"/>
        <w:lang w:val="en-AU" w:eastAsia="en-US" w:bidi="ar-SA"/>
      </w:rPr>
    </w:lvl>
    <w:lvl w:ilvl="2" w:tplc="CDA60262">
      <w:numFmt w:val="bullet"/>
      <w:lvlText w:val="o"/>
      <w:lvlJc w:val="left"/>
      <w:pPr>
        <w:ind w:left="1560" w:hanging="361"/>
      </w:pPr>
      <w:rPr>
        <w:rFonts w:ascii="Courier New" w:eastAsia="Courier New" w:hAnsi="Courier New" w:cs="Courier New" w:hint="default"/>
        <w:w w:val="100"/>
        <w:sz w:val="22"/>
        <w:szCs w:val="22"/>
        <w:lang w:val="en-AU" w:eastAsia="en-US" w:bidi="ar-SA"/>
      </w:rPr>
    </w:lvl>
    <w:lvl w:ilvl="3" w:tplc="A15247F2">
      <w:numFmt w:val="bullet"/>
      <w:lvlText w:val="•"/>
      <w:lvlJc w:val="left"/>
      <w:pPr>
        <w:ind w:left="2562" w:hanging="361"/>
      </w:pPr>
      <w:rPr>
        <w:rFonts w:hint="default"/>
        <w:lang w:val="en-AU" w:eastAsia="en-US" w:bidi="ar-SA"/>
      </w:rPr>
    </w:lvl>
    <w:lvl w:ilvl="4" w:tplc="7660A008">
      <w:numFmt w:val="bullet"/>
      <w:lvlText w:val="•"/>
      <w:lvlJc w:val="left"/>
      <w:pPr>
        <w:ind w:left="3565" w:hanging="361"/>
      </w:pPr>
      <w:rPr>
        <w:rFonts w:hint="default"/>
        <w:lang w:val="en-AU" w:eastAsia="en-US" w:bidi="ar-SA"/>
      </w:rPr>
    </w:lvl>
    <w:lvl w:ilvl="5" w:tplc="FA38EFAC">
      <w:numFmt w:val="bullet"/>
      <w:lvlText w:val="•"/>
      <w:lvlJc w:val="left"/>
      <w:pPr>
        <w:ind w:left="4567" w:hanging="361"/>
      </w:pPr>
      <w:rPr>
        <w:rFonts w:hint="default"/>
        <w:lang w:val="en-AU" w:eastAsia="en-US" w:bidi="ar-SA"/>
      </w:rPr>
    </w:lvl>
    <w:lvl w:ilvl="6" w:tplc="4D38CC7C">
      <w:numFmt w:val="bullet"/>
      <w:lvlText w:val="•"/>
      <w:lvlJc w:val="left"/>
      <w:pPr>
        <w:ind w:left="5570" w:hanging="361"/>
      </w:pPr>
      <w:rPr>
        <w:rFonts w:hint="default"/>
        <w:lang w:val="en-AU" w:eastAsia="en-US" w:bidi="ar-SA"/>
      </w:rPr>
    </w:lvl>
    <w:lvl w:ilvl="7" w:tplc="61D6C6E6">
      <w:numFmt w:val="bullet"/>
      <w:lvlText w:val="•"/>
      <w:lvlJc w:val="left"/>
      <w:pPr>
        <w:ind w:left="6572" w:hanging="361"/>
      </w:pPr>
      <w:rPr>
        <w:rFonts w:hint="default"/>
        <w:lang w:val="en-AU" w:eastAsia="en-US" w:bidi="ar-SA"/>
      </w:rPr>
    </w:lvl>
    <w:lvl w:ilvl="8" w:tplc="F95A9828">
      <w:numFmt w:val="bullet"/>
      <w:lvlText w:val="•"/>
      <w:lvlJc w:val="left"/>
      <w:pPr>
        <w:ind w:left="7575" w:hanging="361"/>
      </w:pPr>
      <w:rPr>
        <w:rFonts w:hint="default"/>
        <w:lang w:val="en-AU" w:eastAsia="en-US" w:bidi="ar-SA"/>
      </w:rPr>
    </w:lvl>
  </w:abstractNum>
  <w:abstractNum w:abstractNumId="25" w15:restartNumberingAfterBreak="0">
    <w:nsid w:val="582843F1"/>
    <w:multiLevelType w:val="hybridMultilevel"/>
    <w:tmpl w:val="87F6532E"/>
    <w:lvl w:ilvl="0" w:tplc="700AD0FA">
      <w:start w:val="1"/>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6" w15:restartNumberingAfterBreak="0">
    <w:nsid w:val="60EF0561"/>
    <w:multiLevelType w:val="hybridMultilevel"/>
    <w:tmpl w:val="F4CE360A"/>
    <w:lvl w:ilvl="0" w:tplc="64AA634A">
      <w:numFmt w:val="bullet"/>
      <w:lvlText w:val="•"/>
      <w:lvlJc w:val="left"/>
      <w:pPr>
        <w:ind w:left="495" w:hanging="213"/>
      </w:pPr>
      <w:rPr>
        <w:rFonts w:ascii="Arial" w:eastAsia="Arial" w:hAnsi="Arial" w:cs="Arial" w:hint="default"/>
        <w:w w:val="101"/>
        <w:sz w:val="12"/>
        <w:szCs w:val="12"/>
        <w:lang w:val="en-AU" w:eastAsia="en-US" w:bidi="ar-SA"/>
      </w:rPr>
    </w:lvl>
    <w:lvl w:ilvl="1" w:tplc="7C4E60C2">
      <w:numFmt w:val="bullet"/>
      <w:lvlText w:val="•"/>
      <w:lvlJc w:val="left"/>
      <w:pPr>
        <w:ind w:left="1408" w:hanging="213"/>
      </w:pPr>
      <w:rPr>
        <w:rFonts w:hint="default"/>
        <w:lang w:val="en-AU" w:eastAsia="en-US" w:bidi="ar-SA"/>
      </w:rPr>
    </w:lvl>
    <w:lvl w:ilvl="2" w:tplc="5CD0F68A">
      <w:numFmt w:val="bullet"/>
      <w:lvlText w:val="•"/>
      <w:lvlJc w:val="left"/>
      <w:pPr>
        <w:ind w:left="2316" w:hanging="213"/>
      </w:pPr>
      <w:rPr>
        <w:rFonts w:hint="default"/>
        <w:lang w:val="en-AU" w:eastAsia="en-US" w:bidi="ar-SA"/>
      </w:rPr>
    </w:lvl>
    <w:lvl w:ilvl="3" w:tplc="C3C6FF52">
      <w:numFmt w:val="bullet"/>
      <w:lvlText w:val="•"/>
      <w:lvlJc w:val="left"/>
      <w:pPr>
        <w:ind w:left="3224" w:hanging="213"/>
      </w:pPr>
      <w:rPr>
        <w:rFonts w:hint="default"/>
        <w:lang w:val="en-AU" w:eastAsia="en-US" w:bidi="ar-SA"/>
      </w:rPr>
    </w:lvl>
    <w:lvl w:ilvl="4" w:tplc="73B6A440">
      <w:numFmt w:val="bullet"/>
      <w:lvlText w:val="•"/>
      <w:lvlJc w:val="left"/>
      <w:pPr>
        <w:ind w:left="4132" w:hanging="213"/>
      </w:pPr>
      <w:rPr>
        <w:rFonts w:hint="default"/>
        <w:lang w:val="en-AU" w:eastAsia="en-US" w:bidi="ar-SA"/>
      </w:rPr>
    </w:lvl>
    <w:lvl w:ilvl="5" w:tplc="A52050CE">
      <w:numFmt w:val="bullet"/>
      <w:lvlText w:val="•"/>
      <w:lvlJc w:val="left"/>
      <w:pPr>
        <w:ind w:left="5040" w:hanging="213"/>
      </w:pPr>
      <w:rPr>
        <w:rFonts w:hint="default"/>
        <w:lang w:val="en-AU" w:eastAsia="en-US" w:bidi="ar-SA"/>
      </w:rPr>
    </w:lvl>
    <w:lvl w:ilvl="6" w:tplc="7A406CAE">
      <w:numFmt w:val="bullet"/>
      <w:lvlText w:val="•"/>
      <w:lvlJc w:val="left"/>
      <w:pPr>
        <w:ind w:left="5948" w:hanging="213"/>
      </w:pPr>
      <w:rPr>
        <w:rFonts w:hint="default"/>
        <w:lang w:val="en-AU" w:eastAsia="en-US" w:bidi="ar-SA"/>
      </w:rPr>
    </w:lvl>
    <w:lvl w:ilvl="7" w:tplc="EF20612E">
      <w:numFmt w:val="bullet"/>
      <w:lvlText w:val="•"/>
      <w:lvlJc w:val="left"/>
      <w:pPr>
        <w:ind w:left="6856" w:hanging="213"/>
      </w:pPr>
      <w:rPr>
        <w:rFonts w:hint="default"/>
        <w:lang w:val="en-AU" w:eastAsia="en-US" w:bidi="ar-SA"/>
      </w:rPr>
    </w:lvl>
    <w:lvl w:ilvl="8" w:tplc="8D568936">
      <w:numFmt w:val="bullet"/>
      <w:lvlText w:val="•"/>
      <w:lvlJc w:val="left"/>
      <w:pPr>
        <w:ind w:left="7764" w:hanging="213"/>
      </w:pPr>
      <w:rPr>
        <w:rFonts w:hint="default"/>
        <w:lang w:val="en-AU" w:eastAsia="en-US" w:bidi="ar-SA"/>
      </w:rPr>
    </w:lvl>
  </w:abstractNum>
  <w:abstractNum w:abstractNumId="27" w15:restartNumberingAfterBreak="0">
    <w:nsid w:val="65081EC5"/>
    <w:multiLevelType w:val="hybridMultilevel"/>
    <w:tmpl w:val="140A4ACE"/>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6A6A38C9"/>
    <w:multiLevelType w:val="hybridMultilevel"/>
    <w:tmpl w:val="1534CFDE"/>
    <w:lvl w:ilvl="0" w:tplc="E1A660CE">
      <w:start w:val="4"/>
      <w:numFmt w:val="bullet"/>
      <w:lvlText w:val=""/>
      <w:lvlJc w:val="left"/>
      <w:pPr>
        <w:ind w:left="480" w:hanging="360"/>
      </w:pPr>
      <w:rPr>
        <w:rFonts w:ascii="Symbol" w:eastAsia="Verdana" w:hAnsi="Symbol" w:cs="Verdana" w:hint="default"/>
      </w:rPr>
    </w:lvl>
    <w:lvl w:ilvl="1" w:tplc="0C090003">
      <w:start w:val="1"/>
      <w:numFmt w:val="bullet"/>
      <w:lvlText w:val="o"/>
      <w:lvlJc w:val="left"/>
      <w:pPr>
        <w:ind w:left="1200" w:hanging="360"/>
      </w:pPr>
      <w:rPr>
        <w:rFonts w:ascii="Courier New" w:hAnsi="Courier New" w:cs="Courier New" w:hint="default"/>
      </w:rPr>
    </w:lvl>
    <w:lvl w:ilvl="2" w:tplc="0C090005" w:tentative="1">
      <w:start w:val="1"/>
      <w:numFmt w:val="bullet"/>
      <w:lvlText w:val=""/>
      <w:lvlJc w:val="left"/>
      <w:pPr>
        <w:ind w:left="1920" w:hanging="360"/>
      </w:pPr>
      <w:rPr>
        <w:rFonts w:ascii="Wingdings" w:hAnsi="Wingdings" w:hint="default"/>
      </w:rPr>
    </w:lvl>
    <w:lvl w:ilvl="3" w:tplc="0C090001" w:tentative="1">
      <w:start w:val="1"/>
      <w:numFmt w:val="bullet"/>
      <w:lvlText w:val=""/>
      <w:lvlJc w:val="left"/>
      <w:pPr>
        <w:ind w:left="2640" w:hanging="360"/>
      </w:pPr>
      <w:rPr>
        <w:rFonts w:ascii="Symbol" w:hAnsi="Symbol" w:hint="default"/>
      </w:rPr>
    </w:lvl>
    <w:lvl w:ilvl="4" w:tplc="0C090003" w:tentative="1">
      <w:start w:val="1"/>
      <w:numFmt w:val="bullet"/>
      <w:lvlText w:val="o"/>
      <w:lvlJc w:val="left"/>
      <w:pPr>
        <w:ind w:left="3360" w:hanging="360"/>
      </w:pPr>
      <w:rPr>
        <w:rFonts w:ascii="Courier New" w:hAnsi="Courier New" w:cs="Courier New" w:hint="default"/>
      </w:rPr>
    </w:lvl>
    <w:lvl w:ilvl="5" w:tplc="0C090005" w:tentative="1">
      <w:start w:val="1"/>
      <w:numFmt w:val="bullet"/>
      <w:lvlText w:val=""/>
      <w:lvlJc w:val="left"/>
      <w:pPr>
        <w:ind w:left="4080" w:hanging="360"/>
      </w:pPr>
      <w:rPr>
        <w:rFonts w:ascii="Wingdings" w:hAnsi="Wingdings" w:hint="default"/>
      </w:rPr>
    </w:lvl>
    <w:lvl w:ilvl="6" w:tplc="0C090001" w:tentative="1">
      <w:start w:val="1"/>
      <w:numFmt w:val="bullet"/>
      <w:lvlText w:val=""/>
      <w:lvlJc w:val="left"/>
      <w:pPr>
        <w:ind w:left="4800" w:hanging="360"/>
      </w:pPr>
      <w:rPr>
        <w:rFonts w:ascii="Symbol" w:hAnsi="Symbol" w:hint="default"/>
      </w:rPr>
    </w:lvl>
    <w:lvl w:ilvl="7" w:tplc="0C090003" w:tentative="1">
      <w:start w:val="1"/>
      <w:numFmt w:val="bullet"/>
      <w:lvlText w:val="o"/>
      <w:lvlJc w:val="left"/>
      <w:pPr>
        <w:ind w:left="5520" w:hanging="360"/>
      </w:pPr>
      <w:rPr>
        <w:rFonts w:ascii="Courier New" w:hAnsi="Courier New" w:cs="Courier New" w:hint="default"/>
      </w:rPr>
    </w:lvl>
    <w:lvl w:ilvl="8" w:tplc="0C090005" w:tentative="1">
      <w:start w:val="1"/>
      <w:numFmt w:val="bullet"/>
      <w:lvlText w:val=""/>
      <w:lvlJc w:val="left"/>
      <w:pPr>
        <w:ind w:left="6240" w:hanging="360"/>
      </w:pPr>
      <w:rPr>
        <w:rFonts w:ascii="Wingdings" w:hAnsi="Wingdings" w:hint="default"/>
      </w:rPr>
    </w:lvl>
  </w:abstractNum>
  <w:abstractNum w:abstractNumId="29" w15:restartNumberingAfterBreak="0">
    <w:nsid w:val="6AFC0C62"/>
    <w:multiLevelType w:val="hybridMultilevel"/>
    <w:tmpl w:val="5F5CDACC"/>
    <w:lvl w:ilvl="0" w:tplc="0AD4A5AC">
      <w:numFmt w:val="bullet"/>
      <w:lvlText w:val=""/>
      <w:lvlJc w:val="left"/>
      <w:pPr>
        <w:ind w:left="720" w:hanging="360"/>
      </w:pPr>
      <w:rPr>
        <w:rFonts w:ascii="Symbol" w:eastAsia="Verdana" w:hAnsi="Symbol" w:cs="Verdana"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15:restartNumberingAfterBreak="0">
    <w:nsid w:val="7052391E"/>
    <w:multiLevelType w:val="hybridMultilevel"/>
    <w:tmpl w:val="B8E0E7BE"/>
    <w:lvl w:ilvl="0" w:tplc="0C09000F">
      <w:start w:val="1"/>
      <w:numFmt w:val="decimal"/>
      <w:lvlText w:val="%1."/>
      <w:lvlJc w:val="left"/>
      <w:pPr>
        <w:tabs>
          <w:tab w:val="num" w:pos="1080"/>
        </w:tabs>
        <w:ind w:left="1080" w:hanging="360"/>
      </w:pPr>
      <w:rPr>
        <w:rFonts w:hint="default"/>
        <w:color w:val="000000" w:themeColor="text1"/>
      </w:rPr>
    </w:lvl>
    <w:lvl w:ilvl="1" w:tplc="0C090019">
      <w:start w:val="1"/>
      <w:numFmt w:val="lowerLetter"/>
      <w:lvlText w:val="%2."/>
      <w:lvlJc w:val="left"/>
      <w:pPr>
        <w:tabs>
          <w:tab w:val="num" w:pos="1800"/>
        </w:tabs>
        <w:ind w:left="1800" w:hanging="360"/>
      </w:pPr>
    </w:lvl>
    <w:lvl w:ilvl="2" w:tplc="0C09001B" w:tentative="1">
      <w:start w:val="1"/>
      <w:numFmt w:val="lowerRoman"/>
      <w:lvlText w:val="%3."/>
      <w:lvlJc w:val="right"/>
      <w:pPr>
        <w:tabs>
          <w:tab w:val="num" w:pos="2520"/>
        </w:tabs>
        <w:ind w:left="2520" w:hanging="180"/>
      </w:pPr>
    </w:lvl>
    <w:lvl w:ilvl="3" w:tplc="0C09000F" w:tentative="1">
      <w:start w:val="1"/>
      <w:numFmt w:val="decimal"/>
      <w:lvlText w:val="%4."/>
      <w:lvlJc w:val="left"/>
      <w:pPr>
        <w:tabs>
          <w:tab w:val="num" w:pos="3240"/>
        </w:tabs>
        <w:ind w:left="3240" w:hanging="360"/>
      </w:pPr>
    </w:lvl>
    <w:lvl w:ilvl="4" w:tplc="0C090019" w:tentative="1">
      <w:start w:val="1"/>
      <w:numFmt w:val="lowerLetter"/>
      <w:lvlText w:val="%5."/>
      <w:lvlJc w:val="left"/>
      <w:pPr>
        <w:tabs>
          <w:tab w:val="num" w:pos="3960"/>
        </w:tabs>
        <w:ind w:left="3960" w:hanging="360"/>
      </w:pPr>
    </w:lvl>
    <w:lvl w:ilvl="5" w:tplc="0C09001B" w:tentative="1">
      <w:start w:val="1"/>
      <w:numFmt w:val="lowerRoman"/>
      <w:lvlText w:val="%6."/>
      <w:lvlJc w:val="right"/>
      <w:pPr>
        <w:tabs>
          <w:tab w:val="num" w:pos="4680"/>
        </w:tabs>
        <w:ind w:left="4680" w:hanging="180"/>
      </w:pPr>
    </w:lvl>
    <w:lvl w:ilvl="6" w:tplc="0C09000F" w:tentative="1">
      <w:start w:val="1"/>
      <w:numFmt w:val="decimal"/>
      <w:lvlText w:val="%7."/>
      <w:lvlJc w:val="left"/>
      <w:pPr>
        <w:tabs>
          <w:tab w:val="num" w:pos="5400"/>
        </w:tabs>
        <w:ind w:left="5400" w:hanging="360"/>
      </w:pPr>
    </w:lvl>
    <w:lvl w:ilvl="7" w:tplc="0C090019" w:tentative="1">
      <w:start w:val="1"/>
      <w:numFmt w:val="lowerLetter"/>
      <w:lvlText w:val="%8."/>
      <w:lvlJc w:val="left"/>
      <w:pPr>
        <w:tabs>
          <w:tab w:val="num" w:pos="6120"/>
        </w:tabs>
        <w:ind w:left="6120" w:hanging="360"/>
      </w:pPr>
    </w:lvl>
    <w:lvl w:ilvl="8" w:tplc="0C09001B" w:tentative="1">
      <w:start w:val="1"/>
      <w:numFmt w:val="lowerRoman"/>
      <w:lvlText w:val="%9."/>
      <w:lvlJc w:val="right"/>
      <w:pPr>
        <w:tabs>
          <w:tab w:val="num" w:pos="6840"/>
        </w:tabs>
        <w:ind w:left="6840" w:hanging="180"/>
      </w:pPr>
    </w:lvl>
  </w:abstractNum>
  <w:abstractNum w:abstractNumId="31" w15:restartNumberingAfterBreak="0">
    <w:nsid w:val="758959CF"/>
    <w:multiLevelType w:val="hybridMultilevel"/>
    <w:tmpl w:val="DA6AB0E0"/>
    <w:lvl w:ilvl="0" w:tplc="FFFFFFFF">
      <w:start w:val="1"/>
      <w:numFmt w:val="decimal"/>
      <w:lvlText w:val="%1."/>
      <w:lvlJc w:val="left"/>
      <w:pPr>
        <w:ind w:left="839" w:hanging="360"/>
      </w:pPr>
    </w:lvl>
    <w:lvl w:ilvl="1" w:tplc="FFFFFFFF" w:tentative="1">
      <w:start w:val="1"/>
      <w:numFmt w:val="lowerLetter"/>
      <w:lvlText w:val="%2."/>
      <w:lvlJc w:val="left"/>
      <w:pPr>
        <w:ind w:left="1559" w:hanging="360"/>
      </w:pPr>
    </w:lvl>
    <w:lvl w:ilvl="2" w:tplc="FFFFFFFF" w:tentative="1">
      <w:start w:val="1"/>
      <w:numFmt w:val="lowerRoman"/>
      <w:lvlText w:val="%3."/>
      <w:lvlJc w:val="right"/>
      <w:pPr>
        <w:ind w:left="2279" w:hanging="180"/>
      </w:pPr>
    </w:lvl>
    <w:lvl w:ilvl="3" w:tplc="FFFFFFFF" w:tentative="1">
      <w:start w:val="1"/>
      <w:numFmt w:val="decimal"/>
      <w:lvlText w:val="%4."/>
      <w:lvlJc w:val="left"/>
      <w:pPr>
        <w:ind w:left="2999" w:hanging="360"/>
      </w:pPr>
    </w:lvl>
    <w:lvl w:ilvl="4" w:tplc="FFFFFFFF" w:tentative="1">
      <w:start w:val="1"/>
      <w:numFmt w:val="lowerLetter"/>
      <w:lvlText w:val="%5."/>
      <w:lvlJc w:val="left"/>
      <w:pPr>
        <w:ind w:left="3719" w:hanging="360"/>
      </w:pPr>
    </w:lvl>
    <w:lvl w:ilvl="5" w:tplc="FFFFFFFF" w:tentative="1">
      <w:start w:val="1"/>
      <w:numFmt w:val="lowerRoman"/>
      <w:lvlText w:val="%6."/>
      <w:lvlJc w:val="right"/>
      <w:pPr>
        <w:ind w:left="4439" w:hanging="180"/>
      </w:pPr>
    </w:lvl>
    <w:lvl w:ilvl="6" w:tplc="FFFFFFFF" w:tentative="1">
      <w:start w:val="1"/>
      <w:numFmt w:val="decimal"/>
      <w:lvlText w:val="%7."/>
      <w:lvlJc w:val="left"/>
      <w:pPr>
        <w:ind w:left="5159" w:hanging="360"/>
      </w:pPr>
    </w:lvl>
    <w:lvl w:ilvl="7" w:tplc="FFFFFFFF" w:tentative="1">
      <w:start w:val="1"/>
      <w:numFmt w:val="lowerLetter"/>
      <w:lvlText w:val="%8."/>
      <w:lvlJc w:val="left"/>
      <w:pPr>
        <w:ind w:left="5879" w:hanging="360"/>
      </w:pPr>
    </w:lvl>
    <w:lvl w:ilvl="8" w:tplc="FFFFFFFF" w:tentative="1">
      <w:start w:val="1"/>
      <w:numFmt w:val="lowerRoman"/>
      <w:lvlText w:val="%9."/>
      <w:lvlJc w:val="right"/>
      <w:pPr>
        <w:ind w:left="6599" w:hanging="180"/>
      </w:pPr>
    </w:lvl>
  </w:abstractNum>
  <w:abstractNum w:abstractNumId="32" w15:restartNumberingAfterBreak="0">
    <w:nsid w:val="78884424"/>
    <w:multiLevelType w:val="hybridMultilevel"/>
    <w:tmpl w:val="53C87E54"/>
    <w:lvl w:ilvl="0" w:tplc="0C090017">
      <w:start w:val="1"/>
      <w:numFmt w:val="lowerLetter"/>
      <w:lvlText w:val="%1)"/>
      <w:lvlJc w:val="left"/>
      <w:pPr>
        <w:ind w:left="644"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3" w15:restartNumberingAfterBreak="0">
    <w:nsid w:val="78A768DF"/>
    <w:multiLevelType w:val="hybridMultilevel"/>
    <w:tmpl w:val="F4CCB934"/>
    <w:lvl w:ilvl="0" w:tplc="26D2BED2">
      <w:start w:val="2"/>
      <w:numFmt w:val="lowerLetter"/>
      <w:lvlText w:val="%1)"/>
      <w:lvlJc w:val="left"/>
      <w:pPr>
        <w:ind w:left="786" w:hanging="360"/>
      </w:pPr>
      <w:rPr>
        <w:rFonts w:hint="default"/>
      </w:rPr>
    </w:lvl>
    <w:lvl w:ilvl="1" w:tplc="0C090019" w:tentative="1">
      <w:start w:val="1"/>
      <w:numFmt w:val="lowerLetter"/>
      <w:lvlText w:val="%2."/>
      <w:lvlJc w:val="left"/>
      <w:pPr>
        <w:ind w:left="1582" w:hanging="360"/>
      </w:pPr>
    </w:lvl>
    <w:lvl w:ilvl="2" w:tplc="0C09001B" w:tentative="1">
      <w:start w:val="1"/>
      <w:numFmt w:val="lowerRoman"/>
      <w:lvlText w:val="%3."/>
      <w:lvlJc w:val="right"/>
      <w:pPr>
        <w:ind w:left="2302" w:hanging="180"/>
      </w:pPr>
    </w:lvl>
    <w:lvl w:ilvl="3" w:tplc="0C09000F" w:tentative="1">
      <w:start w:val="1"/>
      <w:numFmt w:val="decimal"/>
      <w:lvlText w:val="%4."/>
      <w:lvlJc w:val="left"/>
      <w:pPr>
        <w:ind w:left="3022" w:hanging="360"/>
      </w:pPr>
    </w:lvl>
    <w:lvl w:ilvl="4" w:tplc="0C090019" w:tentative="1">
      <w:start w:val="1"/>
      <w:numFmt w:val="lowerLetter"/>
      <w:lvlText w:val="%5."/>
      <w:lvlJc w:val="left"/>
      <w:pPr>
        <w:ind w:left="3742" w:hanging="360"/>
      </w:pPr>
    </w:lvl>
    <w:lvl w:ilvl="5" w:tplc="0C09001B" w:tentative="1">
      <w:start w:val="1"/>
      <w:numFmt w:val="lowerRoman"/>
      <w:lvlText w:val="%6."/>
      <w:lvlJc w:val="right"/>
      <w:pPr>
        <w:ind w:left="4462" w:hanging="180"/>
      </w:pPr>
    </w:lvl>
    <w:lvl w:ilvl="6" w:tplc="0C09000F" w:tentative="1">
      <w:start w:val="1"/>
      <w:numFmt w:val="decimal"/>
      <w:lvlText w:val="%7."/>
      <w:lvlJc w:val="left"/>
      <w:pPr>
        <w:ind w:left="5182" w:hanging="360"/>
      </w:pPr>
    </w:lvl>
    <w:lvl w:ilvl="7" w:tplc="0C090019" w:tentative="1">
      <w:start w:val="1"/>
      <w:numFmt w:val="lowerLetter"/>
      <w:lvlText w:val="%8."/>
      <w:lvlJc w:val="left"/>
      <w:pPr>
        <w:ind w:left="5902" w:hanging="360"/>
      </w:pPr>
    </w:lvl>
    <w:lvl w:ilvl="8" w:tplc="0C09001B" w:tentative="1">
      <w:start w:val="1"/>
      <w:numFmt w:val="lowerRoman"/>
      <w:lvlText w:val="%9."/>
      <w:lvlJc w:val="right"/>
      <w:pPr>
        <w:ind w:left="6622" w:hanging="180"/>
      </w:pPr>
    </w:lvl>
  </w:abstractNum>
  <w:abstractNum w:abstractNumId="34" w15:restartNumberingAfterBreak="0">
    <w:nsid w:val="7AC34FA9"/>
    <w:multiLevelType w:val="hybridMultilevel"/>
    <w:tmpl w:val="9D460ABC"/>
    <w:lvl w:ilvl="0" w:tplc="DE04F974">
      <w:numFmt w:val="bullet"/>
      <w:lvlText w:val=""/>
      <w:lvlJc w:val="left"/>
      <w:pPr>
        <w:ind w:left="479" w:hanging="360"/>
      </w:pPr>
      <w:rPr>
        <w:rFonts w:ascii="Symbol" w:eastAsia="Verdana" w:hAnsi="Symbol" w:cs="Verdana" w:hint="default"/>
      </w:rPr>
    </w:lvl>
    <w:lvl w:ilvl="1" w:tplc="0C090003" w:tentative="1">
      <w:start w:val="1"/>
      <w:numFmt w:val="bullet"/>
      <w:lvlText w:val="o"/>
      <w:lvlJc w:val="left"/>
      <w:pPr>
        <w:ind w:left="1199" w:hanging="360"/>
      </w:pPr>
      <w:rPr>
        <w:rFonts w:ascii="Courier New" w:hAnsi="Courier New" w:cs="Courier New" w:hint="default"/>
      </w:rPr>
    </w:lvl>
    <w:lvl w:ilvl="2" w:tplc="0C090005" w:tentative="1">
      <w:start w:val="1"/>
      <w:numFmt w:val="bullet"/>
      <w:lvlText w:val=""/>
      <w:lvlJc w:val="left"/>
      <w:pPr>
        <w:ind w:left="1919" w:hanging="360"/>
      </w:pPr>
      <w:rPr>
        <w:rFonts w:ascii="Wingdings" w:hAnsi="Wingdings" w:hint="default"/>
      </w:rPr>
    </w:lvl>
    <w:lvl w:ilvl="3" w:tplc="0C090001" w:tentative="1">
      <w:start w:val="1"/>
      <w:numFmt w:val="bullet"/>
      <w:lvlText w:val=""/>
      <w:lvlJc w:val="left"/>
      <w:pPr>
        <w:ind w:left="2639" w:hanging="360"/>
      </w:pPr>
      <w:rPr>
        <w:rFonts w:ascii="Symbol" w:hAnsi="Symbol" w:hint="default"/>
      </w:rPr>
    </w:lvl>
    <w:lvl w:ilvl="4" w:tplc="0C090003" w:tentative="1">
      <w:start w:val="1"/>
      <w:numFmt w:val="bullet"/>
      <w:lvlText w:val="o"/>
      <w:lvlJc w:val="left"/>
      <w:pPr>
        <w:ind w:left="3359" w:hanging="360"/>
      </w:pPr>
      <w:rPr>
        <w:rFonts w:ascii="Courier New" w:hAnsi="Courier New" w:cs="Courier New" w:hint="default"/>
      </w:rPr>
    </w:lvl>
    <w:lvl w:ilvl="5" w:tplc="0C090005" w:tentative="1">
      <w:start w:val="1"/>
      <w:numFmt w:val="bullet"/>
      <w:lvlText w:val=""/>
      <w:lvlJc w:val="left"/>
      <w:pPr>
        <w:ind w:left="4079" w:hanging="360"/>
      </w:pPr>
      <w:rPr>
        <w:rFonts w:ascii="Wingdings" w:hAnsi="Wingdings" w:hint="default"/>
      </w:rPr>
    </w:lvl>
    <w:lvl w:ilvl="6" w:tplc="0C090001" w:tentative="1">
      <w:start w:val="1"/>
      <w:numFmt w:val="bullet"/>
      <w:lvlText w:val=""/>
      <w:lvlJc w:val="left"/>
      <w:pPr>
        <w:ind w:left="4799" w:hanging="360"/>
      </w:pPr>
      <w:rPr>
        <w:rFonts w:ascii="Symbol" w:hAnsi="Symbol" w:hint="default"/>
      </w:rPr>
    </w:lvl>
    <w:lvl w:ilvl="7" w:tplc="0C090003" w:tentative="1">
      <w:start w:val="1"/>
      <w:numFmt w:val="bullet"/>
      <w:lvlText w:val="o"/>
      <w:lvlJc w:val="left"/>
      <w:pPr>
        <w:ind w:left="5519" w:hanging="360"/>
      </w:pPr>
      <w:rPr>
        <w:rFonts w:ascii="Courier New" w:hAnsi="Courier New" w:cs="Courier New" w:hint="default"/>
      </w:rPr>
    </w:lvl>
    <w:lvl w:ilvl="8" w:tplc="0C090005" w:tentative="1">
      <w:start w:val="1"/>
      <w:numFmt w:val="bullet"/>
      <w:lvlText w:val=""/>
      <w:lvlJc w:val="left"/>
      <w:pPr>
        <w:ind w:left="6239" w:hanging="360"/>
      </w:pPr>
      <w:rPr>
        <w:rFonts w:ascii="Wingdings" w:hAnsi="Wingdings" w:hint="default"/>
      </w:rPr>
    </w:lvl>
  </w:abstractNum>
  <w:abstractNum w:abstractNumId="35" w15:restartNumberingAfterBreak="0">
    <w:nsid w:val="7B8F7B3E"/>
    <w:multiLevelType w:val="hybridMultilevel"/>
    <w:tmpl w:val="1D62821E"/>
    <w:lvl w:ilvl="0" w:tplc="AA96B8CC">
      <w:start w:val="2"/>
      <w:numFmt w:val="lowerLetter"/>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6" w15:restartNumberingAfterBreak="0">
    <w:nsid w:val="7BE00659"/>
    <w:multiLevelType w:val="multilevel"/>
    <w:tmpl w:val="5E101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E196065"/>
    <w:multiLevelType w:val="multilevel"/>
    <w:tmpl w:val="F4DAFA8C"/>
    <w:lvl w:ilvl="0">
      <w:start w:val="1"/>
      <w:numFmt w:val="decimal"/>
      <w:lvlText w:val="%1."/>
      <w:lvlJc w:val="left"/>
      <w:pPr>
        <w:ind w:left="360" w:hanging="360"/>
      </w:pPr>
      <w:rPr>
        <w:rFonts w:hint="default"/>
        <w:b w:val="0"/>
        <w:bCs w:val="0"/>
        <w:color w:val="4F81BD" w:themeColor="accent1"/>
      </w:rPr>
    </w:lvl>
    <w:lvl w:ilvl="1">
      <w:start w:val="1"/>
      <w:numFmt w:val="lowerLetter"/>
      <w:lvlText w:val="%2."/>
      <w:lvlJc w:val="left"/>
      <w:pPr>
        <w:ind w:left="1789" w:hanging="360"/>
      </w:pPr>
      <w:rPr>
        <w:rFonts w:hint="default"/>
      </w:rPr>
    </w:lvl>
    <w:lvl w:ilvl="2">
      <w:start w:val="1"/>
      <w:numFmt w:val="lowerRoman"/>
      <w:lvlText w:val="%3."/>
      <w:lvlJc w:val="right"/>
      <w:pPr>
        <w:ind w:left="2509" w:hanging="180"/>
      </w:pPr>
      <w:rPr>
        <w:rFonts w:hint="default"/>
      </w:rPr>
    </w:lvl>
    <w:lvl w:ilvl="3">
      <w:start w:val="1"/>
      <w:numFmt w:val="decimal"/>
      <w:lvlText w:val="%4."/>
      <w:lvlJc w:val="left"/>
      <w:pPr>
        <w:ind w:left="3229" w:hanging="360"/>
      </w:pPr>
      <w:rPr>
        <w:rFonts w:hint="default"/>
      </w:rPr>
    </w:lvl>
    <w:lvl w:ilvl="4">
      <w:start w:val="1"/>
      <w:numFmt w:val="lowerLetter"/>
      <w:lvlText w:val="%5."/>
      <w:lvlJc w:val="left"/>
      <w:pPr>
        <w:ind w:left="3949" w:hanging="360"/>
      </w:pPr>
      <w:rPr>
        <w:rFonts w:hint="default"/>
      </w:rPr>
    </w:lvl>
    <w:lvl w:ilvl="5">
      <w:start w:val="1"/>
      <w:numFmt w:val="lowerRoman"/>
      <w:lvlText w:val="%6."/>
      <w:lvlJc w:val="right"/>
      <w:pPr>
        <w:ind w:left="4669" w:hanging="180"/>
      </w:pPr>
      <w:rPr>
        <w:rFonts w:hint="default"/>
      </w:rPr>
    </w:lvl>
    <w:lvl w:ilvl="6">
      <w:start w:val="1"/>
      <w:numFmt w:val="decimal"/>
      <w:lvlText w:val="%7."/>
      <w:lvlJc w:val="left"/>
      <w:pPr>
        <w:ind w:left="5389" w:hanging="360"/>
      </w:pPr>
      <w:rPr>
        <w:rFonts w:hint="default"/>
      </w:rPr>
    </w:lvl>
    <w:lvl w:ilvl="7">
      <w:start w:val="1"/>
      <w:numFmt w:val="lowerLetter"/>
      <w:lvlText w:val="%8."/>
      <w:lvlJc w:val="left"/>
      <w:pPr>
        <w:ind w:left="6109" w:hanging="360"/>
      </w:pPr>
      <w:rPr>
        <w:rFonts w:hint="default"/>
      </w:rPr>
    </w:lvl>
    <w:lvl w:ilvl="8">
      <w:start w:val="1"/>
      <w:numFmt w:val="lowerRoman"/>
      <w:lvlText w:val="%9."/>
      <w:lvlJc w:val="right"/>
      <w:pPr>
        <w:ind w:left="6829" w:hanging="180"/>
      </w:pPr>
      <w:rPr>
        <w:rFonts w:hint="default"/>
      </w:rPr>
    </w:lvl>
  </w:abstractNum>
  <w:num w:numId="1" w16cid:durableId="1100682608">
    <w:abstractNumId w:val="9"/>
  </w:num>
  <w:num w:numId="2" w16cid:durableId="506136334">
    <w:abstractNumId w:val="26"/>
  </w:num>
  <w:num w:numId="3" w16cid:durableId="538474024">
    <w:abstractNumId w:val="18"/>
  </w:num>
  <w:num w:numId="4" w16cid:durableId="1466462225">
    <w:abstractNumId w:val="16"/>
  </w:num>
  <w:num w:numId="5" w16cid:durableId="36592773">
    <w:abstractNumId w:val="24"/>
  </w:num>
  <w:num w:numId="6" w16cid:durableId="1783839740">
    <w:abstractNumId w:val="28"/>
  </w:num>
  <w:num w:numId="7" w16cid:durableId="1533688163">
    <w:abstractNumId w:val="37"/>
  </w:num>
  <w:num w:numId="8" w16cid:durableId="567618285">
    <w:abstractNumId w:val="6"/>
  </w:num>
  <w:num w:numId="9" w16cid:durableId="38170575">
    <w:abstractNumId w:val="31"/>
  </w:num>
  <w:num w:numId="10" w16cid:durableId="1663898254">
    <w:abstractNumId w:val="12"/>
  </w:num>
  <w:num w:numId="11" w16cid:durableId="1374427934">
    <w:abstractNumId w:val="15"/>
  </w:num>
  <w:num w:numId="12" w16cid:durableId="1471938793">
    <w:abstractNumId w:val="11"/>
  </w:num>
  <w:num w:numId="13" w16cid:durableId="479998661">
    <w:abstractNumId w:val="5"/>
  </w:num>
  <w:num w:numId="14" w16cid:durableId="349338198">
    <w:abstractNumId w:val="34"/>
  </w:num>
  <w:num w:numId="15" w16cid:durableId="1621186012">
    <w:abstractNumId w:val="27"/>
  </w:num>
  <w:num w:numId="16" w16cid:durableId="1631325482">
    <w:abstractNumId w:val="29"/>
  </w:num>
  <w:num w:numId="17" w16cid:durableId="936790397">
    <w:abstractNumId w:val="2"/>
  </w:num>
  <w:num w:numId="18" w16cid:durableId="319191548">
    <w:abstractNumId w:val="3"/>
  </w:num>
  <w:num w:numId="19" w16cid:durableId="2047947478">
    <w:abstractNumId w:val="13"/>
  </w:num>
  <w:num w:numId="20" w16cid:durableId="811214436">
    <w:abstractNumId w:val="20"/>
  </w:num>
  <w:num w:numId="21" w16cid:durableId="748307242">
    <w:abstractNumId w:val="30"/>
  </w:num>
  <w:num w:numId="22" w16cid:durableId="1191802455">
    <w:abstractNumId w:val="8"/>
  </w:num>
  <w:num w:numId="23" w16cid:durableId="438334308">
    <w:abstractNumId w:val="36"/>
  </w:num>
  <w:num w:numId="24" w16cid:durableId="283198154">
    <w:abstractNumId w:val="0"/>
  </w:num>
  <w:num w:numId="25" w16cid:durableId="420832396">
    <w:abstractNumId w:val="7"/>
  </w:num>
  <w:num w:numId="26" w16cid:durableId="12535739">
    <w:abstractNumId w:val="25"/>
  </w:num>
  <w:num w:numId="27" w16cid:durableId="507448688">
    <w:abstractNumId w:val="21"/>
  </w:num>
  <w:num w:numId="28" w16cid:durableId="1365521348">
    <w:abstractNumId w:val="17"/>
  </w:num>
  <w:num w:numId="29" w16cid:durableId="1069962661">
    <w:abstractNumId w:val="1"/>
  </w:num>
  <w:num w:numId="30" w16cid:durableId="790898446">
    <w:abstractNumId w:val="22"/>
  </w:num>
  <w:num w:numId="31" w16cid:durableId="1600410995">
    <w:abstractNumId w:val="4"/>
  </w:num>
  <w:num w:numId="32" w16cid:durableId="320742236">
    <w:abstractNumId w:val="10"/>
  </w:num>
  <w:num w:numId="33" w16cid:durableId="1459491979">
    <w:abstractNumId w:val="14"/>
  </w:num>
  <w:num w:numId="34" w16cid:durableId="330177579">
    <w:abstractNumId w:val="19"/>
  </w:num>
  <w:num w:numId="35" w16cid:durableId="1993411839">
    <w:abstractNumId w:val="35"/>
  </w:num>
  <w:num w:numId="36" w16cid:durableId="401873367">
    <w:abstractNumId w:val="23"/>
  </w:num>
  <w:num w:numId="37" w16cid:durableId="1355299973">
    <w:abstractNumId w:val="32"/>
  </w:num>
  <w:num w:numId="38" w16cid:durableId="2136362697">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Turabian 9th Footnote&lt;/Style&gt;&lt;LeftDelim&gt;{&lt;/LeftDelim&gt;&lt;RightDelim&gt;}&lt;/RightDelim&gt;&lt;FontName&gt;Verdana&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 w:name="EN.UseJSCitationFormat" w:val="False"/>
  </w:docVars>
  <w:rsids>
    <w:rsidRoot w:val="00724833"/>
    <w:rsid w:val="00000722"/>
    <w:rsid w:val="000011AE"/>
    <w:rsid w:val="00002211"/>
    <w:rsid w:val="00003098"/>
    <w:rsid w:val="00003ECC"/>
    <w:rsid w:val="00005C40"/>
    <w:rsid w:val="00005FB0"/>
    <w:rsid w:val="00006B64"/>
    <w:rsid w:val="00006C79"/>
    <w:rsid w:val="00011151"/>
    <w:rsid w:val="00011D47"/>
    <w:rsid w:val="00012291"/>
    <w:rsid w:val="000131EF"/>
    <w:rsid w:val="000137AB"/>
    <w:rsid w:val="0001467E"/>
    <w:rsid w:val="00016679"/>
    <w:rsid w:val="0001733F"/>
    <w:rsid w:val="00017707"/>
    <w:rsid w:val="000215BC"/>
    <w:rsid w:val="00025723"/>
    <w:rsid w:val="00026648"/>
    <w:rsid w:val="00026916"/>
    <w:rsid w:val="00026FCD"/>
    <w:rsid w:val="00034583"/>
    <w:rsid w:val="00034FC0"/>
    <w:rsid w:val="000352B1"/>
    <w:rsid w:val="00035B6B"/>
    <w:rsid w:val="00035E30"/>
    <w:rsid w:val="00036914"/>
    <w:rsid w:val="0004084E"/>
    <w:rsid w:val="0004141D"/>
    <w:rsid w:val="000426E4"/>
    <w:rsid w:val="00042AAF"/>
    <w:rsid w:val="00043983"/>
    <w:rsid w:val="00043A5B"/>
    <w:rsid w:val="00044F0C"/>
    <w:rsid w:val="00046BCC"/>
    <w:rsid w:val="000504D1"/>
    <w:rsid w:val="00051081"/>
    <w:rsid w:val="00051D37"/>
    <w:rsid w:val="00051E8D"/>
    <w:rsid w:val="00053106"/>
    <w:rsid w:val="00053CFA"/>
    <w:rsid w:val="000557F1"/>
    <w:rsid w:val="00056B32"/>
    <w:rsid w:val="00056EAB"/>
    <w:rsid w:val="00060FAB"/>
    <w:rsid w:val="00061154"/>
    <w:rsid w:val="00061247"/>
    <w:rsid w:val="000615F8"/>
    <w:rsid w:val="000625AE"/>
    <w:rsid w:val="00062C9C"/>
    <w:rsid w:val="0006343E"/>
    <w:rsid w:val="0006416A"/>
    <w:rsid w:val="0006459E"/>
    <w:rsid w:val="00065C15"/>
    <w:rsid w:val="000669DD"/>
    <w:rsid w:val="000734A2"/>
    <w:rsid w:val="00073D23"/>
    <w:rsid w:val="00073F08"/>
    <w:rsid w:val="00074FEE"/>
    <w:rsid w:val="00075612"/>
    <w:rsid w:val="00075EC3"/>
    <w:rsid w:val="00076357"/>
    <w:rsid w:val="00076E33"/>
    <w:rsid w:val="00083905"/>
    <w:rsid w:val="00084C23"/>
    <w:rsid w:val="00085A85"/>
    <w:rsid w:val="000864B1"/>
    <w:rsid w:val="000867CD"/>
    <w:rsid w:val="00087A5C"/>
    <w:rsid w:val="00087BA4"/>
    <w:rsid w:val="000900B1"/>
    <w:rsid w:val="00090770"/>
    <w:rsid w:val="00091F0D"/>
    <w:rsid w:val="000923D5"/>
    <w:rsid w:val="00093010"/>
    <w:rsid w:val="000948F7"/>
    <w:rsid w:val="00094A58"/>
    <w:rsid w:val="000950D8"/>
    <w:rsid w:val="00095D38"/>
    <w:rsid w:val="00096032"/>
    <w:rsid w:val="00096441"/>
    <w:rsid w:val="00096FD8"/>
    <w:rsid w:val="000979C2"/>
    <w:rsid w:val="000A009F"/>
    <w:rsid w:val="000A09AA"/>
    <w:rsid w:val="000A09DC"/>
    <w:rsid w:val="000A0E8A"/>
    <w:rsid w:val="000A1996"/>
    <w:rsid w:val="000A1B8D"/>
    <w:rsid w:val="000A2EFD"/>
    <w:rsid w:val="000A31B4"/>
    <w:rsid w:val="000A3436"/>
    <w:rsid w:val="000A48E5"/>
    <w:rsid w:val="000A4950"/>
    <w:rsid w:val="000A738E"/>
    <w:rsid w:val="000A7DAE"/>
    <w:rsid w:val="000B2124"/>
    <w:rsid w:val="000B2D2C"/>
    <w:rsid w:val="000B37BC"/>
    <w:rsid w:val="000B3AB7"/>
    <w:rsid w:val="000B3E68"/>
    <w:rsid w:val="000B6ADD"/>
    <w:rsid w:val="000B78F5"/>
    <w:rsid w:val="000C1D37"/>
    <w:rsid w:val="000C28D8"/>
    <w:rsid w:val="000C2F63"/>
    <w:rsid w:val="000C33F8"/>
    <w:rsid w:val="000C4E23"/>
    <w:rsid w:val="000D0FF4"/>
    <w:rsid w:val="000D147F"/>
    <w:rsid w:val="000D206C"/>
    <w:rsid w:val="000D2519"/>
    <w:rsid w:val="000D39C8"/>
    <w:rsid w:val="000D3EC4"/>
    <w:rsid w:val="000D6031"/>
    <w:rsid w:val="000D782E"/>
    <w:rsid w:val="000E054E"/>
    <w:rsid w:val="000E084C"/>
    <w:rsid w:val="000E2B2A"/>
    <w:rsid w:val="000E32B7"/>
    <w:rsid w:val="000E503F"/>
    <w:rsid w:val="000E5271"/>
    <w:rsid w:val="000E5AFA"/>
    <w:rsid w:val="000E6CBD"/>
    <w:rsid w:val="000E792B"/>
    <w:rsid w:val="000F25D5"/>
    <w:rsid w:val="000F3706"/>
    <w:rsid w:val="000F4097"/>
    <w:rsid w:val="000F4152"/>
    <w:rsid w:val="000F41A1"/>
    <w:rsid w:val="000F5AC5"/>
    <w:rsid w:val="000F5F18"/>
    <w:rsid w:val="000F7593"/>
    <w:rsid w:val="000F75FD"/>
    <w:rsid w:val="000F78E5"/>
    <w:rsid w:val="00105C13"/>
    <w:rsid w:val="001067CD"/>
    <w:rsid w:val="00107194"/>
    <w:rsid w:val="00113B25"/>
    <w:rsid w:val="00114168"/>
    <w:rsid w:val="001141F6"/>
    <w:rsid w:val="001162A9"/>
    <w:rsid w:val="00116E90"/>
    <w:rsid w:val="00117824"/>
    <w:rsid w:val="00117DE5"/>
    <w:rsid w:val="0012059E"/>
    <w:rsid w:val="00122371"/>
    <w:rsid w:val="00122B6B"/>
    <w:rsid w:val="00123D98"/>
    <w:rsid w:val="00127853"/>
    <w:rsid w:val="001331AA"/>
    <w:rsid w:val="001331E7"/>
    <w:rsid w:val="001334A2"/>
    <w:rsid w:val="00134586"/>
    <w:rsid w:val="00134C00"/>
    <w:rsid w:val="00134D12"/>
    <w:rsid w:val="00135D8F"/>
    <w:rsid w:val="00137A35"/>
    <w:rsid w:val="00140FFD"/>
    <w:rsid w:val="001422D8"/>
    <w:rsid w:val="00142445"/>
    <w:rsid w:val="001424E0"/>
    <w:rsid w:val="00144BAC"/>
    <w:rsid w:val="00144CF7"/>
    <w:rsid w:val="001454FB"/>
    <w:rsid w:val="00146F5E"/>
    <w:rsid w:val="001504B7"/>
    <w:rsid w:val="00152CC2"/>
    <w:rsid w:val="001537AE"/>
    <w:rsid w:val="00153AC5"/>
    <w:rsid w:val="001573AD"/>
    <w:rsid w:val="001577ED"/>
    <w:rsid w:val="001617F4"/>
    <w:rsid w:val="00161D50"/>
    <w:rsid w:val="001644ED"/>
    <w:rsid w:val="00166470"/>
    <w:rsid w:val="001666BE"/>
    <w:rsid w:val="0016723A"/>
    <w:rsid w:val="00167543"/>
    <w:rsid w:val="00167AEC"/>
    <w:rsid w:val="00167CEA"/>
    <w:rsid w:val="00170102"/>
    <w:rsid w:val="00170F6F"/>
    <w:rsid w:val="00171578"/>
    <w:rsid w:val="001715E6"/>
    <w:rsid w:val="001723D7"/>
    <w:rsid w:val="00172C56"/>
    <w:rsid w:val="00172D74"/>
    <w:rsid w:val="00174C6B"/>
    <w:rsid w:val="00177F2A"/>
    <w:rsid w:val="00182144"/>
    <w:rsid w:val="00182EE4"/>
    <w:rsid w:val="001832E1"/>
    <w:rsid w:val="00184258"/>
    <w:rsid w:val="0018537F"/>
    <w:rsid w:val="00185ECC"/>
    <w:rsid w:val="00186120"/>
    <w:rsid w:val="001877E6"/>
    <w:rsid w:val="00187C83"/>
    <w:rsid w:val="00191FF6"/>
    <w:rsid w:val="00192F82"/>
    <w:rsid w:val="00193970"/>
    <w:rsid w:val="00194DBB"/>
    <w:rsid w:val="00196529"/>
    <w:rsid w:val="001A05F9"/>
    <w:rsid w:val="001A0B42"/>
    <w:rsid w:val="001A0EB3"/>
    <w:rsid w:val="001A110B"/>
    <w:rsid w:val="001A1112"/>
    <w:rsid w:val="001A24FB"/>
    <w:rsid w:val="001A2B45"/>
    <w:rsid w:val="001A2F35"/>
    <w:rsid w:val="001A374F"/>
    <w:rsid w:val="001A3BC5"/>
    <w:rsid w:val="001A5E2F"/>
    <w:rsid w:val="001A6121"/>
    <w:rsid w:val="001A6605"/>
    <w:rsid w:val="001B1045"/>
    <w:rsid w:val="001B1F3C"/>
    <w:rsid w:val="001B2B0B"/>
    <w:rsid w:val="001B2BC7"/>
    <w:rsid w:val="001B4057"/>
    <w:rsid w:val="001B4625"/>
    <w:rsid w:val="001B5A17"/>
    <w:rsid w:val="001B771F"/>
    <w:rsid w:val="001B7E20"/>
    <w:rsid w:val="001C090A"/>
    <w:rsid w:val="001C2B79"/>
    <w:rsid w:val="001C3AFC"/>
    <w:rsid w:val="001C4077"/>
    <w:rsid w:val="001C7978"/>
    <w:rsid w:val="001D16B9"/>
    <w:rsid w:val="001D3053"/>
    <w:rsid w:val="001D407A"/>
    <w:rsid w:val="001D5254"/>
    <w:rsid w:val="001D5DE3"/>
    <w:rsid w:val="001D6B11"/>
    <w:rsid w:val="001D7651"/>
    <w:rsid w:val="001E098C"/>
    <w:rsid w:val="001E2A91"/>
    <w:rsid w:val="001E34B1"/>
    <w:rsid w:val="001E4259"/>
    <w:rsid w:val="001E4286"/>
    <w:rsid w:val="001E4CEE"/>
    <w:rsid w:val="001E5049"/>
    <w:rsid w:val="001E65E8"/>
    <w:rsid w:val="001E66C4"/>
    <w:rsid w:val="001E6FAA"/>
    <w:rsid w:val="001E73FF"/>
    <w:rsid w:val="001E7813"/>
    <w:rsid w:val="001E78E4"/>
    <w:rsid w:val="001E7E8D"/>
    <w:rsid w:val="001F092A"/>
    <w:rsid w:val="001F265B"/>
    <w:rsid w:val="001F2679"/>
    <w:rsid w:val="001F2950"/>
    <w:rsid w:val="001F3D9D"/>
    <w:rsid w:val="001F3DE9"/>
    <w:rsid w:val="001F47D9"/>
    <w:rsid w:val="001F5D3C"/>
    <w:rsid w:val="001F6615"/>
    <w:rsid w:val="00200C6B"/>
    <w:rsid w:val="002017CD"/>
    <w:rsid w:val="00201905"/>
    <w:rsid w:val="002043AB"/>
    <w:rsid w:val="00204A78"/>
    <w:rsid w:val="00206A2A"/>
    <w:rsid w:val="00207348"/>
    <w:rsid w:val="00207FE8"/>
    <w:rsid w:val="0021065D"/>
    <w:rsid w:val="00210CB3"/>
    <w:rsid w:val="0021176C"/>
    <w:rsid w:val="0021191F"/>
    <w:rsid w:val="0021441E"/>
    <w:rsid w:val="00215862"/>
    <w:rsid w:val="00215886"/>
    <w:rsid w:val="00216751"/>
    <w:rsid w:val="00217A52"/>
    <w:rsid w:val="002216F7"/>
    <w:rsid w:val="00222DE0"/>
    <w:rsid w:val="00223F53"/>
    <w:rsid w:val="002246EE"/>
    <w:rsid w:val="00226637"/>
    <w:rsid w:val="00227C3C"/>
    <w:rsid w:val="00227D39"/>
    <w:rsid w:val="00227F48"/>
    <w:rsid w:val="002305AB"/>
    <w:rsid w:val="00230AE1"/>
    <w:rsid w:val="002310D3"/>
    <w:rsid w:val="00231B25"/>
    <w:rsid w:val="0023280D"/>
    <w:rsid w:val="00232A95"/>
    <w:rsid w:val="00232D4F"/>
    <w:rsid w:val="00233C90"/>
    <w:rsid w:val="00233F6B"/>
    <w:rsid w:val="00234090"/>
    <w:rsid w:val="002342B7"/>
    <w:rsid w:val="00234309"/>
    <w:rsid w:val="002348FA"/>
    <w:rsid w:val="00235040"/>
    <w:rsid w:val="00235928"/>
    <w:rsid w:val="00236D3B"/>
    <w:rsid w:val="00236DC3"/>
    <w:rsid w:val="00237A78"/>
    <w:rsid w:val="00237CFC"/>
    <w:rsid w:val="0024243B"/>
    <w:rsid w:val="00242C55"/>
    <w:rsid w:val="002440EF"/>
    <w:rsid w:val="00244751"/>
    <w:rsid w:val="002466D2"/>
    <w:rsid w:val="00246F70"/>
    <w:rsid w:val="00250E59"/>
    <w:rsid w:val="00251359"/>
    <w:rsid w:val="00251889"/>
    <w:rsid w:val="00252045"/>
    <w:rsid w:val="00252144"/>
    <w:rsid w:val="00253BC2"/>
    <w:rsid w:val="00254997"/>
    <w:rsid w:val="00256859"/>
    <w:rsid w:val="00257302"/>
    <w:rsid w:val="00260205"/>
    <w:rsid w:val="002617B3"/>
    <w:rsid w:val="00261EAF"/>
    <w:rsid w:val="00262B7D"/>
    <w:rsid w:val="00263511"/>
    <w:rsid w:val="00264B88"/>
    <w:rsid w:val="00265120"/>
    <w:rsid w:val="002667F8"/>
    <w:rsid w:val="00267006"/>
    <w:rsid w:val="002772BD"/>
    <w:rsid w:val="00277932"/>
    <w:rsid w:val="00280263"/>
    <w:rsid w:val="002810BE"/>
    <w:rsid w:val="00281A23"/>
    <w:rsid w:val="002826D1"/>
    <w:rsid w:val="00283217"/>
    <w:rsid w:val="0028346B"/>
    <w:rsid w:val="00284335"/>
    <w:rsid w:val="00284BE1"/>
    <w:rsid w:val="002866F1"/>
    <w:rsid w:val="002878BD"/>
    <w:rsid w:val="002907A3"/>
    <w:rsid w:val="00290F5B"/>
    <w:rsid w:val="00291752"/>
    <w:rsid w:val="002917C3"/>
    <w:rsid w:val="00292E7B"/>
    <w:rsid w:val="0029614E"/>
    <w:rsid w:val="00297B5C"/>
    <w:rsid w:val="00297F19"/>
    <w:rsid w:val="002A022F"/>
    <w:rsid w:val="002A02F3"/>
    <w:rsid w:val="002A15E3"/>
    <w:rsid w:val="002A2867"/>
    <w:rsid w:val="002A329E"/>
    <w:rsid w:val="002A3535"/>
    <w:rsid w:val="002A3A0B"/>
    <w:rsid w:val="002A4488"/>
    <w:rsid w:val="002A6A36"/>
    <w:rsid w:val="002A6D09"/>
    <w:rsid w:val="002A7D9F"/>
    <w:rsid w:val="002B158E"/>
    <w:rsid w:val="002B1B20"/>
    <w:rsid w:val="002B3E39"/>
    <w:rsid w:val="002B43A3"/>
    <w:rsid w:val="002B507C"/>
    <w:rsid w:val="002B7254"/>
    <w:rsid w:val="002B7B9C"/>
    <w:rsid w:val="002C3F48"/>
    <w:rsid w:val="002C642B"/>
    <w:rsid w:val="002C6959"/>
    <w:rsid w:val="002C7D80"/>
    <w:rsid w:val="002D025F"/>
    <w:rsid w:val="002D24DD"/>
    <w:rsid w:val="002D407D"/>
    <w:rsid w:val="002D7305"/>
    <w:rsid w:val="002D7766"/>
    <w:rsid w:val="002D7ABE"/>
    <w:rsid w:val="002E05AD"/>
    <w:rsid w:val="002E0CB2"/>
    <w:rsid w:val="002E1CAE"/>
    <w:rsid w:val="002E1D0F"/>
    <w:rsid w:val="002E2436"/>
    <w:rsid w:val="002E42DE"/>
    <w:rsid w:val="002E4B07"/>
    <w:rsid w:val="002E697C"/>
    <w:rsid w:val="002E6D63"/>
    <w:rsid w:val="002E76BA"/>
    <w:rsid w:val="002E7948"/>
    <w:rsid w:val="002E7F23"/>
    <w:rsid w:val="002F05CA"/>
    <w:rsid w:val="002F0D4A"/>
    <w:rsid w:val="002F13B8"/>
    <w:rsid w:val="002F2320"/>
    <w:rsid w:val="002F3CE0"/>
    <w:rsid w:val="002F4AAF"/>
    <w:rsid w:val="002F5938"/>
    <w:rsid w:val="0030048A"/>
    <w:rsid w:val="003011DB"/>
    <w:rsid w:val="00304941"/>
    <w:rsid w:val="00305401"/>
    <w:rsid w:val="00305C3A"/>
    <w:rsid w:val="00306D95"/>
    <w:rsid w:val="00307E0C"/>
    <w:rsid w:val="00310F6E"/>
    <w:rsid w:val="0031115B"/>
    <w:rsid w:val="00311193"/>
    <w:rsid w:val="00314098"/>
    <w:rsid w:val="0031529E"/>
    <w:rsid w:val="00315523"/>
    <w:rsid w:val="00315B5A"/>
    <w:rsid w:val="00316CA5"/>
    <w:rsid w:val="00321889"/>
    <w:rsid w:val="00321C7D"/>
    <w:rsid w:val="00324F4B"/>
    <w:rsid w:val="00325AE9"/>
    <w:rsid w:val="00326431"/>
    <w:rsid w:val="00326F7A"/>
    <w:rsid w:val="00327BB3"/>
    <w:rsid w:val="003300D6"/>
    <w:rsid w:val="00332067"/>
    <w:rsid w:val="003339D5"/>
    <w:rsid w:val="0033468E"/>
    <w:rsid w:val="00336818"/>
    <w:rsid w:val="003372D5"/>
    <w:rsid w:val="00337784"/>
    <w:rsid w:val="00337E1D"/>
    <w:rsid w:val="003400D9"/>
    <w:rsid w:val="003410CC"/>
    <w:rsid w:val="003413CB"/>
    <w:rsid w:val="00341C7E"/>
    <w:rsid w:val="00341E0E"/>
    <w:rsid w:val="00343957"/>
    <w:rsid w:val="00343B15"/>
    <w:rsid w:val="003445E1"/>
    <w:rsid w:val="0034506E"/>
    <w:rsid w:val="00345763"/>
    <w:rsid w:val="003470AE"/>
    <w:rsid w:val="003474E0"/>
    <w:rsid w:val="003477B6"/>
    <w:rsid w:val="00347E1E"/>
    <w:rsid w:val="00347E8B"/>
    <w:rsid w:val="00347F40"/>
    <w:rsid w:val="00351054"/>
    <w:rsid w:val="00351740"/>
    <w:rsid w:val="00352AA7"/>
    <w:rsid w:val="003530D0"/>
    <w:rsid w:val="003537EC"/>
    <w:rsid w:val="00353CF0"/>
    <w:rsid w:val="00353F49"/>
    <w:rsid w:val="00354D52"/>
    <w:rsid w:val="00355EB5"/>
    <w:rsid w:val="003574B5"/>
    <w:rsid w:val="00357B9F"/>
    <w:rsid w:val="00361C28"/>
    <w:rsid w:val="00364042"/>
    <w:rsid w:val="00364311"/>
    <w:rsid w:val="0036437C"/>
    <w:rsid w:val="003653C9"/>
    <w:rsid w:val="00365449"/>
    <w:rsid w:val="003716E4"/>
    <w:rsid w:val="00375278"/>
    <w:rsid w:val="00376104"/>
    <w:rsid w:val="003808AC"/>
    <w:rsid w:val="00380AE7"/>
    <w:rsid w:val="00383A12"/>
    <w:rsid w:val="00386454"/>
    <w:rsid w:val="00390464"/>
    <w:rsid w:val="0039166B"/>
    <w:rsid w:val="00392BAA"/>
    <w:rsid w:val="00393234"/>
    <w:rsid w:val="003934EA"/>
    <w:rsid w:val="00394076"/>
    <w:rsid w:val="0039543A"/>
    <w:rsid w:val="00395EAF"/>
    <w:rsid w:val="00397378"/>
    <w:rsid w:val="003A1343"/>
    <w:rsid w:val="003A35B8"/>
    <w:rsid w:val="003A62CC"/>
    <w:rsid w:val="003A6508"/>
    <w:rsid w:val="003A6D80"/>
    <w:rsid w:val="003A71A2"/>
    <w:rsid w:val="003A76AE"/>
    <w:rsid w:val="003B0EEC"/>
    <w:rsid w:val="003B2162"/>
    <w:rsid w:val="003B4C0B"/>
    <w:rsid w:val="003B4D6D"/>
    <w:rsid w:val="003B62B9"/>
    <w:rsid w:val="003B6E97"/>
    <w:rsid w:val="003C08BA"/>
    <w:rsid w:val="003C08C1"/>
    <w:rsid w:val="003C1204"/>
    <w:rsid w:val="003C12EF"/>
    <w:rsid w:val="003C178E"/>
    <w:rsid w:val="003C3CE7"/>
    <w:rsid w:val="003C4731"/>
    <w:rsid w:val="003C484C"/>
    <w:rsid w:val="003C545C"/>
    <w:rsid w:val="003C616A"/>
    <w:rsid w:val="003C6DFC"/>
    <w:rsid w:val="003C7737"/>
    <w:rsid w:val="003D056F"/>
    <w:rsid w:val="003D1E0F"/>
    <w:rsid w:val="003D2549"/>
    <w:rsid w:val="003D2C71"/>
    <w:rsid w:val="003D3B37"/>
    <w:rsid w:val="003D6A7B"/>
    <w:rsid w:val="003D7B60"/>
    <w:rsid w:val="003E00EC"/>
    <w:rsid w:val="003E0D00"/>
    <w:rsid w:val="003E0F50"/>
    <w:rsid w:val="003E0F78"/>
    <w:rsid w:val="003E1F2D"/>
    <w:rsid w:val="003E2B7C"/>
    <w:rsid w:val="003E5343"/>
    <w:rsid w:val="003E611A"/>
    <w:rsid w:val="003E6B70"/>
    <w:rsid w:val="003E6CDA"/>
    <w:rsid w:val="003E7ADF"/>
    <w:rsid w:val="003E7B9C"/>
    <w:rsid w:val="003F38BD"/>
    <w:rsid w:val="003F3E08"/>
    <w:rsid w:val="003F4AC8"/>
    <w:rsid w:val="003F7371"/>
    <w:rsid w:val="00401AA6"/>
    <w:rsid w:val="004020AA"/>
    <w:rsid w:val="004024BE"/>
    <w:rsid w:val="0040522D"/>
    <w:rsid w:val="0040552A"/>
    <w:rsid w:val="00405A9A"/>
    <w:rsid w:val="00406260"/>
    <w:rsid w:val="00406561"/>
    <w:rsid w:val="0040708D"/>
    <w:rsid w:val="00410BD4"/>
    <w:rsid w:val="00410FD0"/>
    <w:rsid w:val="0041420F"/>
    <w:rsid w:val="00414DFB"/>
    <w:rsid w:val="00415A06"/>
    <w:rsid w:val="00415C34"/>
    <w:rsid w:val="00416A86"/>
    <w:rsid w:val="004211B1"/>
    <w:rsid w:val="00421A79"/>
    <w:rsid w:val="0042255A"/>
    <w:rsid w:val="00424A52"/>
    <w:rsid w:val="00425EF9"/>
    <w:rsid w:val="004267BD"/>
    <w:rsid w:val="00430996"/>
    <w:rsid w:val="004310C0"/>
    <w:rsid w:val="004332F7"/>
    <w:rsid w:val="00433436"/>
    <w:rsid w:val="004338D9"/>
    <w:rsid w:val="004350D6"/>
    <w:rsid w:val="00436405"/>
    <w:rsid w:val="00441955"/>
    <w:rsid w:val="00441FB7"/>
    <w:rsid w:val="00442111"/>
    <w:rsid w:val="0044273B"/>
    <w:rsid w:val="004429D2"/>
    <w:rsid w:val="00442D78"/>
    <w:rsid w:val="00443E9D"/>
    <w:rsid w:val="004441E3"/>
    <w:rsid w:val="0044465E"/>
    <w:rsid w:val="00446CD0"/>
    <w:rsid w:val="0044711D"/>
    <w:rsid w:val="0045018A"/>
    <w:rsid w:val="00450FCB"/>
    <w:rsid w:val="0045251A"/>
    <w:rsid w:val="0045314A"/>
    <w:rsid w:val="00453CB4"/>
    <w:rsid w:val="00453CEC"/>
    <w:rsid w:val="00454F10"/>
    <w:rsid w:val="004556C3"/>
    <w:rsid w:val="00457049"/>
    <w:rsid w:val="0045714F"/>
    <w:rsid w:val="004578A9"/>
    <w:rsid w:val="00461FAD"/>
    <w:rsid w:val="00463AAB"/>
    <w:rsid w:val="00467608"/>
    <w:rsid w:val="00470627"/>
    <w:rsid w:val="00470E4C"/>
    <w:rsid w:val="004732E4"/>
    <w:rsid w:val="00473FC4"/>
    <w:rsid w:val="0047434C"/>
    <w:rsid w:val="00476405"/>
    <w:rsid w:val="004774F4"/>
    <w:rsid w:val="0047773F"/>
    <w:rsid w:val="004803A1"/>
    <w:rsid w:val="004809D8"/>
    <w:rsid w:val="00480ECB"/>
    <w:rsid w:val="004815F2"/>
    <w:rsid w:val="004816EE"/>
    <w:rsid w:val="0048250F"/>
    <w:rsid w:val="00482C73"/>
    <w:rsid w:val="00485CE1"/>
    <w:rsid w:val="00486D29"/>
    <w:rsid w:val="00486F9C"/>
    <w:rsid w:val="004903AA"/>
    <w:rsid w:val="004911A3"/>
    <w:rsid w:val="00491563"/>
    <w:rsid w:val="0049329E"/>
    <w:rsid w:val="00494644"/>
    <w:rsid w:val="00495059"/>
    <w:rsid w:val="00495C1B"/>
    <w:rsid w:val="004A13F7"/>
    <w:rsid w:val="004A2F2C"/>
    <w:rsid w:val="004A4713"/>
    <w:rsid w:val="004A5D44"/>
    <w:rsid w:val="004A6789"/>
    <w:rsid w:val="004A7794"/>
    <w:rsid w:val="004A77FA"/>
    <w:rsid w:val="004B00E7"/>
    <w:rsid w:val="004B06BC"/>
    <w:rsid w:val="004B0921"/>
    <w:rsid w:val="004B1B23"/>
    <w:rsid w:val="004B257E"/>
    <w:rsid w:val="004B3ABC"/>
    <w:rsid w:val="004B4560"/>
    <w:rsid w:val="004B5918"/>
    <w:rsid w:val="004B7DC5"/>
    <w:rsid w:val="004B7E78"/>
    <w:rsid w:val="004C003C"/>
    <w:rsid w:val="004C00C2"/>
    <w:rsid w:val="004C06B0"/>
    <w:rsid w:val="004C09B6"/>
    <w:rsid w:val="004C16F4"/>
    <w:rsid w:val="004C18E5"/>
    <w:rsid w:val="004C1CAB"/>
    <w:rsid w:val="004C1E80"/>
    <w:rsid w:val="004C238C"/>
    <w:rsid w:val="004C2B42"/>
    <w:rsid w:val="004C37E0"/>
    <w:rsid w:val="004C48DF"/>
    <w:rsid w:val="004C6AF1"/>
    <w:rsid w:val="004C7973"/>
    <w:rsid w:val="004D0982"/>
    <w:rsid w:val="004D1316"/>
    <w:rsid w:val="004D22F9"/>
    <w:rsid w:val="004D2850"/>
    <w:rsid w:val="004D318C"/>
    <w:rsid w:val="004D3875"/>
    <w:rsid w:val="004D478F"/>
    <w:rsid w:val="004D5343"/>
    <w:rsid w:val="004D61FE"/>
    <w:rsid w:val="004D7776"/>
    <w:rsid w:val="004E1654"/>
    <w:rsid w:val="004E220E"/>
    <w:rsid w:val="004E35B6"/>
    <w:rsid w:val="004E51C3"/>
    <w:rsid w:val="004E528A"/>
    <w:rsid w:val="004E79CE"/>
    <w:rsid w:val="004F0F55"/>
    <w:rsid w:val="004F2B57"/>
    <w:rsid w:val="004F2D4D"/>
    <w:rsid w:val="004F353F"/>
    <w:rsid w:val="004F3AAB"/>
    <w:rsid w:val="004F3B6D"/>
    <w:rsid w:val="004F3E33"/>
    <w:rsid w:val="004F4235"/>
    <w:rsid w:val="004F43CC"/>
    <w:rsid w:val="004F574B"/>
    <w:rsid w:val="004F579B"/>
    <w:rsid w:val="004F62DD"/>
    <w:rsid w:val="004F6C8E"/>
    <w:rsid w:val="00500514"/>
    <w:rsid w:val="00500E6A"/>
    <w:rsid w:val="005032BE"/>
    <w:rsid w:val="00503794"/>
    <w:rsid w:val="00505114"/>
    <w:rsid w:val="0050556A"/>
    <w:rsid w:val="00510317"/>
    <w:rsid w:val="00511135"/>
    <w:rsid w:val="00511D68"/>
    <w:rsid w:val="00513CBB"/>
    <w:rsid w:val="0051457E"/>
    <w:rsid w:val="00515B16"/>
    <w:rsid w:val="005170A1"/>
    <w:rsid w:val="00517CAF"/>
    <w:rsid w:val="0052017B"/>
    <w:rsid w:val="0052028D"/>
    <w:rsid w:val="005205D4"/>
    <w:rsid w:val="00520D33"/>
    <w:rsid w:val="00522901"/>
    <w:rsid w:val="00522BC6"/>
    <w:rsid w:val="00523B91"/>
    <w:rsid w:val="00524F07"/>
    <w:rsid w:val="00525BB1"/>
    <w:rsid w:val="00526095"/>
    <w:rsid w:val="005262D6"/>
    <w:rsid w:val="00527621"/>
    <w:rsid w:val="00527D2F"/>
    <w:rsid w:val="00534D6D"/>
    <w:rsid w:val="00537EC0"/>
    <w:rsid w:val="005408C5"/>
    <w:rsid w:val="00541372"/>
    <w:rsid w:val="00541E73"/>
    <w:rsid w:val="00542193"/>
    <w:rsid w:val="00543208"/>
    <w:rsid w:val="00544F0E"/>
    <w:rsid w:val="00545620"/>
    <w:rsid w:val="00545C0A"/>
    <w:rsid w:val="00545DA6"/>
    <w:rsid w:val="00545E88"/>
    <w:rsid w:val="0054604F"/>
    <w:rsid w:val="00546399"/>
    <w:rsid w:val="0054671E"/>
    <w:rsid w:val="00546829"/>
    <w:rsid w:val="0055163C"/>
    <w:rsid w:val="0055214B"/>
    <w:rsid w:val="005525D3"/>
    <w:rsid w:val="00552814"/>
    <w:rsid w:val="00552856"/>
    <w:rsid w:val="00553126"/>
    <w:rsid w:val="00555DC4"/>
    <w:rsid w:val="00557555"/>
    <w:rsid w:val="00563D14"/>
    <w:rsid w:val="00564594"/>
    <w:rsid w:val="00566491"/>
    <w:rsid w:val="00566B42"/>
    <w:rsid w:val="0056793B"/>
    <w:rsid w:val="00567C10"/>
    <w:rsid w:val="0057034F"/>
    <w:rsid w:val="005705A0"/>
    <w:rsid w:val="00570666"/>
    <w:rsid w:val="005708AB"/>
    <w:rsid w:val="00570F4B"/>
    <w:rsid w:val="005717CD"/>
    <w:rsid w:val="00571F60"/>
    <w:rsid w:val="0057209E"/>
    <w:rsid w:val="00572B6D"/>
    <w:rsid w:val="0057485E"/>
    <w:rsid w:val="00576505"/>
    <w:rsid w:val="00576B4C"/>
    <w:rsid w:val="00576C54"/>
    <w:rsid w:val="00580416"/>
    <w:rsid w:val="005810A6"/>
    <w:rsid w:val="005829C5"/>
    <w:rsid w:val="00582B52"/>
    <w:rsid w:val="00583670"/>
    <w:rsid w:val="00585A14"/>
    <w:rsid w:val="00585B27"/>
    <w:rsid w:val="005860F5"/>
    <w:rsid w:val="00591382"/>
    <w:rsid w:val="005914FE"/>
    <w:rsid w:val="00591599"/>
    <w:rsid w:val="00593854"/>
    <w:rsid w:val="0059576F"/>
    <w:rsid w:val="00597D33"/>
    <w:rsid w:val="005A1B84"/>
    <w:rsid w:val="005A20A5"/>
    <w:rsid w:val="005A2C95"/>
    <w:rsid w:val="005A6DBA"/>
    <w:rsid w:val="005A6E07"/>
    <w:rsid w:val="005A70B8"/>
    <w:rsid w:val="005A76AB"/>
    <w:rsid w:val="005B2B2B"/>
    <w:rsid w:val="005B36DA"/>
    <w:rsid w:val="005B3D37"/>
    <w:rsid w:val="005B4B5C"/>
    <w:rsid w:val="005B5CAE"/>
    <w:rsid w:val="005B7801"/>
    <w:rsid w:val="005B792D"/>
    <w:rsid w:val="005C0FF4"/>
    <w:rsid w:val="005C2C26"/>
    <w:rsid w:val="005C5293"/>
    <w:rsid w:val="005C5306"/>
    <w:rsid w:val="005D0211"/>
    <w:rsid w:val="005D19A1"/>
    <w:rsid w:val="005D6B01"/>
    <w:rsid w:val="005D6F5E"/>
    <w:rsid w:val="005D75DF"/>
    <w:rsid w:val="005E11A4"/>
    <w:rsid w:val="005E2F5D"/>
    <w:rsid w:val="005E3E99"/>
    <w:rsid w:val="005E64AD"/>
    <w:rsid w:val="005E652B"/>
    <w:rsid w:val="005F006C"/>
    <w:rsid w:val="005F1AFF"/>
    <w:rsid w:val="005F3C6E"/>
    <w:rsid w:val="005F41E9"/>
    <w:rsid w:val="005F5962"/>
    <w:rsid w:val="005F6D92"/>
    <w:rsid w:val="005F7725"/>
    <w:rsid w:val="0060405C"/>
    <w:rsid w:val="00604718"/>
    <w:rsid w:val="00604F5B"/>
    <w:rsid w:val="006055F1"/>
    <w:rsid w:val="00605C92"/>
    <w:rsid w:val="0060711B"/>
    <w:rsid w:val="0061036D"/>
    <w:rsid w:val="0061195B"/>
    <w:rsid w:val="00613922"/>
    <w:rsid w:val="00614DE8"/>
    <w:rsid w:val="00615B73"/>
    <w:rsid w:val="006165DB"/>
    <w:rsid w:val="00617CB1"/>
    <w:rsid w:val="00620CC0"/>
    <w:rsid w:val="006225D0"/>
    <w:rsid w:val="00624EDB"/>
    <w:rsid w:val="00627660"/>
    <w:rsid w:val="006279DE"/>
    <w:rsid w:val="00627CBC"/>
    <w:rsid w:val="00630127"/>
    <w:rsid w:val="00630763"/>
    <w:rsid w:val="00630CD3"/>
    <w:rsid w:val="00632DAA"/>
    <w:rsid w:val="0063510F"/>
    <w:rsid w:val="00635E50"/>
    <w:rsid w:val="00636C13"/>
    <w:rsid w:val="00637871"/>
    <w:rsid w:val="00640582"/>
    <w:rsid w:val="00641306"/>
    <w:rsid w:val="006455A7"/>
    <w:rsid w:val="00645C90"/>
    <w:rsid w:val="006465F2"/>
    <w:rsid w:val="0064693C"/>
    <w:rsid w:val="006502B6"/>
    <w:rsid w:val="006504BA"/>
    <w:rsid w:val="00650C62"/>
    <w:rsid w:val="0065203A"/>
    <w:rsid w:val="00652A1F"/>
    <w:rsid w:val="00652D49"/>
    <w:rsid w:val="00652E46"/>
    <w:rsid w:val="00653C60"/>
    <w:rsid w:val="00654A00"/>
    <w:rsid w:val="006554B9"/>
    <w:rsid w:val="00655DC8"/>
    <w:rsid w:val="00655EFD"/>
    <w:rsid w:val="00656D7C"/>
    <w:rsid w:val="00657458"/>
    <w:rsid w:val="00657459"/>
    <w:rsid w:val="0066439B"/>
    <w:rsid w:val="00664455"/>
    <w:rsid w:val="0066449E"/>
    <w:rsid w:val="00665AC0"/>
    <w:rsid w:val="006678A5"/>
    <w:rsid w:val="006703B6"/>
    <w:rsid w:val="00670868"/>
    <w:rsid w:val="00672904"/>
    <w:rsid w:val="006733B0"/>
    <w:rsid w:val="00674023"/>
    <w:rsid w:val="00674E44"/>
    <w:rsid w:val="00674E4A"/>
    <w:rsid w:val="00675ADB"/>
    <w:rsid w:val="00675C15"/>
    <w:rsid w:val="00676966"/>
    <w:rsid w:val="00677F20"/>
    <w:rsid w:val="006818B9"/>
    <w:rsid w:val="00682A39"/>
    <w:rsid w:val="006845A5"/>
    <w:rsid w:val="00684A6F"/>
    <w:rsid w:val="00684EF2"/>
    <w:rsid w:val="0068548F"/>
    <w:rsid w:val="00685AC9"/>
    <w:rsid w:val="006864BB"/>
    <w:rsid w:val="0068783C"/>
    <w:rsid w:val="0069060C"/>
    <w:rsid w:val="00690C4E"/>
    <w:rsid w:val="00693598"/>
    <w:rsid w:val="00694584"/>
    <w:rsid w:val="00694CEC"/>
    <w:rsid w:val="0069572E"/>
    <w:rsid w:val="00695E35"/>
    <w:rsid w:val="00696B96"/>
    <w:rsid w:val="00697331"/>
    <w:rsid w:val="00697BC4"/>
    <w:rsid w:val="00697D7C"/>
    <w:rsid w:val="006A1FAE"/>
    <w:rsid w:val="006A2112"/>
    <w:rsid w:val="006A2DCE"/>
    <w:rsid w:val="006A34D1"/>
    <w:rsid w:val="006A533E"/>
    <w:rsid w:val="006A5A9E"/>
    <w:rsid w:val="006B0B05"/>
    <w:rsid w:val="006B119C"/>
    <w:rsid w:val="006B159E"/>
    <w:rsid w:val="006B1BE3"/>
    <w:rsid w:val="006B1C10"/>
    <w:rsid w:val="006B2740"/>
    <w:rsid w:val="006B2DD5"/>
    <w:rsid w:val="006B2F04"/>
    <w:rsid w:val="006B39AE"/>
    <w:rsid w:val="006B4E43"/>
    <w:rsid w:val="006B57B6"/>
    <w:rsid w:val="006B7192"/>
    <w:rsid w:val="006B7BC3"/>
    <w:rsid w:val="006C1E97"/>
    <w:rsid w:val="006C23B8"/>
    <w:rsid w:val="006C3D92"/>
    <w:rsid w:val="006C4719"/>
    <w:rsid w:val="006C52F1"/>
    <w:rsid w:val="006C6046"/>
    <w:rsid w:val="006D0A58"/>
    <w:rsid w:val="006D0CA2"/>
    <w:rsid w:val="006D1B10"/>
    <w:rsid w:val="006D3D47"/>
    <w:rsid w:val="006D443E"/>
    <w:rsid w:val="006D4622"/>
    <w:rsid w:val="006D4A0E"/>
    <w:rsid w:val="006D744E"/>
    <w:rsid w:val="006D765B"/>
    <w:rsid w:val="006D795C"/>
    <w:rsid w:val="006E043B"/>
    <w:rsid w:val="006E19D0"/>
    <w:rsid w:val="006E2BB7"/>
    <w:rsid w:val="006E4D55"/>
    <w:rsid w:val="006E4EAA"/>
    <w:rsid w:val="006E5252"/>
    <w:rsid w:val="006E70BD"/>
    <w:rsid w:val="006E79BE"/>
    <w:rsid w:val="006F18DF"/>
    <w:rsid w:val="006F2BFF"/>
    <w:rsid w:val="006F3494"/>
    <w:rsid w:val="006F38C5"/>
    <w:rsid w:val="006F3AED"/>
    <w:rsid w:val="006F3B8E"/>
    <w:rsid w:val="006F4B9B"/>
    <w:rsid w:val="006F4C08"/>
    <w:rsid w:val="006F4EAA"/>
    <w:rsid w:val="006F574B"/>
    <w:rsid w:val="006F5B55"/>
    <w:rsid w:val="006F705E"/>
    <w:rsid w:val="006F7BB4"/>
    <w:rsid w:val="007011FD"/>
    <w:rsid w:val="00701FCD"/>
    <w:rsid w:val="0070321A"/>
    <w:rsid w:val="007036E9"/>
    <w:rsid w:val="00705909"/>
    <w:rsid w:val="00706657"/>
    <w:rsid w:val="0070740A"/>
    <w:rsid w:val="00710423"/>
    <w:rsid w:val="007109FB"/>
    <w:rsid w:val="00711CCB"/>
    <w:rsid w:val="00714FD9"/>
    <w:rsid w:val="00715030"/>
    <w:rsid w:val="0071581D"/>
    <w:rsid w:val="00720099"/>
    <w:rsid w:val="00720614"/>
    <w:rsid w:val="00721F69"/>
    <w:rsid w:val="00724495"/>
    <w:rsid w:val="00724833"/>
    <w:rsid w:val="00725BEF"/>
    <w:rsid w:val="0072746B"/>
    <w:rsid w:val="00727FA4"/>
    <w:rsid w:val="00730396"/>
    <w:rsid w:val="00732834"/>
    <w:rsid w:val="007346BC"/>
    <w:rsid w:val="00737953"/>
    <w:rsid w:val="00741512"/>
    <w:rsid w:val="00744646"/>
    <w:rsid w:val="00744E9A"/>
    <w:rsid w:val="00745694"/>
    <w:rsid w:val="007457EA"/>
    <w:rsid w:val="00746061"/>
    <w:rsid w:val="00746485"/>
    <w:rsid w:val="007509CA"/>
    <w:rsid w:val="00751285"/>
    <w:rsid w:val="0075284A"/>
    <w:rsid w:val="00752D3C"/>
    <w:rsid w:val="00753745"/>
    <w:rsid w:val="00753F76"/>
    <w:rsid w:val="00755C66"/>
    <w:rsid w:val="00757890"/>
    <w:rsid w:val="0075793A"/>
    <w:rsid w:val="007609F9"/>
    <w:rsid w:val="00762E46"/>
    <w:rsid w:val="00765C04"/>
    <w:rsid w:val="00765C46"/>
    <w:rsid w:val="007660D9"/>
    <w:rsid w:val="00766D03"/>
    <w:rsid w:val="00767AAA"/>
    <w:rsid w:val="00767E6C"/>
    <w:rsid w:val="00767EC2"/>
    <w:rsid w:val="0077260C"/>
    <w:rsid w:val="0077338E"/>
    <w:rsid w:val="00773412"/>
    <w:rsid w:val="00780C03"/>
    <w:rsid w:val="00780EFC"/>
    <w:rsid w:val="00780F53"/>
    <w:rsid w:val="007830EE"/>
    <w:rsid w:val="0078344C"/>
    <w:rsid w:val="007840AF"/>
    <w:rsid w:val="007856E5"/>
    <w:rsid w:val="00786F2C"/>
    <w:rsid w:val="0079194A"/>
    <w:rsid w:val="007919AB"/>
    <w:rsid w:val="00791A3F"/>
    <w:rsid w:val="00791CB0"/>
    <w:rsid w:val="00791D63"/>
    <w:rsid w:val="007932D9"/>
    <w:rsid w:val="00794118"/>
    <w:rsid w:val="007944F3"/>
    <w:rsid w:val="00794CA9"/>
    <w:rsid w:val="00797879"/>
    <w:rsid w:val="007A1AB1"/>
    <w:rsid w:val="007A1F69"/>
    <w:rsid w:val="007A2346"/>
    <w:rsid w:val="007A3A1D"/>
    <w:rsid w:val="007A69DA"/>
    <w:rsid w:val="007B050E"/>
    <w:rsid w:val="007B0A54"/>
    <w:rsid w:val="007B3620"/>
    <w:rsid w:val="007B3E15"/>
    <w:rsid w:val="007B49D2"/>
    <w:rsid w:val="007B54E5"/>
    <w:rsid w:val="007B56C3"/>
    <w:rsid w:val="007B73DC"/>
    <w:rsid w:val="007B77D9"/>
    <w:rsid w:val="007C0A8D"/>
    <w:rsid w:val="007C0AF0"/>
    <w:rsid w:val="007C0ED8"/>
    <w:rsid w:val="007C27A8"/>
    <w:rsid w:val="007C2A81"/>
    <w:rsid w:val="007C301A"/>
    <w:rsid w:val="007C3A64"/>
    <w:rsid w:val="007C4861"/>
    <w:rsid w:val="007C6624"/>
    <w:rsid w:val="007C76DB"/>
    <w:rsid w:val="007C7C35"/>
    <w:rsid w:val="007C7E9E"/>
    <w:rsid w:val="007D026A"/>
    <w:rsid w:val="007D1746"/>
    <w:rsid w:val="007D5B39"/>
    <w:rsid w:val="007D5D07"/>
    <w:rsid w:val="007D621B"/>
    <w:rsid w:val="007D7496"/>
    <w:rsid w:val="007E195F"/>
    <w:rsid w:val="007E1F91"/>
    <w:rsid w:val="007E3190"/>
    <w:rsid w:val="007E5B3C"/>
    <w:rsid w:val="007E6253"/>
    <w:rsid w:val="007E7A1B"/>
    <w:rsid w:val="007F045E"/>
    <w:rsid w:val="007F0886"/>
    <w:rsid w:val="007F2651"/>
    <w:rsid w:val="007F2B46"/>
    <w:rsid w:val="007F38E1"/>
    <w:rsid w:val="007F40EF"/>
    <w:rsid w:val="007F5759"/>
    <w:rsid w:val="007F5B46"/>
    <w:rsid w:val="007F6157"/>
    <w:rsid w:val="007F65D4"/>
    <w:rsid w:val="007F73C8"/>
    <w:rsid w:val="007F7AE5"/>
    <w:rsid w:val="007F7C16"/>
    <w:rsid w:val="00800B17"/>
    <w:rsid w:val="0080115C"/>
    <w:rsid w:val="00801FC4"/>
    <w:rsid w:val="008020E6"/>
    <w:rsid w:val="00803A76"/>
    <w:rsid w:val="00803FA1"/>
    <w:rsid w:val="0080489C"/>
    <w:rsid w:val="00805318"/>
    <w:rsid w:val="0080673D"/>
    <w:rsid w:val="0081362A"/>
    <w:rsid w:val="00814212"/>
    <w:rsid w:val="00814590"/>
    <w:rsid w:val="00814ECE"/>
    <w:rsid w:val="00815CFD"/>
    <w:rsid w:val="00816CD0"/>
    <w:rsid w:val="00820126"/>
    <w:rsid w:val="00820C82"/>
    <w:rsid w:val="008253F4"/>
    <w:rsid w:val="00825DA6"/>
    <w:rsid w:val="00825F86"/>
    <w:rsid w:val="00826537"/>
    <w:rsid w:val="00827998"/>
    <w:rsid w:val="00830EFE"/>
    <w:rsid w:val="00831EA6"/>
    <w:rsid w:val="0083242A"/>
    <w:rsid w:val="008328A0"/>
    <w:rsid w:val="00833E20"/>
    <w:rsid w:val="0083641C"/>
    <w:rsid w:val="00840B0A"/>
    <w:rsid w:val="008420AD"/>
    <w:rsid w:val="00844B7C"/>
    <w:rsid w:val="00844D1C"/>
    <w:rsid w:val="00847309"/>
    <w:rsid w:val="00853F2F"/>
    <w:rsid w:val="008541FD"/>
    <w:rsid w:val="00854F2D"/>
    <w:rsid w:val="00855483"/>
    <w:rsid w:val="008556DB"/>
    <w:rsid w:val="00857625"/>
    <w:rsid w:val="008577E5"/>
    <w:rsid w:val="0085793F"/>
    <w:rsid w:val="00857DFC"/>
    <w:rsid w:val="008607B4"/>
    <w:rsid w:val="00861B03"/>
    <w:rsid w:val="00861BF0"/>
    <w:rsid w:val="0086361B"/>
    <w:rsid w:val="00863C7C"/>
    <w:rsid w:val="00864367"/>
    <w:rsid w:val="008646E0"/>
    <w:rsid w:val="00866A6D"/>
    <w:rsid w:val="00867103"/>
    <w:rsid w:val="008709C5"/>
    <w:rsid w:val="008716F7"/>
    <w:rsid w:val="00871CB7"/>
    <w:rsid w:val="00875DA6"/>
    <w:rsid w:val="008763E6"/>
    <w:rsid w:val="008765B1"/>
    <w:rsid w:val="0087681A"/>
    <w:rsid w:val="0087731C"/>
    <w:rsid w:val="0088097E"/>
    <w:rsid w:val="00881CB1"/>
    <w:rsid w:val="008822F2"/>
    <w:rsid w:val="00882A7A"/>
    <w:rsid w:val="00882DC6"/>
    <w:rsid w:val="00884233"/>
    <w:rsid w:val="00885020"/>
    <w:rsid w:val="00885A5B"/>
    <w:rsid w:val="00885C94"/>
    <w:rsid w:val="008866D9"/>
    <w:rsid w:val="008879B5"/>
    <w:rsid w:val="00887DCF"/>
    <w:rsid w:val="0089041B"/>
    <w:rsid w:val="0089051A"/>
    <w:rsid w:val="008907D8"/>
    <w:rsid w:val="00891A5B"/>
    <w:rsid w:val="00893570"/>
    <w:rsid w:val="008935C8"/>
    <w:rsid w:val="008940C4"/>
    <w:rsid w:val="00894BB4"/>
    <w:rsid w:val="008955DD"/>
    <w:rsid w:val="008A30E3"/>
    <w:rsid w:val="008A53BA"/>
    <w:rsid w:val="008A55FA"/>
    <w:rsid w:val="008A6DA0"/>
    <w:rsid w:val="008B0748"/>
    <w:rsid w:val="008B3A35"/>
    <w:rsid w:val="008B3C89"/>
    <w:rsid w:val="008B4AE2"/>
    <w:rsid w:val="008B4AE5"/>
    <w:rsid w:val="008C0D80"/>
    <w:rsid w:val="008C0F3C"/>
    <w:rsid w:val="008C1649"/>
    <w:rsid w:val="008C30D6"/>
    <w:rsid w:val="008C486D"/>
    <w:rsid w:val="008C4E7F"/>
    <w:rsid w:val="008C5B5A"/>
    <w:rsid w:val="008C6F96"/>
    <w:rsid w:val="008D104B"/>
    <w:rsid w:val="008D1475"/>
    <w:rsid w:val="008D1986"/>
    <w:rsid w:val="008D20A0"/>
    <w:rsid w:val="008D2F1D"/>
    <w:rsid w:val="008D4181"/>
    <w:rsid w:val="008D63EF"/>
    <w:rsid w:val="008D7133"/>
    <w:rsid w:val="008D76FC"/>
    <w:rsid w:val="008D7ACE"/>
    <w:rsid w:val="008E07DB"/>
    <w:rsid w:val="008E0BE7"/>
    <w:rsid w:val="008E0E91"/>
    <w:rsid w:val="008E1017"/>
    <w:rsid w:val="008E1C73"/>
    <w:rsid w:val="008E2659"/>
    <w:rsid w:val="008E2B2C"/>
    <w:rsid w:val="008E3DD1"/>
    <w:rsid w:val="008E4FF6"/>
    <w:rsid w:val="008E5B79"/>
    <w:rsid w:val="008E69D9"/>
    <w:rsid w:val="008E75BC"/>
    <w:rsid w:val="008F3F2B"/>
    <w:rsid w:val="008F45FB"/>
    <w:rsid w:val="008F4AAE"/>
    <w:rsid w:val="008F4F0B"/>
    <w:rsid w:val="008F571B"/>
    <w:rsid w:val="008F658A"/>
    <w:rsid w:val="00900921"/>
    <w:rsid w:val="00900AC1"/>
    <w:rsid w:val="00901254"/>
    <w:rsid w:val="00903DA8"/>
    <w:rsid w:val="00904D5E"/>
    <w:rsid w:val="00904E42"/>
    <w:rsid w:val="00905743"/>
    <w:rsid w:val="00906330"/>
    <w:rsid w:val="0090665B"/>
    <w:rsid w:val="00910F67"/>
    <w:rsid w:val="00911B5D"/>
    <w:rsid w:val="00911F53"/>
    <w:rsid w:val="00912301"/>
    <w:rsid w:val="009138CB"/>
    <w:rsid w:val="00914B52"/>
    <w:rsid w:val="00920B21"/>
    <w:rsid w:val="009268A3"/>
    <w:rsid w:val="00927923"/>
    <w:rsid w:val="009319AF"/>
    <w:rsid w:val="00932192"/>
    <w:rsid w:val="00932D6A"/>
    <w:rsid w:val="0093399C"/>
    <w:rsid w:val="009339CC"/>
    <w:rsid w:val="009349FD"/>
    <w:rsid w:val="00934A20"/>
    <w:rsid w:val="009355F7"/>
    <w:rsid w:val="009360F2"/>
    <w:rsid w:val="00937C15"/>
    <w:rsid w:val="00941CD9"/>
    <w:rsid w:val="0094271F"/>
    <w:rsid w:val="0094319A"/>
    <w:rsid w:val="00943DED"/>
    <w:rsid w:val="00943E22"/>
    <w:rsid w:val="00944B6E"/>
    <w:rsid w:val="00944BE3"/>
    <w:rsid w:val="00944D95"/>
    <w:rsid w:val="00944E78"/>
    <w:rsid w:val="009520B9"/>
    <w:rsid w:val="00953776"/>
    <w:rsid w:val="00954F37"/>
    <w:rsid w:val="009554D9"/>
    <w:rsid w:val="00955637"/>
    <w:rsid w:val="0095656D"/>
    <w:rsid w:val="00956DBF"/>
    <w:rsid w:val="00960291"/>
    <w:rsid w:val="00960850"/>
    <w:rsid w:val="009622E0"/>
    <w:rsid w:val="00963126"/>
    <w:rsid w:val="00963A15"/>
    <w:rsid w:val="009645D1"/>
    <w:rsid w:val="009647DC"/>
    <w:rsid w:val="00965ECF"/>
    <w:rsid w:val="00965F7F"/>
    <w:rsid w:val="00967444"/>
    <w:rsid w:val="00967A32"/>
    <w:rsid w:val="009714B7"/>
    <w:rsid w:val="00972151"/>
    <w:rsid w:val="0097228E"/>
    <w:rsid w:val="00972C9C"/>
    <w:rsid w:val="00973BE7"/>
    <w:rsid w:val="00974044"/>
    <w:rsid w:val="00976F17"/>
    <w:rsid w:val="0097721B"/>
    <w:rsid w:val="00977CD7"/>
    <w:rsid w:val="009803D2"/>
    <w:rsid w:val="009807A0"/>
    <w:rsid w:val="0098109D"/>
    <w:rsid w:val="00981961"/>
    <w:rsid w:val="00981E8E"/>
    <w:rsid w:val="00983843"/>
    <w:rsid w:val="00983B5F"/>
    <w:rsid w:val="0098431F"/>
    <w:rsid w:val="009849AF"/>
    <w:rsid w:val="00985805"/>
    <w:rsid w:val="00985ADE"/>
    <w:rsid w:val="00985EEA"/>
    <w:rsid w:val="00986A3D"/>
    <w:rsid w:val="009875B7"/>
    <w:rsid w:val="009878C1"/>
    <w:rsid w:val="00990A9F"/>
    <w:rsid w:val="00991C1B"/>
    <w:rsid w:val="009935B0"/>
    <w:rsid w:val="0099396F"/>
    <w:rsid w:val="0099515C"/>
    <w:rsid w:val="00995921"/>
    <w:rsid w:val="00995B13"/>
    <w:rsid w:val="009973A6"/>
    <w:rsid w:val="009978E8"/>
    <w:rsid w:val="009A07E3"/>
    <w:rsid w:val="009A09A3"/>
    <w:rsid w:val="009A2779"/>
    <w:rsid w:val="009A352A"/>
    <w:rsid w:val="009B04A2"/>
    <w:rsid w:val="009B25BE"/>
    <w:rsid w:val="009B27B2"/>
    <w:rsid w:val="009B29D9"/>
    <w:rsid w:val="009B318F"/>
    <w:rsid w:val="009B3B73"/>
    <w:rsid w:val="009B4BA0"/>
    <w:rsid w:val="009B5476"/>
    <w:rsid w:val="009B5808"/>
    <w:rsid w:val="009B5943"/>
    <w:rsid w:val="009B612D"/>
    <w:rsid w:val="009B69B5"/>
    <w:rsid w:val="009B7C2E"/>
    <w:rsid w:val="009C0C30"/>
    <w:rsid w:val="009C0FE4"/>
    <w:rsid w:val="009C0FF6"/>
    <w:rsid w:val="009C1338"/>
    <w:rsid w:val="009C410D"/>
    <w:rsid w:val="009C439B"/>
    <w:rsid w:val="009C4E4B"/>
    <w:rsid w:val="009C5963"/>
    <w:rsid w:val="009D1357"/>
    <w:rsid w:val="009D1932"/>
    <w:rsid w:val="009D2614"/>
    <w:rsid w:val="009D32EC"/>
    <w:rsid w:val="009D4599"/>
    <w:rsid w:val="009D5BD0"/>
    <w:rsid w:val="009D606F"/>
    <w:rsid w:val="009E11C3"/>
    <w:rsid w:val="009E31B6"/>
    <w:rsid w:val="009E33F1"/>
    <w:rsid w:val="009E3AF0"/>
    <w:rsid w:val="009E3E04"/>
    <w:rsid w:val="009E4B38"/>
    <w:rsid w:val="009E518A"/>
    <w:rsid w:val="009E6549"/>
    <w:rsid w:val="009E77F0"/>
    <w:rsid w:val="009E7BA5"/>
    <w:rsid w:val="009F02CA"/>
    <w:rsid w:val="009F045D"/>
    <w:rsid w:val="009F0965"/>
    <w:rsid w:val="009F13F7"/>
    <w:rsid w:val="009F16CA"/>
    <w:rsid w:val="009F1FB2"/>
    <w:rsid w:val="009F25C4"/>
    <w:rsid w:val="009F3AF6"/>
    <w:rsid w:val="009F4E45"/>
    <w:rsid w:val="009F5BF1"/>
    <w:rsid w:val="009F695A"/>
    <w:rsid w:val="009F6C91"/>
    <w:rsid w:val="00A01067"/>
    <w:rsid w:val="00A0155E"/>
    <w:rsid w:val="00A01B15"/>
    <w:rsid w:val="00A0272C"/>
    <w:rsid w:val="00A03BC2"/>
    <w:rsid w:val="00A05BFA"/>
    <w:rsid w:val="00A06026"/>
    <w:rsid w:val="00A06DCB"/>
    <w:rsid w:val="00A14F6C"/>
    <w:rsid w:val="00A15831"/>
    <w:rsid w:val="00A1662A"/>
    <w:rsid w:val="00A1711F"/>
    <w:rsid w:val="00A205B2"/>
    <w:rsid w:val="00A21995"/>
    <w:rsid w:val="00A22DB2"/>
    <w:rsid w:val="00A23FA7"/>
    <w:rsid w:val="00A2600A"/>
    <w:rsid w:val="00A2657F"/>
    <w:rsid w:val="00A26A07"/>
    <w:rsid w:val="00A30F4C"/>
    <w:rsid w:val="00A31299"/>
    <w:rsid w:val="00A36248"/>
    <w:rsid w:val="00A4189A"/>
    <w:rsid w:val="00A41AF4"/>
    <w:rsid w:val="00A42E14"/>
    <w:rsid w:val="00A44056"/>
    <w:rsid w:val="00A47B5B"/>
    <w:rsid w:val="00A51B2F"/>
    <w:rsid w:val="00A52433"/>
    <w:rsid w:val="00A52539"/>
    <w:rsid w:val="00A54EFC"/>
    <w:rsid w:val="00A5549C"/>
    <w:rsid w:val="00A5559F"/>
    <w:rsid w:val="00A57F44"/>
    <w:rsid w:val="00A60B1E"/>
    <w:rsid w:val="00A63427"/>
    <w:rsid w:val="00A63D89"/>
    <w:rsid w:val="00A644D0"/>
    <w:rsid w:val="00A662FC"/>
    <w:rsid w:val="00A66368"/>
    <w:rsid w:val="00A66763"/>
    <w:rsid w:val="00A66AE6"/>
    <w:rsid w:val="00A6746F"/>
    <w:rsid w:val="00A679DB"/>
    <w:rsid w:val="00A67CAD"/>
    <w:rsid w:val="00A70547"/>
    <w:rsid w:val="00A71828"/>
    <w:rsid w:val="00A71FCD"/>
    <w:rsid w:val="00A72C8D"/>
    <w:rsid w:val="00A72CDF"/>
    <w:rsid w:val="00A72DE4"/>
    <w:rsid w:val="00A743C5"/>
    <w:rsid w:val="00A74BA7"/>
    <w:rsid w:val="00A75D56"/>
    <w:rsid w:val="00A7651C"/>
    <w:rsid w:val="00A76870"/>
    <w:rsid w:val="00A77437"/>
    <w:rsid w:val="00A80037"/>
    <w:rsid w:val="00A80294"/>
    <w:rsid w:val="00A80F35"/>
    <w:rsid w:val="00A82643"/>
    <w:rsid w:val="00A827E2"/>
    <w:rsid w:val="00A82975"/>
    <w:rsid w:val="00A830F1"/>
    <w:rsid w:val="00A83257"/>
    <w:rsid w:val="00A84B10"/>
    <w:rsid w:val="00A84D20"/>
    <w:rsid w:val="00A854DC"/>
    <w:rsid w:val="00A8585A"/>
    <w:rsid w:val="00A8666D"/>
    <w:rsid w:val="00A86F5D"/>
    <w:rsid w:val="00A876CD"/>
    <w:rsid w:val="00A87A57"/>
    <w:rsid w:val="00A92E32"/>
    <w:rsid w:val="00A92FCE"/>
    <w:rsid w:val="00A95A50"/>
    <w:rsid w:val="00A9758D"/>
    <w:rsid w:val="00A97A90"/>
    <w:rsid w:val="00AA2A62"/>
    <w:rsid w:val="00AA31C9"/>
    <w:rsid w:val="00AA3A0C"/>
    <w:rsid w:val="00AA3D9B"/>
    <w:rsid w:val="00AA3F76"/>
    <w:rsid w:val="00AA6A98"/>
    <w:rsid w:val="00AA721B"/>
    <w:rsid w:val="00AA74E5"/>
    <w:rsid w:val="00AB1BD3"/>
    <w:rsid w:val="00AB1D7E"/>
    <w:rsid w:val="00AB3024"/>
    <w:rsid w:val="00AB4C21"/>
    <w:rsid w:val="00AB4DB8"/>
    <w:rsid w:val="00AB7EA6"/>
    <w:rsid w:val="00AC08D1"/>
    <w:rsid w:val="00AC0F60"/>
    <w:rsid w:val="00AC1E96"/>
    <w:rsid w:val="00AC2CA3"/>
    <w:rsid w:val="00AC4357"/>
    <w:rsid w:val="00AC5876"/>
    <w:rsid w:val="00AC6BC4"/>
    <w:rsid w:val="00AD1D64"/>
    <w:rsid w:val="00AD4757"/>
    <w:rsid w:val="00AD56D0"/>
    <w:rsid w:val="00AD6077"/>
    <w:rsid w:val="00AD797F"/>
    <w:rsid w:val="00AD7A65"/>
    <w:rsid w:val="00AE0EBC"/>
    <w:rsid w:val="00AE454B"/>
    <w:rsid w:val="00AE4853"/>
    <w:rsid w:val="00AE7E4E"/>
    <w:rsid w:val="00AF2A14"/>
    <w:rsid w:val="00AF4020"/>
    <w:rsid w:val="00AF4ECA"/>
    <w:rsid w:val="00AF5DCA"/>
    <w:rsid w:val="00AF5E38"/>
    <w:rsid w:val="00AF7B6B"/>
    <w:rsid w:val="00B039ED"/>
    <w:rsid w:val="00B0515D"/>
    <w:rsid w:val="00B05298"/>
    <w:rsid w:val="00B05898"/>
    <w:rsid w:val="00B0729A"/>
    <w:rsid w:val="00B10375"/>
    <w:rsid w:val="00B116D6"/>
    <w:rsid w:val="00B12333"/>
    <w:rsid w:val="00B13DD7"/>
    <w:rsid w:val="00B15942"/>
    <w:rsid w:val="00B16B18"/>
    <w:rsid w:val="00B16F20"/>
    <w:rsid w:val="00B16F4B"/>
    <w:rsid w:val="00B20CFF"/>
    <w:rsid w:val="00B20EAB"/>
    <w:rsid w:val="00B21763"/>
    <w:rsid w:val="00B221C6"/>
    <w:rsid w:val="00B2231E"/>
    <w:rsid w:val="00B224A8"/>
    <w:rsid w:val="00B22C52"/>
    <w:rsid w:val="00B22D9E"/>
    <w:rsid w:val="00B23447"/>
    <w:rsid w:val="00B23BC3"/>
    <w:rsid w:val="00B3143C"/>
    <w:rsid w:val="00B314F2"/>
    <w:rsid w:val="00B33386"/>
    <w:rsid w:val="00B35190"/>
    <w:rsid w:val="00B358FF"/>
    <w:rsid w:val="00B36B8A"/>
    <w:rsid w:val="00B37413"/>
    <w:rsid w:val="00B37705"/>
    <w:rsid w:val="00B4023B"/>
    <w:rsid w:val="00B40DB8"/>
    <w:rsid w:val="00B42767"/>
    <w:rsid w:val="00B42865"/>
    <w:rsid w:val="00B4331D"/>
    <w:rsid w:val="00B43B8E"/>
    <w:rsid w:val="00B46BEA"/>
    <w:rsid w:val="00B50E89"/>
    <w:rsid w:val="00B52C81"/>
    <w:rsid w:val="00B53F71"/>
    <w:rsid w:val="00B543DD"/>
    <w:rsid w:val="00B54D92"/>
    <w:rsid w:val="00B54F43"/>
    <w:rsid w:val="00B55571"/>
    <w:rsid w:val="00B57FE0"/>
    <w:rsid w:val="00B60B53"/>
    <w:rsid w:val="00B64517"/>
    <w:rsid w:val="00B64C65"/>
    <w:rsid w:val="00B655A2"/>
    <w:rsid w:val="00B67C0B"/>
    <w:rsid w:val="00B70544"/>
    <w:rsid w:val="00B707BC"/>
    <w:rsid w:val="00B7229B"/>
    <w:rsid w:val="00B7244E"/>
    <w:rsid w:val="00B75F1E"/>
    <w:rsid w:val="00B77F68"/>
    <w:rsid w:val="00B801B9"/>
    <w:rsid w:val="00B80995"/>
    <w:rsid w:val="00B80B51"/>
    <w:rsid w:val="00B82ADA"/>
    <w:rsid w:val="00B82B9B"/>
    <w:rsid w:val="00B82EEA"/>
    <w:rsid w:val="00B85A21"/>
    <w:rsid w:val="00B8681B"/>
    <w:rsid w:val="00B90093"/>
    <w:rsid w:val="00B908C8"/>
    <w:rsid w:val="00B91718"/>
    <w:rsid w:val="00B91EF7"/>
    <w:rsid w:val="00B923D2"/>
    <w:rsid w:val="00B92D76"/>
    <w:rsid w:val="00B93208"/>
    <w:rsid w:val="00B93639"/>
    <w:rsid w:val="00B93738"/>
    <w:rsid w:val="00B93E66"/>
    <w:rsid w:val="00B93F9A"/>
    <w:rsid w:val="00B941D0"/>
    <w:rsid w:val="00B95364"/>
    <w:rsid w:val="00B965EE"/>
    <w:rsid w:val="00B97798"/>
    <w:rsid w:val="00BA0DEB"/>
    <w:rsid w:val="00BA18CF"/>
    <w:rsid w:val="00BA1AD8"/>
    <w:rsid w:val="00BA2569"/>
    <w:rsid w:val="00BA298C"/>
    <w:rsid w:val="00BA41BC"/>
    <w:rsid w:val="00BA4A3A"/>
    <w:rsid w:val="00BA5368"/>
    <w:rsid w:val="00BA5723"/>
    <w:rsid w:val="00BA5C06"/>
    <w:rsid w:val="00BA7B24"/>
    <w:rsid w:val="00BB098C"/>
    <w:rsid w:val="00BB119C"/>
    <w:rsid w:val="00BB2D1C"/>
    <w:rsid w:val="00BB2F44"/>
    <w:rsid w:val="00BB467F"/>
    <w:rsid w:val="00BB4DD5"/>
    <w:rsid w:val="00BB5146"/>
    <w:rsid w:val="00BB6DE7"/>
    <w:rsid w:val="00BC1DFC"/>
    <w:rsid w:val="00BC2C9A"/>
    <w:rsid w:val="00BC618D"/>
    <w:rsid w:val="00BC6F26"/>
    <w:rsid w:val="00BC7B2E"/>
    <w:rsid w:val="00BD0263"/>
    <w:rsid w:val="00BD1C17"/>
    <w:rsid w:val="00BD385B"/>
    <w:rsid w:val="00BD49F2"/>
    <w:rsid w:val="00BD5675"/>
    <w:rsid w:val="00BD5FA4"/>
    <w:rsid w:val="00BD5FBE"/>
    <w:rsid w:val="00BD64F6"/>
    <w:rsid w:val="00BD6912"/>
    <w:rsid w:val="00BE0F32"/>
    <w:rsid w:val="00BE1A55"/>
    <w:rsid w:val="00BE6C23"/>
    <w:rsid w:val="00BE6E94"/>
    <w:rsid w:val="00BF0BFD"/>
    <w:rsid w:val="00BF1969"/>
    <w:rsid w:val="00BF2ADA"/>
    <w:rsid w:val="00BF2C57"/>
    <w:rsid w:val="00BF533A"/>
    <w:rsid w:val="00BF5985"/>
    <w:rsid w:val="00BF5E91"/>
    <w:rsid w:val="00BF745E"/>
    <w:rsid w:val="00C01395"/>
    <w:rsid w:val="00C02F1B"/>
    <w:rsid w:val="00C045DF"/>
    <w:rsid w:val="00C04EBC"/>
    <w:rsid w:val="00C05326"/>
    <w:rsid w:val="00C0544B"/>
    <w:rsid w:val="00C06179"/>
    <w:rsid w:val="00C06466"/>
    <w:rsid w:val="00C06FD6"/>
    <w:rsid w:val="00C074AE"/>
    <w:rsid w:val="00C1281F"/>
    <w:rsid w:val="00C1366D"/>
    <w:rsid w:val="00C13AA9"/>
    <w:rsid w:val="00C1439C"/>
    <w:rsid w:val="00C14BF6"/>
    <w:rsid w:val="00C14D6A"/>
    <w:rsid w:val="00C15F0C"/>
    <w:rsid w:val="00C16608"/>
    <w:rsid w:val="00C2260D"/>
    <w:rsid w:val="00C22EDC"/>
    <w:rsid w:val="00C232BE"/>
    <w:rsid w:val="00C23B56"/>
    <w:rsid w:val="00C254CC"/>
    <w:rsid w:val="00C257D4"/>
    <w:rsid w:val="00C27AFA"/>
    <w:rsid w:val="00C30778"/>
    <w:rsid w:val="00C3145D"/>
    <w:rsid w:val="00C31AC1"/>
    <w:rsid w:val="00C32563"/>
    <w:rsid w:val="00C3337B"/>
    <w:rsid w:val="00C34BC1"/>
    <w:rsid w:val="00C34E71"/>
    <w:rsid w:val="00C37115"/>
    <w:rsid w:val="00C42A78"/>
    <w:rsid w:val="00C43281"/>
    <w:rsid w:val="00C43919"/>
    <w:rsid w:val="00C44595"/>
    <w:rsid w:val="00C44E05"/>
    <w:rsid w:val="00C50548"/>
    <w:rsid w:val="00C51912"/>
    <w:rsid w:val="00C52701"/>
    <w:rsid w:val="00C53F4A"/>
    <w:rsid w:val="00C54E17"/>
    <w:rsid w:val="00C56181"/>
    <w:rsid w:val="00C56371"/>
    <w:rsid w:val="00C60C25"/>
    <w:rsid w:val="00C611F9"/>
    <w:rsid w:val="00C64B42"/>
    <w:rsid w:val="00C65BF3"/>
    <w:rsid w:val="00C669CF"/>
    <w:rsid w:val="00C675BF"/>
    <w:rsid w:val="00C707B7"/>
    <w:rsid w:val="00C7172D"/>
    <w:rsid w:val="00C72C28"/>
    <w:rsid w:val="00C7352B"/>
    <w:rsid w:val="00C73769"/>
    <w:rsid w:val="00C73BAA"/>
    <w:rsid w:val="00C73C47"/>
    <w:rsid w:val="00C73D58"/>
    <w:rsid w:val="00C7538D"/>
    <w:rsid w:val="00C761B7"/>
    <w:rsid w:val="00C76904"/>
    <w:rsid w:val="00C76D79"/>
    <w:rsid w:val="00C77D7B"/>
    <w:rsid w:val="00C80319"/>
    <w:rsid w:val="00C84673"/>
    <w:rsid w:val="00C84A3A"/>
    <w:rsid w:val="00C8546B"/>
    <w:rsid w:val="00C85663"/>
    <w:rsid w:val="00C8648C"/>
    <w:rsid w:val="00C90828"/>
    <w:rsid w:val="00C91012"/>
    <w:rsid w:val="00C92599"/>
    <w:rsid w:val="00C93A06"/>
    <w:rsid w:val="00C95466"/>
    <w:rsid w:val="00C9572B"/>
    <w:rsid w:val="00CA1850"/>
    <w:rsid w:val="00CA46BC"/>
    <w:rsid w:val="00CA4D2A"/>
    <w:rsid w:val="00CA6675"/>
    <w:rsid w:val="00CA6ABC"/>
    <w:rsid w:val="00CA7A9B"/>
    <w:rsid w:val="00CA7B51"/>
    <w:rsid w:val="00CB02D4"/>
    <w:rsid w:val="00CB068F"/>
    <w:rsid w:val="00CB0B55"/>
    <w:rsid w:val="00CB0FD1"/>
    <w:rsid w:val="00CB4EDE"/>
    <w:rsid w:val="00CB5110"/>
    <w:rsid w:val="00CB6700"/>
    <w:rsid w:val="00CB770F"/>
    <w:rsid w:val="00CB777F"/>
    <w:rsid w:val="00CB7A18"/>
    <w:rsid w:val="00CB7BBC"/>
    <w:rsid w:val="00CB7D4B"/>
    <w:rsid w:val="00CC098B"/>
    <w:rsid w:val="00CC186B"/>
    <w:rsid w:val="00CC1F7D"/>
    <w:rsid w:val="00CC2367"/>
    <w:rsid w:val="00CC2715"/>
    <w:rsid w:val="00CC3795"/>
    <w:rsid w:val="00CD0491"/>
    <w:rsid w:val="00CD0572"/>
    <w:rsid w:val="00CD25E2"/>
    <w:rsid w:val="00CD2E8F"/>
    <w:rsid w:val="00CD4154"/>
    <w:rsid w:val="00CD4576"/>
    <w:rsid w:val="00CD55D0"/>
    <w:rsid w:val="00CD7EE5"/>
    <w:rsid w:val="00CE048B"/>
    <w:rsid w:val="00CE15C1"/>
    <w:rsid w:val="00CE2259"/>
    <w:rsid w:val="00CE3F69"/>
    <w:rsid w:val="00CE455E"/>
    <w:rsid w:val="00CE500F"/>
    <w:rsid w:val="00CE5C17"/>
    <w:rsid w:val="00CE69E6"/>
    <w:rsid w:val="00CE750E"/>
    <w:rsid w:val="00CF0352"/>
    <w:rsid w:val="00CF2077"/>
    <w:rsid w:val="00CF35AF"/>
    <w:rsid w:val="00CF3729"/>
    <w:rsid w:val="00CF3D72"/>
    <w:rsid w:val="00CF430F"/>
    <w:rsid w:val="00CF4B61"/>
    <w:rsid w:val="00CF5244"/>
    <w:rsid w:val="00CF5EB1"/>
    <w:rsid w:val="00CF71A8"/>
    <w:rsid w:val="00D01C3A"/>
    <w:rsid w:val="00D02817"/>
    <w:rsid w:val="00D0412B"/>
    <w:rsid w:val="00D06976"/>
    <w:rsid w:val="00D10465"/>
    <w:rsid w:val="00D108A8"/>
    <w:rsid w:val="00D11D04"/>
    <w:rsid w:val="00D131AE"/>
    <w:rsid w:val="00D13BB3"/>
    <w:rsid w:val="00D14AEF"/>
    <w:rsid w:val="00D14F4B"/>
    <w:rsid w:val="00D15EDA"/>
    <w:rsid w:val="00D16EC8"/>
    <w:rsid w:val="00D2088D"/>
    <w:rsid w:val="00D20E29"/>
    <w:rsid w:val="00D21650"/>
    <w:rsid w:val="00D21711"/>
    <w:rsid w:val="00D21F62"/>
    <w:rsid w:val="00D231F3"/>
    <w:rsid w:val="00D24CC7"/>
    <w:rsid w:val="00D24D93"/>
    <w:rsid w:val="00D25243"/>
    <w:rsid w:val="00D25F49"/>
    <w:rsid w:val="00D275CE"/>
    <w:rsid w:val="00D3129C"/>
    <w:rsid w:val="00D325D9"/>
    <w:rsid w:val="00D32A1F"/>
    <w:rsid w:val="00D32AAA"/>
    <w:rsid w:val="00D3300E"/>
    <w:rsid w:val="00D334CD"/>
    <w:rsid w:val="00D33D21"/>
    <w:rsid w:val="00D34D20"/>
    <w:rsid w:val="00D36E7C"/>
    <w:rsid w:val="00D40C3A"/>
    <w:rsid w:val="00D40CEE"/>
    <w:rsid w:val="00D41F1A"/>
    <w:rsid w:val="00D43492"/>
    <w:rsid w:val="00D43B60"/>
    <w:rsid w:val="00D44BC6"/>
    <w:rsid w:val="00D44D6B"/>
    <w:rsid w:val="00D50743"/>
    <w:rsid w:val="00D51EE2"/>
    <w:rsid w:val="00D52496"/>
    <w:rsid w:val="00D526C4"/>
    <w:rsid w:val="00D52D57"/>
    <w:rsid w:val="00D53BB1"/>
    <w:rsid w:val="00D54771"/>
    <w:rsid w:val="00D54A2B"/>
    <w:rsid w:val="00D55E01"/>
    <w:rsid w:val="00D60601"/>
    <w:rsid w:val="00D60815"/>
    <w:rsid w:val="00D60D82"/>
    <w:rsid w:val="00D61DDC"/>
    <w:rsid w:val="00D61E8B"/>
    <w:rsid w:val="00D64F96"/>
    <w:rsid w:val="00D65577"/>
    <w:rsid w:val="00D65992"/>
    <w:rsid w:val="00D66437"/>
    <w:rsid w:val="00D70B74"/>
    <w:rsid w:val="00D7340C"/>
    <w:rsid w:val="00D73D9B"/>
    <w:rsid w:val="00D76A64"/>
    <w:rsid w:val="00D76C71"/>
    <w:rsid w:val="00D77547"/>
    <w:rsid w:val="00D80313"/>
    <w:rsid w:val="00D807AF"/>
    <w:rsid w:val="00D825CD"/>
    <w:rsid w:val="00D82951"/>
    <w:rsid w:val="00D82F3C"/>
    <w:rsid w:val="00D83C9D"/>
    <w:rsid w:val="00D84240"/>
    <w:rsid w:val="00D863C1"/>
    <w:rsid w:val="00D87145"/>
    <w:rsid w:val="00D904B8"/>
    <w:rsid w:val="00D94A34"/>
    <w:rsid w:val="00D96276"/>
    <w:rsid w:val="00D96453"/>
    <w:rsid w:val="00D9661F"/>
    <w:rsid w:val="00D976B2"/>
    <w:rsid w:val="00DA3091"/>
    <w:rsid w:val="00DA616C"/>
    <w:rsid w:val="00DA66EC"/>
    <w:rsid w:val="00DA71FB"/>
    <w:rsid w:val="00DB2179"/>
    <w:rsid w:val="00DB5C8A"/>
    <w:rsid w:val="00DB5E03"/>
    <w:rsid w:val="00DB7A95"/>
    <w:rsid w:val="00DC060A"/>
    <w:rsid w:val="00DC1125"/>
    <w:rsid w:val="00DC121D"/>
    <w:rsid w:val="00DC14A5"/>
    <w:rsid w:val="00DC4828"/>
    <w:rsid w:val="00DC49A0"/>
    <w:rsid w:val="00DC58CA"/>
    <w:rsid w:val="00DC5E1C"/>
    <w:rsid w:val="00DC62DF"/>
    <w:rsid w:val="00DD2611"/>
    <w:rsid w:val="00DD2D1E"/>
    <w:rsid w:val="00DD4EA6"/>
    <w:rsid w:val="00DD539A"/>
    <w:rsid w:val="00DD5606"/>
    <w:rsid w:val="00DD6685"/>
    <w:rsid w:val="00DD693C"/>
    <w:rsid w:val="00DE02AC"/>
    <w:rsid w:val="00DE1964"/>
    <w:rsid w:val="00DE1EC3"/>
    <w:rsid w:val="00DE2D61"/>
    <w:rsid w:val="00DE4D44"/>
    <w:rsid w:val="00DE7722"/>
    <w:rsid w:val="00DF0134"/>
    <w:rsid w:val="00DF3401"/>
    <w:rsid w:val="00DF5776"/>
    <w:rsid w:val="00DF5816"/>
    <w:rsid w:val="00DF64D2"/>
    <w:rsid w:val="00DF7CC0"/>
    <w:rsid w:val="00DF7D02"/>
    <w:rsid w:val="00E002E1"/>
    <w:rsid w:val="00E02541"/>
    <w:rsid w:val="00E02725"/>
    <w:rsid w:val="00E027A1"/>
    <w:rsid w:val="00E0395F"/>
    <w:rsid w:val="00E0424F"/>
    <w:rsid w:val="00E06786"/>
    <w:rsid w:val="00E102A3"/>
    <w:rsid w:val="00E10FE6"/>
    <w:rsid w:val="00E11D2F"/>
    <w:rsid w:val="00E12B4D"/>
    <w:rsid w:val="00E14718"/>
    <w:rsid w:val="00E16A85"/>
    <w:rsid w:val="00E16D8A"/>
    <w:rsid w:val="00E17669"/>
    <w:rsid w:val="00E178AD"/>
    <w:rsid w:val="00E17A00"/>
    <w:rsid w:val="00E17A8D"/>
    <w:rsid w:val="00E17B1D"/>
    <w:rsid w:val="00E20B97"/>
    <w:rsid w:val="00E20CDF"/>
    <w:rsid w:val="00E20D9E"/>
    <w:rsid w:val="00E20DA1"/>
    <w:rsid w:val="00E21780"/>
    <w:rsid w:val="00E22ED8"/>
    <w:rsid w:val="00E23692"/>
    <w:rsid w:val="00E24415"/>
    <w:rsid w:val="00E24832"/>
    <w:rsid w:val="00E25642"/>
    <w:rsid w:val="00E25773"/>
    <w:rsid w:val="00E32138"/>
    <w:rsid w:val="00E33047"/>
    <w:rsid w:val="00E34CB7"/>
    <w:rsid w:val="00E34DF4"/>
    <w:rsid w:val="00E3568B"/>
    <w:rsid w:val="00E357EF"/>
    <w:rsid w:val="00E40B11"/>
    <w:rsid w:val="00E41907"/>
    <w:rsid w:val="00E42F90"/>
    <w:rsid w:val="00E433CC"/>
    <w:rsid w:val="00E43D5D"/>
    <w:rsid w:val="00E459E6"/>
    <w:rsid w:val="00E504F6"/>
    <w:rsid w:val="00E52ADC"/>
    <w:rsid w:val="00E53E6F"/>
    <w:rsid w:val="00E5527D"/>
    <w:rsid w:val="00E558DE"/>
    <w:rsid w:val="00E55C4C"/>
    <w:rsid w:val="00E55D1F"/>
    <w:rsid w:val="00E56552"/>
    <w:rsid w:val="00E56774"/>
    <w:rsid w:val="00E61896"/>
    <w:rsid w:val="00E62E4A"/>
    <w:rsid w:val="00E639EC"/>
    <w:rsid w:val="00E64E66"/>
    <w:rsid w:val="00E66214"/>
    <w:rsid w:val="00E7126E"/>
    <w:rsid w:val="00E736F8"/>
    <w:rsid w:val="00E73A32"/>
    <w:rsid w:val="00E745E6"/>
    <w:rsid w:val="00E747B9"/>
    <w:rsid w:val="00E74C60"/>
    <w:rsid w:val="00E75296"/>
    <w:rsid w:val="00E75D1C"/>
    <w:rsid w:val="00E76396"/>
    <w:rsid w:val="00E7660E"/>
    <w:rsid w:val="00E77801"/>
    <w:rsid w:val="00E7797A"/>
    <w:rsid w:val="00E8074E"/>
    <w:rsid w:val="00E80DF0"/>
    <w:rsid w:val="00E82B9B"/>
    <w:rsid w:val="00E8311D"/>
    <w:rsid w:val="00E85698"/>
    <w:rsid w:val="00E86CD2"/>
    <w:rsid w:val="00E90998"/>
    <w:rsid w:val="00E913A3"/>
    <w:rsid w:val="00E91916"/>
    <w:rsid w:val="00E92771"/>
    <w:rsid w:val="00E92902"/>
    <w:rsid w:val="00E92A31"/>
    <w:rsid w:val="00E93E10"/>
    <w:rsid w:val="00E95C7D"/>
    <w:rsid w:val="00E97907"/>
    <w:rsid w:val="00EA0B5F"/>
    <w:rsid w:val="00EA0C71"/>
    <w:rsid w:val="00EA1048"/>
    <w:rsid w:val="00EA1324"/>
    <w:rsid w:val="00EA1A95"/>
    <w:rsid w:val="00EA1F4B"/>
    <w:rsid w:val="00EA4BD5"/>
    <w:rsid w:val="00EA5016"/>
    <w:rsid w:val="00EA5DC5"/>
    <w:rsid w:val="00EB2131"/>
    <w:rsid w:val="00EB221C"/>
    <w:rsid w:val="00EB3147"/>
    <w:rsid w:val="00EB479E"/>
    <w:rsid w:val="00EB61CF"/>
    <w:rsid w:val="00EB65B3"/>
    <w:rsid w:val="00EB7486"/>
    <w:rsid w:val="00EC0536"/>
    <w:rsid w:val="00EC4007"/>
    <w:rsid w:val="00EC5A2E"/>
    <w:rsid w:val="00EC6CF9"/>
    <w:rsid w:val="00EC7D13"/>
    <w:rsid w:val="00EC7F80"/>
    <w:rsid w:val="00ED06F6"/>
    <w:rsid w:val="00ED3193"/>
    <w:rsid w:val="00ED3F73"/>
    <w:rsid w:val="00ED480F"/>
    <w:rsid w:val="00ED5C5A"/>
    <w:rsid w:val="00ED6F27"/>
    <w:rsid w:val="00EE00BC"/>
    <w:rsid w:val="00EE039F"/>
    <w:rsid w:val="00EE03B1"/>
    <w:rsid w:val="00EE0F2E"/>
    <w:rsid w:val="00EE27F2"/>
    <w:rsid w:val="00EE3D73"/>
    <w:rsid w:val="00EE40F5"/>
    <w:rsid w:val="00EE5ADE"/>
    <w:rsid w:val="00EE5B45"/>
    <w:rsid w:val="00EE6146"/>
    <w:rsid w:val="00EE6594"/>
    <w:rsid w:val="00EE65D4"/>
    <w:rsid w:val="00EE6D88"/>
    <w:rsid w:val="00EF26AA"/>
    <w:rsid w:val="00EF3436"/>
    <w:rsid w:val="00EF524B"/>
    <w:rsid w:val="00EF5B93"/>
    <w:rsid w:val="00F01060"/>
    <w:rsid w:val="00F02354"/>
    <w:rsid w:val="00F03160"/>
    <w:rsid w:val="00F04173"/>
    <w:rsid w:val="00F05B1A"/>
    <w:rsid w:val="00F0677E"/>
    <w:rsid w:val="00F10F22"/>
    <w:rsid w:val="00F125F9"/>
    <w:rsid w:val="00F139DE"/>
    <w:rsid w:val="00F140AC"/>
    <w:rsid w:val="00F1491A"/>
    <w:rsid w:val="00F15691"/>
    <w:rsid w:val="00F15C1D"/>
    <w:rsid w:val="00F16367"/>
    <w:rsid w:val="00F16FB8"/>
    <w:rsid w:val="00F17D42"/>
    <w:rsid w:val="00F21E96"/>
    <w:rsid w:val="00F23061"/>
    <w:rsid w:val="00F2314C"/>
    <w:rsid w:val="00F23511"/>
    <w:rsid w:val="00F2386D"/>
    <w:rsid w:val="00F23BF8"/>
    <w:rsid w:val="00F24B80"/>
    <w:rsid w:val="00F260AF"/>
    <w:rsid w:val="00F268F0"/>
    <w:rsid w:val="00F306D7"/>
    <w:rsid w:val="00F32E05"/>
    <w:rsid w:val="00F338B8"/>
    <w:rsid w:val="00F34A03"/>
    <w:rsid w:val="00F37BE3"/>
    <w:rsid w:val="00F405D2"/>
    <w:rsid w:val="00F42FA9"/>
    <w:rsid w:val="00F44123"/>
    <w:rsid w:val="00F46031"/>
    <w:rsid w:val="00F47C29"/>
    <w:rsid w:val="00F50411"/>
    <w:rsid w:val="00F51597"/>
    <w:rsid w:val="00F54688"/>
    <w:rsid w:val="00F54E94"/>
    <w:rsid w:val="00F54FE2"/>
    <w:rsid w:val="00F55419"/>
    <w:rsid w:val="00F576F4"/>
    <w:rsid w:val="00F62DF5"/>
    <w:rsid w:val="00F656B1"/>
    <w:rsid w:val="00F65A5D"/>
    <w:rsid w:val="00F715BC"/>
    <w:rsid w:val="00F72C68"/>
    <w:rsid w:val="00F73B15"/>
    <w:rsid w:val="00F7565C"/>
    <w:rsid w:val="00F7572B"/>
    <w:rsid w:val="00F75F48"/>
    <w:rsid w:val="00F76A38"/>
    <w:rsid w:val="00F7719C"/>
    <w:rsid w:val="00F8092D"/>
    <w:rsid w:val="00F814FB"/>
    <w:rsid w:val="00F81E36"/>
    <w:rsid w:val="00F836A0"/>
    <w:rsid w:val="00F84AE0"/>
    <w:rsid w:val="00F857C2"/>
    <w:rsid w:val="00F85FA4"/>
    <w:rsid w:val="00F87CD5"/>
    <w:rsid w:val="00F9089F"/>
    <w:rsid w:val="00F90C79"/>
    <w:rsid w:val="00F90C9F"/>
    <w:rsid w:val="00F91592"/>
    <w:rsid w:val="00F92648"/>
    <w:rsid w:val="00F935BC"/>
    <w:rsid w:val="00F94CCA"/>
    <w:rsid w:val="00F96025"/>
    <w:rsid w:val="00F97F8E"/>
    <w:rsid w:val="00FA0584"/>
    <w:rsid w:val="00FA2A34"/>
    <w:rsid w:val="00FA2B4A"/>
    <w:rsid w:val="00FA4DC6"/>
    <w:rsid w:val="00FA5A4D"/>
    <w:rsid w:val="00FA5CA5"/>
    <w:rsid w:val="00FA6690"/>
    <w:rsid w:val="00FA75D7"/>
    <w:rsid w:val="00FB0E83"/>
    <w:rsid w:val="00FB11FE"/>
    <w:rsid w:val="00FB1B3B"/>
    <w:rsid w:val="00FB24AA"/>
    <w:rsid w:val="00FB2B8F"/>
    <w:rsid w:val="00FB35FD"/>
    <w:rsid w:val="00FB42E8"/>
    <w:rsid w:val="00FB5739"/>
    <w:rsid w:val="00FB583D"/>
    <w:rsid w:val="00FB7F28"/>
    <w:rsid w:val="00FC0519"/>
    <w:rsid w:val="00FC0A77"/>
    <w:rsid w:val="00FC441F"/>
    <w:rsid w:val="00FC65BC"/>
    <w:rsid w:val="00FC6E2E"/>
    <w:rsid w:val="00FC7926"/>
    <w:rsid w:val="00FD082D"/>
    <w:rsid w:val="00FD33B4"/>
    <w:rsid w:val="00FD4EAB"/>
    <w:rsid w:val="00FD575B"/>
    <w:rsid w:val="00FD5E1C"/>
    <w:rsid w:val="00FD67CF"/>
    <w:rsid w:val="00FD77FD"/>
    <w:rsid w:val="00FE013D"/>
    <w:rsid w:val="00FE0C3D"/>
    <w:rsid w:val="00FE0DAB"/>
    <w:rsid w:val="00FE0E26"/>
    <w:rsid w:val="00FE21DD"/>
    <w:rsid w:val="00FE300A"/>
    <w:rsid w:val="00FE3430"/>
    <w:rsid w:val="00FE7F53"/>
    <w:rsid w:val="00FF027F"/>
    <w:rsid w:val="00FF1D93"/>
    <w:rsid w:val="00FF329B"/>
    <w:rsid w:val="00FF50AA"/>
    <w:rsid w:val="00FF64C8"/>
    <w:rsid w:val="00FF7284"/>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0CB479"/>
  <w15:docId w15:val="{2EB3B3C5-D49E-4FF0-9A7F-F4214FDDDB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ind w:right="284"/>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6C3"/>
    <w:rPr>
      <w:rFonts w:eastAsia="Verdana" w:cs="Verdana"/>
      <w:sz w:val="24"/>
      <w:lang w:val="en-AU"/>
    </w:rPr>
  </w:style>
  <w:style w:type="paragraph" w:styleId="Heading1">
    <w:name w:val="heading 1"/>
    <w:basedOn w:val="Normal"/>
    <w:link w:val="Heading1Char"/>
    <w:uiPriority w:val="9"/>
    <w:qFormat/>
    <w:rsid w:val="00DE4D44"/>
    <w:pPr>
      <w:ind w:left="636" w:hanging="517"/>
      <w:outlineLvl w:val="0"/>
    </w:pPr>
    <w:rPr>
      <w:sz w:val="28"/>
      <w:szCs w:val="26"/>
    </w:rPr>
  </w:style>
  <w:style w:type="paragraph" w:styleId="Heading2">
    <w:name w:val="heading 2"/>
    <w:basedOn w:val="Normal"/>
    <w:next w:val="Normal"/>
    <w:link w:val="Heading2Char"/>
    <w:uiPriority w:val="9"/>
    <w:unhideWhenUsed/>
    <w:qFormat/>
    <w:rsid w:val="000A09D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D4757"/>
    <w:pPr>
      <w:keepNext/>
      <w:keepLines/>
      <w:spacing w:before="4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next w:val="Normal"/>
    <w:link w:val="Heading4Char"/>
    <w:uiPriority w:val="9"/>
    <w:unhideWhenUsed/>
    <w:qFormat/>
    <w:rsid w:val="00650C62"/>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unhideWhenUsed/>
    <w:qFormat/>
    <w:rsid w:val="00650C6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Title">
    <w:name w:val="Title"/>
    <w:basedOn w:val="Normal"/>
    <w:uiPriority w:val="10"/>
    <w:qFormat/>
    <w:pPr>
      <w:spacing w:before="85"/>
      <w:ind w:left="650" w:right="1081"/>
    </w:pPr>
    <w:rPr>
      <w:rFonts w:ascii="Arial" w:eastAsia="Arial" w:hAnsi="Arial" w:cs="Arial"/>
      <w:b/>
      <w:bCs/>
      <w:sz w:val="48"/>
      <w:szCs w:val="48"/>
    </w:rPr>
  </w:style>
  <w:style w:type="paragraph" w:styleId="ListParagraph">
    <w:name w:val="List Paragraph"/>
    <w:basedOn w:val="Normal"/>
    <w:uiPriority w:val="34"/>
    <w:qFormat/>
    <w:pPr>
      <w:ind w:left="480" w:hanging="361"/>
    </w:pPr>
  </w:style>
  <w:style w:type="paragraph" w:customStyle="1" w:styleId="TableParagraph">
    <w:name w:val="Table Paragraph"/>
    <w:basedOn w:val="Normal"/>
    <w:uiPriority w:val="1"/>
    <w:qFormat/>
    <w:pPr>
      <w:ind w:left="107"/>
    </w:pPr>
    <w:rPr>
      <w:rFonts w:ascii="Calibri" w:eastAsia="Calibri" w:hAnsi="Calibri" w:cs="Calibri"/>
    </w:rPr>
  </w:style>
  <w:style w:type="paragraph" w:styleId="Caption">
    <w:name w:val="caption"/>
    <w:basedOn w:val="Normal"/>
    <w:next w:val="Normal"/>
    <w:uiPriority w:val="35"/>
    <w:unhideWhenUsed/>
    <w:qFormat/>
    <w:rsid w:val="00235928"/>
    <w:pPr>
      <w:spacing w:after="200"/>
    </w:pPr>
    <w:rPr>
      <w:iCs/>
      <w:color w:val="1F497D" w:themeColor="text2"/>
      <w:szCs w:val="18"/>
    </w:rPr>
  </w:style>
  <w:style w:type="paragraph" w:styleId="FootnoteText">
    <w:name w:val="footnote text"/>
    <w:basedOn w:val="Normal"/>
    <w:link w:val="FootnoteTextChar"/>
    <w:uiPriority w:val="99"/>
    <w:unhideWhenUsed/>
    <w:rsid w:val="00AA74E5"/>
    <w:rPr>
      <w:sz w:val="20"/>
      <w:szCs w:val="20"/>
    </w:rPr>
  </w:style>
  <w:style w:type="character" w:customStyle="1" w:styleId="FootnoteTextChar">
    <w:name w:val="Footnote Text Char"/>
    <w:basedOn w:val="DefaultParagraphFont"/>
    <w:link w:val="FootnoteText"/>
    <w:uiPriority w:val="99"/>
    <w:rsid w:val="00AA74E5"/>
    <w:rPr>
      <w:rFonts w:ascii="Verdana" w:eastAsia="Verdana" w:hAnsi="Verdana" w:cs="Verdana"/>
      <w:sz w:val="20"/>
      <w:szCs w:val="20"/>
      <w:lang w:val="en-AU"/>
    </w:rPr>
  </w:style>
  <w:style w:type="character" w:styleId="FootnoteReference">
    <w:name w:val="footnote reference"/>
    <w:basedOn w:val="DefaultParagraphFont"/>
    <w:uiPriority w:val="99"/>
    <w:unhideWhenUsed/>
    <w:rsid w:val="00AA74E5"/>
    <w:rPr>
      <w:vertAlign w:val="superscript"/>
    </w:rPr>
  </w:style>
  <w:style w:type="paragraph" w:customStyle="1" w:styleId="EndNoteBibliographyTitle">
    <w:name w:val="EndNote Bibliography Title"/>
    <w:basedOn w:val="Normal"/>
    <w:link w:val="EndNoteBibliographyTitleChar"/>
    <w:rsid w:val="00AA74E5"/>
    <w:pPr>
      <w:jc w:val="center"/>
    </w:pPr>
    <w:rPr>
      <w:rFonts w:ascii="Verdana" w:hAnsi="Verdana"/>
      <w:noProof/>
      <w:sz w:val="22"/>
      <w:lang w:val="en-US"/>
    </w:rPr>
  </w:style>
  <w:style w:type="character" w:customStyle="1" w:styleId="EndNoteBibliographyTitleChar">
    <w:name w:val="EndNote Bibliography Title Char"/>
    <w:basedOn w:val="FootnoteTextChar"/>
    <w:link w:val="EndNoteBibliographyTitle"/>
    <w:rsid w:val="00AA74E5"/>
    <w:rPr>
      <w:rFonts w:ascii="Verdana" w:eastAsia="Verdana" w:hAnsi="Verdana" w:cs="Verdana"/>
      <w:noProof/>
      <w:sz w:val="20"/>
      <w:szCs w:val="20"/>
      <w:lang w:val="en-AU"/>
    </w:rPr>
  </w:style>
  <w:style w:type="paragraph" w:customStyle="1" w:styleId="EndNoteBibliography">
    <w:name w:val="EndNote Bibliography"/>
    <w:basedOn w:val="Normal"/>
    <w:link w:val="EndNoteBibliographyChar"/>
    <w:rsid w:val="00AA74E5"/>
    <w:rPr>
      <w:rFonts w:ascii="Verdana" w:hAnsi="Verdana"/>
      <w:noProof/>
      <w:sz w:val="22"/>
      <w:lang w:val="en-US"/>
    </w:rPr>
  </w:style>
  <w:style w:type="character" w:customStyle="1" w:styleId="EndNoteBibliographyChar">
    <w:name w:val="EndNote Bibliography Char"/>
    <w:basedOn w:val="FootnoteTextChar"/>
    <w:link w:val="EndNoteBibliography"/>
    <w:rsid w:val="00AA74E5"/>
    <w:rPr>
      <w:rFonts w:ascii="Verdana" w:eastAsia="Verdana" w:hAnsi="Verdana" w:cs="Verdana"/>
      <w:noProof/>
      <w:sz w:val="20"/>
      <w:szCs w:val="20"/>
      <w:lang w:val="en-AU"/>
    </w:rPr>
  </w:style>
  <w:style w:type="character" w:customStyle="1" w:styleId="BodyTextChar">
    <w:name w:val="Body Text Char"/>
    <w:basedOn w:val="DefaultParagraphFont"/>
    <w:link w:val="BodyText"/>
    <w:uiPriority w:val="1"/>
    <w:rsid w:val="00685AC9"/>
    <w:rPr>
      <w:rFonts w:ascii="Verdana" w:eastAsia="Verdana" w:hAnsi="Verdana" w:cs="Verdana"/>
      <w:lang w:val="en-AU"/>
    </w:rPr>
  </w:style>
  <w:style w:type="character" w:styleId="IntenseEmphasis">
    <w:name w:val="Intense Emphasis"/>
    <w:basedOn w:val="DefaultParagraphFont"/>
    <w:uiPriority w:val="21"/>
    <w:qFormat/>
    <w:rsid w:val="000A09DC"/>
    <w:rPr>
      <w:i/>
      <w:iCs/>
      <w:color w:val="4F81BD" w:themeColor="accent1"/>
    </w:rPr>
  </w:style>
  <w:style w:type="character" w:customStyle="1" w:styleId="Heading2Char">
    <w:name w:val="Heading 2 Char"/>
    <w:basedOn w:val="DefaultParagraphFont"/>
    <w:link w:val="Heading2"/>
    <w:uiPriority w:val="9"/>
    <w:rsid w:val="000A09DC"/>
    <w:rPr>
      <w:rFonts w:asciiTheme="majorHAnsi" w:eastAsiaTheme="majorEastAsia" w:hAnsiTheme="majorHAnsi" w:cstheme="majorBidi"/>
      <w:color w:val="365F91" w:themeColor="accent1" w:themeShade="BF"/>
      <w:sz w:val="26"/>
      <w:szCs w:val="26"/>
      <w:lang w:val="en-AU"/>
    </w:rPr>
  </w:style>
  <w:style w:type="paragraph" w:styleId="BalloonText">
    <w:name w:val="Balloon Text"/>
    <w:basedOn w:val="Normal"/>
    <w:link w:val="BalloonTextChar"/>
    <w:uiPriority w:val="99"/>
    <w:semiHidden/>
    <w:unhideWhenUsed/>
    <w:rsid w:val="00B64C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C65"/>
    <w:rPr>
      <w:rFonts w:ascii="Segoe UI" w:eastAsia="Verdana" w:hAnsi="Segoe UI" w:cs="Segoe UI"/>
      <w:sz w:val="18"/>
      <w:szCs w:val="18"/>
      <w:lang w:val="en-AU"/>
    </w:rPr>
  </w:style>
  <w:style w:type="paragraph" w:styleId="NormalWeb">
    <w:name w:val="Normal (Web)"/>
    <w:basedOn w:val="Normal"/>
    <w:uiPriority w:val="99"/>
    <w:unhideWhenUsed/>
    <w:rsid w:val="00433436"/>
    <w:pPr>
      <w:spacing w:before="100" w:beforeAutospacing="1" w:after="100" w:afterAutospacing="1"/>
      <w:ind w:right="0"/>
    </w:pPr>
    <w:rPr>
      <w:rFonts w:ascii="Times New Roman" w:eastAsia="Times New Roman" w:hAnsi="Times New Roman" w:cs="Times New Roman"/>
      <w:szCs w:val="24"/>
      <w:lang w:eastAsia="en-AU"/>
    </w:rPr>
  </w:style>
  <w:style w:type="paragraph" w:styleId="Header">
    <w:name w:val="header"/>
    <w:basedOn w:val="Normal"/>
    <w:link w:val="HeaderChar"/>
    <w:uiPriority w:val="99"/>
    <w:unhideWhenUsed/>
    <w:rsid w:val="00433436"/>
    <w:pPr>
      <w:tabs>
        <w:tab w:val="center" w:pos="4513"/>
        <w:tab w:val="right" w:pos="9026"/>
      </w:tabs>
    </w:pPr>
  </w:style>
  <w:style w:type="character" w:customStyle="1" w:styleId="HeaderChar">
    <w:name w:val="Header Char"/>
    <w:basedOn w:val="DefaultParagraphFont"/>
    <w:link w:val="Header"/>
    <w:uiPriority w:val="99"/>
    <w:rsid w:val="00433436"/>
    <w:rPr>
      <w:rFonts w:ascii="Verdana" w:eastAsia="Verdana" w:hAnsi="Verdana" w:cs="Verdana"/>
      <w:lang w:val="en-AU"/>
    </w:rPr>
  </w:style>
  <w:style w:type="paragraph" w:styleId="Footer">
    <w:name w:val="footer"/>
    <w:basedOn w:val="Normal"/>
    <w:link w:val="FooterChar"/>
    <w:uiPriority w:val="99"/>
    <w:unhideWhenUsed/>
    <w:rsid w:val="00433436"/>
    <w:pPr>
      <w:tabs>
        <w:tab w:val="center" w:pos="4513"/>
        <w:tab w:val="right" w:pos="9026"/>
      </w:tabs>
    </w:pPr>
  </w:style>
  <w:style w:type="character" w:customStyle="1" w:styleId="FooterChar">
    <w:name w:val="Footer Char"/>
    <w:basedOn w:val="DefaultParagraphFont"/>
    <w:link w:val="Footer"/>
    <w:uiPriority w:val="99"/>
    <w:rsid w:val="00433436"/>
    <w:rPr>
      <w:rFonts w:ascii="Verdana" w:eastAsia="Verdana" w:hAnsi="Verdana" w:cs="Verdana"/>
      <w:lang w:val="en-AU"/>
    </w:rPr>
  </w:style>
  <w:style w:type="character" w:styleId="Hyperlink">
    <w:name w:val="Hyperlink"/>
    <w:basedOn w:val="DefaultParagraphFont"/>
    <w:uiPriority w:val="99"/>
    <w:unhideWhenUsed/>
    <w:rsid w:val="00672904"/>
    <w:rPr>
      <w:color w:val="0000FF"/>
      <w:u w:val="single"/>
    </w:rPr>
  </w:style>
  <w:style w:type="character" w:styleId="FollowedHyperlink">
    <w:name w:val="FollowedHyperlink"/>
    <w:basedOn w:val="DefaultParagraphFont"/>
    <w:uiPriority w:val="99"/>
    <w:semiHidden/>
    <w:unhideWhenUsed/>
    <w:rsid w:val="00A54EFC"/>
    <w:rPr>
      <w:color w:val="800080" w:themeColor="followedHyperlink"/>
      <w:u w:val="single"/>
    </w:rPr>
  </w:style>
  <w:style w:type="table" w:styleId="TableGrid">
    <w:name w:val="Table Grid"/>
    <w:basedOn w:val="TableNormal"/>
    <w:uiPriority w:val="59"/>
    <w:rsid w:val="00A92F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34506E"/>
    <w:rPr>
      <w:color w:val="605E5C"/>
      <w:shd w:val="clear" w:color="auto" w:fill="E1DFDD"/>
    </w:rPr>
  </w:style>
  <w:style w:type="character" w:customStyle="1" w:styleId="Heading3Char">
    <w:name w:val="Heading 3 Char"/>
    <w:basedOn w:val="DefaultParagraphFont"/>
    <w:link w:val="Heading3"/>
    <w:uiPriority w:val="9"/>
    <w:rsid w:val="00AD4757"/>
    <w:rPr>
      <w:rFonts w:asciiTheme="majorHAnsi" w:eastAsiaTheme="majorEastAsia" w:hAnsiTheme="majorHAnsi" w:cstheme="majorBidi"/>
      <w:color w:val="243F60" w:themeColor="accent1" w:themeShade="7F"/>
      <w:sz w:val="24"/>
      <w:szCs w:val="24"/>
      <w:lang w:val="en-AU"/>
    </w:rPr>
  </w:style>
  <w:style w:type="character" w:customStyle="1" w:styleId="Heading4Char">
    <w:name w:val="Heading 4 Char"/>
    <w:basedOn w:val="DefaultParagraphFont"/>
    <w:link w:val="Heading4"/>
    <w:uiPriority w:val="9"/>
    <w:rsid w:val="00650C62"/>
    <w:rPr>
      <w:rFonts w:asciiTheme="majorHAnsi" w:eastAsiaTheme="majorEastAsia" w:hAnsiTheme="majorHAnsi" w:cstheme="majorBidi"/>
      <w:i/>
      <w:iCs/>
      <w:color w:val="365F91" w:themeColor="accent1" w:themeShade="BF"/>
      <w:lang w:val="en-AU"/>
    </w:rPr>
  </w:style>
  <w:style w:type="character" w:customStyle="1" w:styleId="Heading5Char">
    <w:name w:val="Heading 5 Char"/>
    <w:basedOn w:val="DefaultParagraphFont"/>
    <w:link w:val="Heading5"/>
    <w:uiPriority w:val="9"/>
    <w:rsid w:val="00650C62"/>
    <w:rPr>
      <w:rFonts w:asciiTheme="majorHAnsi" w:eastAsiaTheme="majorEastAsia" w:hAnsiTheme="majorHAnsi" w:cstheme="majorBidi"/>
      <w:color w:val="365F91" w:themeColor="accent1" w:themeShade="BF"/>
      <w:lang w:val="en-AU"/>
    </w:rPr>
  </w:style>
  <w:style w:type="paragraph" w:styleId="TOCHeading">
    <w:name w:val="TOC Heading"/>
    <w:basedOn w:val="Heading1"/>
    <w:next w:val="Normal"/>
    <w:uiPriority w:val="39"/>
    <w:unhideWhenUsed/>
    <w:qFormat/>
    <w:rsid w:val="00D94A34"/>
    <w:pPr>
      <w:keepNext/>
      <w:keepLines/>
      <w:spacing w:before="480" w:line="276" w:lineRule="auto"/>
      <w:ind w:left="0" w:right="0" w:firstLine="0"/>
      <w:outlineLvl w:val="9"/>
    </w:pPr>
    <w:rPr>
      <w:rFonts w:asciiTheme="majorHAnsi" w:eastAsiaTheme="majorEastAsia" w:hAnsiTheme="majorHAnsi" w:cstheme="majorBidi"/>
      <w:b/>
      <w:bCs/>
      <w:color w:val="365F91" w:themeColor="accent1" w:themeShade="BF"/>
      <w:szCs w:val="28"/>
      <w:lang w:val="en-US"/>
    </w:rPr>
  </w:style>
  <w:style w:type="paragraph" w:styleId="TOC1">
    <w:name w:val="toc 1"/>
    <w:basedOn w:val="Normal"/>
    <w:next w:val="Normal"/>
    <w:autoRedefine/>
    <w:uiPriority w:val="39"/>
    <w:unhideWhenUsed/>
    <w:rsid w:val="00D94A34"/>
    <w:pPr>
      <w:spacing w:before="120"/>
    </w:pPr>
    <w:rPr>
      <w:rFonts w:cstheme="minorHAnsi"/>
      <w:b/>
      <w:bCs/>
      <w:i/>
      <w:iCs/>
      <w:szCs w:val="24"/>
    </w:rPr>
  </w:style>
  <w:style w:type="paragraph" w:styleId="TOC2">
    <w:name w:val="toc 2"/>
    <w:basedOn w:val="Normal"/>
    <w:next w:val="Normal"/>
    <w:autoRedefine/>
    <w:uiPriority w:val="39"/>
    <w:unhideWhenUsed/>
    <w:rsid w:val="00D94A34"/>
    <w:pPr>
      <w:spacing w:before="120"/>
      <w:ind w:left="240"/>
    </w:pPr>
    <w:rPr>
      <w:rFonts w:cstheme="minorHAnsi"/>
      <w:b/>
      <w:bCs/>
      <w:sz w:val="22"/>
    </w:rPr>
  </w:style>
  <w:style w:type="paragraph" w:styleId="TOC3">
    <w:name w:val="toc 3"/>
    <w:basedOn w:val="Normal"/>
    <w:next w:val="Normal"/>
    <w:autoRedefine/>
    <w:uiPriority w:val="39"/>
    <w:unhideWhenUsed/>
    <w:rsid w:val="00D94A34"/>
    <w:pPr>
      <w:ind w:left="480"/>
    </w:pPr>
    <w:rPr>
      <w:rFonts w:cstheme="minorHAnsi"/>
      <w:sz w:val="20"/>
      <w:szCs w:val="20"/>
    </w:rPr>
  </w:style>
  <w:style w:type="paragraph" w:styleId="TOC4">
    <w:name w:val="toc 4"/>
    <w:basedOn w:val="Normal"/>
    <w:next w:val="Normal"/>
    <w:autoRedefine/>
    <w:uiPriority w:val="39"/>
    <w:semiHidden/>
    <w:unhideWhenUsed/>
    <w:rsid w:val="00D94A34"/>
    <w:pPr>
      <w:ind w:left="720"/>
    </w:pPr>
    <w:rPr>
      <w:rFonts w:cstheme="minorHAnsi"/>
      <w:sz w:val="20"/>
      <w:szCs w:val="20"/>
    </w:rPr>
  </w:style>
  <w:style w:type="paragraph" w:styleId="TOC5">
    <w:name w:val="toc 5"/>
    <w:basedOn w:val="Normal"/>
    <w:next w:val="Normal"/>
    <w:autoRedefine/>
    <w:uiPriority w:val="39"/>
    <w:semiHidden/>
    <w:unhideWhenUsed/>
    <w:rsid w:val="00D94A34"/>
    <w:pPr>
      <w:ind w:left="960"/>
    </w:pPr>
    <w:rPr>
      <w:rFonts w:cstheme="minorHAnsi"/>
      <w:sz w:val="20"/>
      <w:szCs w:val="20"/>
    </w:rPr>
  </w:style>
  <w:style w:type="paragraph" w:styleId="TOC6">
    <w:name w:val="toc 6"/>
    <w:basedOn w:val="Normal"/>
    <w:next w:val="Normal"/>
    <w:autoRedefine/>
    <w:uiPriority w:val="39"/>
    <w:semiHidden/>
    <w:unhideWhenUsed/>
    <w:rsid w:val="00D94A34"/>
    <w:pPr>
      <w:ind w:left="1200"/>
    </w:pPr>
    <w:rPr>
      <w:rFonts w:cstheme="minorHAnsi"/>
      <w:sz w:val="20"/>
      <w:szCs w:val="20"/>
    </w:rPr>
  </w:style>
  <w:style w:type="paragraph" w:styleId="TOC7">
    <w:name w:val="toc 7"/>
    <w:basedOn w:val="Normal"/>
    <w:next w:val="Normal"/>
    <w:autoRedefine/>
    <w:uiPriority w:val="39"/>
    <w:semiHidden/>
    <w:unhideWhenUsed/>
    <w:rsid w:val="00D94A34"/>
    <w:pPr>
      <w:ind w:left="1440"/>
    </w:pPr>
    <w:rPr>
      <w:rFonts w:cstheme="minorHAnsi"/>
      <w:sz w:val="20"/>
      <w:szCs w:val="20"/>
    </w:rPr>
  </w:style>
  <w:style w:type="paragraph" w:styleId="TOC8">
    <w:name w:val="toc 8"/>
    <w:basedOn w:val="Normal"/>
    <w:next w:val="Normal"/>
    <w:autoRedefine/>
    <w:uiPriority w:val="39"/>
    <w:semiHidden/>
    <w:unhideWhenUsed/>
    <w:rsid w:val="00D94A34"/>
    <w:pPr>
      <w:ind w:left="1680"/>
    </w:pPr>
    <w:rPr>
      <w:rFonts w:cstheme="minorHAnsi"/>
      <w:sz w:val="20"/>
      <w:szCs w:val="20"/>
    </w:rPr>
  </w:style>
  <w:style w:type="paragraph" w:styleId="TOC9">
    <w:name w:val="toc 9"/>
    <w:basedOn w:val="Normal"/>
    <w:next w:val="Normal"/>
    <w:autoRedefine/>
    <w:uiPriority w:val="39"/>
    <w:semiHidden/>
    <w:unhideWhenUsed/>
    <w:rsid w:val="00D94A34"/>
    <w:pPr>
      <w:ind w:left="1920"/>
    </w:pPr>
    <w:rPr>
      <w:rFonts w:cstheme="minorHAnsi"/>
      <w:sz w:val="20"/>
      <w:szCs w:val="20"/>
    </w:rPr>
  </w:style>
  <w:style w:type="character" w:styleId="CommentReference">
    <w:name w:val="annotation reference"/>
    <w:basedOn w:val="DefaultParagraphFont"/>
    <w:uiPriority w:val="99"/>
    <w:semiHidden/>
    <w:unhideWhenUsed/>
    <w:rsid w:val="00B21763"/>
    <w:rPr>
      <w:sz w:val="16"/>
      <w:szCs w:val="16"/>
    </w:rPr>
  </w:style>
  <w:style w:type="paragraph" w:styleId="CommentText">
    <w:name w:val="annotation text"/>
    <w:basedOn w:val="Normal"/>
    <w:link w:val="CommentTextChar"/>
    <w:uiPriority w:val="99"/>
    <w:unhideWhenUsed/>
    <w:rsid w:val="00B21763"/>
    <w:rPr>
      <w:sz w:val="20"/>
      <w:szCs w:val="20"/>
    </w:rPr>
  </w:style>
  <w:style w:type="character" w:customStyle="1" w:styleId="CommentTextChar">
    <w:name w:val="Comment Text Char"/>
    <w:basedOn w:val="DefaultParagraphFont"/>
    <w:link w:val="CommentText"/>
    <w:uiPriority w:val="99"/>
    <w:rsid w:val="00B21763"/>
    <w:rPr>
      <w:rFonts w:eastAsia="Verdana" w:cs="Verdana"/>
      <w:sz w:val="20"/>
      <w:szCs w:val="20"/>
      <w:lang w:val="en-AU"/>
    </w:rPr>
  </w:style>
  <w:style w:type="paragraph" w:styleId="CommentSubject">
    <w:name w:val="annotation subject"/>
    <w:basedOn w:val="CommentText"/>
    <w:next w:val="CommentText"/>
    <w:link w:val="CommentSubjectChar"/>
    <w:uiPriority w:val="99"/>
    <w:semiHidden/>
    <w:unhideWhenUsed/>
    <w:rsid w:val="00B21763"/>
    <w:rPr>
      <w:b/>
      <w:bCs/>
    </w:rPr>
  </w:style>
  <w:style w:type="character" w:customStyle="1" w:styleId="CommentSubjectChar">
    <w:name w:val="Comment Subject Char"/>
    <w:basedOn w:val="CommentTextChar"/>
    <w:link w:val="CommentSubject"/>
    <w:uiPriority w:val="99"/>
    <w:semiHidden/>
    <w:rsid w:val="00B21763"/>
    <w:rPr>
      <w:rFonts w:eastAsia="Verdana" w:cs="Verdana"/>
      <w:b/>
      <w:bCs/>
      <w:sz w:val="20"/>
      <w:szCs w:val="20"/>
      <w:lang w:val="en-AU"/>
    </w:rPr>
  </w:style>
  <w:style w:type="paragraph" w:styleId="TableofFigures">
    <w:name w:val="table of figures"/>
    <w:basedOn w:val="Normal"/>
    <w:next w:val="Normal"/>
    <w:uiPriority w:val="99"/>
    <w:unhideWhenUsed/>
    <w:rsid w:val="00A80294"/>
  </w:style>
  <w:style w:type="paragraph" w:customStyle="1" w:styleId="Notes">
    <w:name w:val="Note(s)"/>
    <w:basedOn w:val="Normal"/>
    <w:uiPriority w:val="2"/>
    <w:qFormat/>
    <w:rsid w:val="00BA5723"/>
    <w:pPr>
      <w:tabs>
        <w:tab w:val="left" w:pos="709"/>
      </w:tabs>
      <w:ind w:left="709" w:right="0" w:hanging="709"/>
    </w:pPr>
    <w:rPr>
      <w:rFonts w:eastAsiaTheme="minorEastAsia" w:cstheme="minorBidi"/>
      <w:i/>
      <w:iCs/>
      <w:sz w:val="16"/>
      <w:szCs w:val="18"/>
      <w:lang w:eastAsia="zh-CN"/>
    </w:rPr>
  </w:style>
  <w:style w:type="character" w:customStyle="1" w:styleId="Heading1Char">
    <w:name w:val="Heading 1 Char"/>
    <w:basedOn w:val="DefaultParagraphFont"/>
    <w:link w:val="Heading1"/>
    <w:uiPriority w:val="9"/>
    <w:rsid w:val="00DE4D44"/>
    <w:rPr>
      <w:rFonts w:eastAsia="Verdana" w:cs="Verdana"/>
      <w:sz w:val="28"/>
      <w:szCs w:val="26"/>
      <w:lang w:val="en-AU"/>
    </w:rPr>
  </w:style>
  <w:style w:type="paragraph" w:customStyle="1" w:styleId="CaptionCallout">
    <w:name w:val="Caption Callout"/>
    <w:basedOn w:val="Normal"/>
    <w:qFormat/>
    <w:rsid w:val="00CB770F"/>
    <w:pPr>
      <w:spacing w:line="480" w:lineRule="auto"/>
      <w:ind w:right="0"/>
    </w:pPr>
    <w:rPr>
      <w:rFonts w:eastAsiaTheme="minorHAnsi" w:cstheme="minorBidi"/>
      <w:b/>
      <w:sz w:val="22"/>
      <w:lang w:val="en-US"/>
    </w:rPr>
  </w:style>
  <w:style w:type="paragraph" w:customStyle="1" w:styleId="Default">
    <w:name w:val="Default"/>
    <w:rsid w:val="00CB770F"/>
    <w:pPr>
      <w:autoSpaceDE w:val="0"/>
      <w:autoSpaceDN w:val="0"/>
      <w:adjustRightInd w:val="0"/>
      <w:ind w:right="0"/>
    </w:pPr>
    <w:rPr>
      <w:rFonts w:ascii="Calibri" w:hAnsi="Calibri" w:cs="Calibri"/>
      <w:color w:val="000000"/>
      <w:sz w:val="24"/>
      <w:szCs w:val="24"/>
      <w:lang w:val="en-AU"/>
    </w:rPr>
  </w:style>
  <w:style w:type="character" w:customStyle="1" w:styleId="CharSectno">
    <w:name w:val="CharSectno"/>
    <w:basedOn w:val="DefaultParagraphFont"/>
    <w:qFormat/>
    <w:rsid w:val="00741512"/>
  </w:style>
  <w:style w:type="paragraph" w:customStyle="1" w:styleId="subsection">
    <w:name w:val="subsection"/>
    <w:aliases w:val="ss"/>
    <w:basedOn w:val="Normal"/>
    <w:link w:val="subsectionChar"/>
    <w:rsid w:val="00741512"/>
    <w:pPr>
      <w:tabs>
        <w:tab w:val="right" w:pos="1021"/>
      </w:tabs>
      <w:spacing w:before="180"/>
      <w:ind w:left="1134" w:right="0" w:hanging="1134"/>
    </w:pPr>
    <w:rPr>
      <w:rFonts w:ascii="Times New Roman" w:eastAsia="Times New Roman" w:hAnsi="Times New Roman" w:cs="Times New Roman"/>
      <w:sz w:val="22"/>
      <w:szCs w:val="20"/>
      <w:lang w:eastAsia="en-AU"/>
    </w:rPr>
  </w:style>
  <w:style w:type="paragraph" w:customStyle="1" w:styleId="ActHead5">
    <w:name w:val="ActHead 5"/>
    <w:aliases w:val="s"/>
    <w:basedOn w:val="Normal"/>
    <w:next w:val="subsection"/>
    <w:link w:val="ActHead5Char"/>
    <w:qFormat/>
    <w:rsid w:val="00741512"/>
    <w:pPr>
      <w:keepNext/>
      <w:keepLines/>
      <w:spacing w:before="280"/>
      <w:ind w:left="1134" w:right="0" w:hanging="1134"/>
      <w:outlineLvl w:val="4"/>
    </w:pPr>
    <w:rPr>
      <w:rFonts w:ascii="Times New Roman" w:eastAsia="Times New Roman" w:hAnsi="Times New Roman" w:cs="Times New Roman"/>
      <w:b/>
      <w:kern w:val="28"/>
      <w:szCs w:val="20"/>
      <w:lang w:eastAsia="en-AU"/>
    </w:rPr>
  </w:style>
  <w:style w:type="character" w:customStyle="1" w:styleId="subsectionChar">
    <w:name w:val="subsection Char"/>
    <w:aliases w:val="ss Char"/>
    <w:basedOn w:val="DefaultParagraphFont"/>
    <w:link w:val="subsection"/>
    <w:rsid w:val="00741512"/>
    <w:rPr>
      <w:rFonts w:ascii="Times New Roman" w:eastAsia="Times New Roman" w:hAnsi="Times New Roman" w:cs="Times New Roman"/>
      <w:szCs w:val="20"/>
      <w:lang w:val="en-AU" w:eastAsia="en-AU"/>
    </w:rPr>
  </w:style>
  <w:style w:type="character" w:customStyle="1" w:styleId="ActHead5Char">
    <w:name w:val="ActHead 5 Char"/>
    <w:aliases w:val="s Char"/>
    <w:link w:val="ActHead5"/>
    <w:locked/>
    <w:rsid w:val="00741512"/>
    <w:rPr>
      <w:rFonts w:ascii="Times New Roman" w:eastAsia="Times New Roman" w:hAnsi="Times New Roman" w:cs="Times New Roman"/>
      <w:b/>
      <w:kern w:val="28"/>
      <w:sz w:val="24"/>
      <w:szCs w:val="20"/>
      <w:lang w:val="en-AU" w:eastAsia="en-AU"/>
    </w:rPr>
  </w:style>
  <w:style w:type="character" w:styleId="PlaceholderText">
    <w:name w:val="Placeholder Text"/>
    <w:basedOn w:val="DefaultParagraphFont"/>
    <w:uiPriority w:val="99"/>
    <w:semiHidden/>
    <w:rsid w:val="00861B03"/>
    <w:rPr>
      <w:color w:val="808080"/>
    </w:rPr>
  </w:style>
  <w:style w:type="character" w:styleId="Emphasis">
    <w:name w:val="Emphasis"/>
    <w:basedOn w:val="DefaultParagraphFont"/>
    <w:uiPriority w:val="20"/>
    <w:qFormat/>
    <w:rsid w:val="00D76C71"/>
    <w:rPr>
      <w:i/>
      <w:iCs/>
    </w:rPr>
  </w:style>
  <w:style w:type="paragraph" w:customStyle="1" w:styleId="Text">
    <w:name w:val="Text"/>
    <w:rsid w:val="00A82975"/>
    <w:pPr>
      <w:keepLines/>
      <w:autoSpaceDE w:val="0"/>
      <w:autoSpaceDN w:val="0"/>
      <w:spacing w:before="240"/>
      <w:ind w:left="720" w:right="0"/>
    </w:pPr>
    <w:rPr>
      <w:rFonts w:ascii="Times New Roman" w:eastAsia="Times New Roman" w:hAnsi="Times New Roman" w:cs="Times New Roman"/>
      <w:spacing w:val="-3"/>
      <w:sz w:val="20"/>
      <w:szCs w:val="20"/>
      <w:lang w:val="en-AU" w:eastAsia="en-AU"/>
    </w:rPr>
  </w:style>
  <w:style w:type="character" w:customStyle="1" w:styleId="paragraphChar">
    <w:name w:val="paragraph Char"/>
    <w:aliases w:val="a Char"/>
    <w:basedOn w:val="DefaultParagraphFont"/>
    <w:link w:val="paragraph"/>
    <w:locked/>
    <w:rsid w:val="00BA7B24"/>
    <w:rPr>
      <w:rFonts w:ascii="Times New Roman" w:eastAsia="Times New Roman" w:hAnsi="Times New Roman" w:cs="Times New Roman"/>
      <w:lang w:eastAsia="en-AU"/>
    </w:rPr>
  </w:style>
  <w:style w:type="paragraph" w:customStyle="1" w:styleId="paragraph">
    <w:name w:val="paragraph"/>
    <w:aliases w:val="a"/>
    <w:basedOn w:val="Normal"/>
    <w:link w:val="paragraphChar"/>
    <w:rsid w:val="00BA7B24"/>
    <w:pPr>
      <w:tabs>
        <w:tab w:val="right" w:pos="1531"/>
      </w:tabs>
      <w:spacing w:before="40"/>
      <w:ind w:left="1644" w:right="0" w:hanging="1644"/>
    </w:pPr>
    <w:rPr>
      <w:rFonts w:ascii="Times New Roman" w:eastAsia="Times New Roman" w:hAnsi="Times New Roman" w:cs="Times New Roman"/>
      <w:sz w:val="22"/>
      <w:lang w:val="en-US" w:eastAsia="en-AU"/>
    </w:rPr>
  </w:style>
  <w:style w:type="paragraph" w:customStyle="1" w:styleId="msonormal0">
    <w:name w:val="msonormal"/>
    <w:basedOn w:val="Normal"/>
    <w:rsid w:val="00C3337B"/>
    <w:pPr>
      <w:spacing w:before="100" w:beforeAutospacing="1" w:after="100" w:afterAutospacing="1"/>
      <w:ind w:right="0"/>
    </w:pPr>
    <w:rPr>
      <w:rFonts w:ascii="Times New Roman" w:eastAsiaTheme="minorEastAsia" w:hAnsi="Times New Roman" w:cs="Times New Roman"/>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87951">
      <w:bodyDiv w:val="1"/>
      <w:marLeft w:val="0"/>
      <w:marRight w:val="0"/>
      <w:marTop w:val="0"/>
      <w:marBottom w:val="0"/>
      <w:divBdr>
        <w:top w:val="none" w:sz="0" w:space="0" w:color="auto"/>
        <w:left w:val="none" w:sz="0" w:space="0" w:color="auto"/>
        <w:bottom w:val="none" w:sz="0" w:space="0" w:color="auto"/>
        <w:right w:val="none" w:sz="0" w:space="0" w:color="auto"/>
      </w:divBdr>
      <w:divsChild>
        <w:div w:id="93943499">
          <w:marLeft w:val="480"/>
          <w:marRight w:val="0"/>
          <w:marTop w:val="0"/>
          <w:marBottom w:val="0"/>
          <w:divBdr>
            <w:top w:val="none" w:sz="0" w:space="0" w:color="auto"/>
            <w:left w:val="none" w:sz="0" w:space="0" w:color="auto"/>
            <w:bottom w:val="none" w:sz="0" w:space="0" w:color="auto"/>
            <w:right w:val="none" w:sz="0" w:space="0" w:color="auto"/>
          </w:divBdr>
        </w:div>
        <w:div w:id="546138249">
          <w:marLeft w:val="480"/>
          <w:marRight w:val="0"/>
          <w:marTop w:val="0"/>
          <w:marBottom w:val="0"/>
          <w:divBdr>
            <w:top w:val="none" w:sz="0" w:space="0" w:color="auto"/>
            <w:left w:val="none" w:sz="0" w:space="0" w:color="auto"/>
            <w:bottom w:val="none" w:sz="0" w:space="0" w:color="auto"/>
            <w:right w:val="none" w:sz="0" w:space="0" w:color="auto"/>
          </w:divBdr>
        </w:div>
        <w:div w:id="1380469245">
          <w:marLeft w:val="480"/>
          <w:marRight w:val="0"/>
          <w:marTop w:val="0"/>
          <w:marBottom w:val="0"/>
          <w:divBdr>
            <w:top w:val="none" w:sz="0" w:space="0" w:color="auto"/>
            <w:left w:val="none" w:sz="0" w:space="0" w:color="auto"/>
            <w:bottom w:val="none" w:sz="0" w:space="0" w:color="auto"/>
            <w:right w:val="none" w:sz="0" w:space="0" w:color="auto"/>
          </w:divBdr>
        </w:div>
        <w:div w:id="1914512872">
          <w:marLeft w:val="480"/>
          <w:marRight w:val="0"/>
          <w:marTop w:val="0"/>
          <w:marBottom w:val="0"/>
          <w:divBdr>
            <w:top w:val="none" w:sz="0" w:space="0" w:color="auto"/>
            <w:left w:val="none" w:sz="0" w:space="0" w:color="auto"/>
            <w:bottom w:val="none" w:sz="0" w:space="0" w:color="auto"/>
            <w:right w:val="none" w:sz="0" w:space="0" w:color="auto"/>
          </w:divBdr>
        </w:div>
      </w:divsChild>
    </w:div>
    <w:div w:id="29041362">
      <w:bodyDiv w:val="1"/>
      <w:marLeft w:val="0"/>
      <w:marRight w:val="0"/>
      <w:marTop w:val="0"/>
      <w:marBottom w:val="0"/>
      <w:divBdr>
        <w:top w:val="none" w:sz="0" w:space="0" w:color="auto"/>
        <w:left w:val="none" w:sz="0" w:space="0" w:color="auto"/>
        <w:bottom w:val="none" w:sz="0" w:space="0" w:color="auto"/>
        <w:right w:val="none" w:sz="0" w:space="0" w:color="auto"/>
      </w:divBdr>
    </w:div>
    <w:div w:id="65151108">
      <w:marLeft w:val="480"/>
      <w:marRight w:val="0"/>
      <w:marTop w:val="0"/>
      <w:marBottom w:val="0"/>
      <w:divBdr>
        <w:top w:val="none" w:sz="0" w:space="0" w:color="auto"/>
        <w:left w:val="none" w:sz="0" w:space="0" w:color="auto"/>
        <w:bottom w:val="none" w:sz="0" w:space="0" w:color="auto"/>
        <w:right w:val="none" w:sz="0" w:space="0" w:color="auto"/>
      </w:divBdr>
    </w:div>
    <w:div w:id="71196603">
      <w:bodyDiv w:val="1"/>
      <w:marLeft w:val="0"/>
      <w:marRight w:val="0"/>
      <w:marTop w:val="0"/>
      <w:marBottom w:val="0"/>
      <w:divBdr>
        <w:top w:val="none" w:sz="0" w:space="0" w:color="auto"/>
        <w:left w:val="none" w:sz="0" w:space="0" w:color="auto"/>
        <w:bottom w:val="none" w:sz="0" w:space="0" w:color="auto"/>
        <w:right w:val="none" w:sz="0" w:space="0" w:color="auto"/>
      </w:divBdr>
    </w:div>
    <w:div w:id="96565785">
      <w:marLeft w:val="480"/>
      <w:marRight w:val="0"/>
      <w:marTop w:val="0"/>
      <w:marBottom w:val="0"/>
      <w:divBdr>
        <w:top w:val="none" w:sz="0" w:space="0" w:color="auto"/>
        <w:left w:val="none" w:sz="0" w:space="0" w:color="auto"/>
        <w:bottom w:val="none" w:sz="0" w:space="0" w:color="auto"/>
        <w:right w:val="none" w:sz="0" w:space="0" w:color="auto"/>
      </w:divBdr>
    </w:div>
    <w:div w:id="107896701">
      <w:bodyDiv w:val="1"/>
      <w:marLeft w:val="0"/>
      <w:marRight w:val="0"/>
      <w:marTop w:val="0"/>
      <w:marBottom w:val="0"/>
      <w:divBdr>
        <w:top w:val="none" w:sz="0" w:space="0" w:color="auto"/>
        <w:left w:val="none" w:sz="0" w:space="0" w:color="auto"/>
        <w:bottom w:val="none" w:sz="0" w:space="0" w:color="auto"/>
        <w:right w:val="none" w:sz="0" w:space="0" w:color="auto"/>
      </w:divBdr>
      <w:divsChild>
        <w:div w:id="5838113">
          <w:marLeft w:val="480"/>
          <w:marRight w:val="0"/>
          <w:marTop w:val="0"/>
          <w:marBottom w:val="0"/>
          <w:divBdr>
            <w:top w:val="none" w:sz="0" w:space="0" w:color="auto"/>
            <w:left w:val="none" w:sz="0" w:space="0" w:color="auto"/>
            <w:bottom w:val="none" w:sz="0" w:space="0" w:color="auto"/>
            <w:right w:val="none" w:sz="0" w:space="0" w:color="auto"/>
          </w:divBdr>
        </w:div>
        <w:div w:id="21368042">
          <w:marLeft w:val="480"/>
          <w:marRight w:val="0"/>
          <w:marTop w:val="0"/>
          <w:marBottom w:val="0"/>
          <w:divBdr>
            <w:top w:val="none" w:sz="0" w:space="0" w:color="auto"/>
            <w:left w:val="none" w:sz="0" w:space="0" w:color="auto"/>
            <w:bottom w:val="none" w:sz="0" w:space="0" w:color="auto"/>
            <w:right w:val="none" w:sz="0" w:space="0" w:color="auto"/>
          </w:divBdr>
        </w:div>
        <w:div w:id="157549315">
          <w:marLeft w:val="480"/>
          <w:marRight w:val="0"/>
          <w:marTop w:val="0"/>
          <w:marBottom w:val="0"/>
          <w:divBdr>
            <w:top w:val="none" w:sz="0" w:space="0" w:color="auto"/>
            <w:left w:val="none" w:sz="0" w:space="0" w:color="auto"/>
            <w:bottom w:val="none" w:sz="0" w:space="0" w:color="auto"/>
            <w:right w:val="none" w:sz="0" w:space="0" w:color="auto"/>
          </w:divBdr>
        </w:div>
        <w:div w:id="159002767">
          <w:marLeft w:val="480"/>
          <w:marRight w:val="0"/>
          <w:marTop w:val="0"/>
          <w:marBottom w:val="0"/>
          <w:divBdr>
            <w:top w:val="none" w:sz="0" w:space="0" w:color="auto"/>
            <w:left w:val="none" w:sz="0" w:space="0" w:color="auto"/>
            <w:bottom w:val="none" w:sz="0" w:space="0" w:color="auto"/>
            <w:right w:val="none" w:sz="0" w:space="0" w:color="auto"/>
          </w:divBdr>
        </w:div>
        <w:div w:id="160432582">
          <w:marLeft w:val="480"/>
          <w:marRight w:val="0"/>
          <w:marTop w:val="0"/>
          <w:marBottom w:val="0"/>
          <w:divBdr>
            <w:top w:val="none" w:sz="0" w:space="0" w:color="auto"/>
            <w:left w:val="none" w:sz="0" w:space="0" w:color="auto"/>
            <w:bottom w:val="none" w:sz="0" w:space="0" w:color="auto"/>
            <w:right w:val="none" w:sz="0" w:space="0" w:color="auto"/>
          </w:divBdr>
        </w:div>
        <w:div w:id="200359323">
          <w:marLeft w:val="480"/>
          <w:marRight w:val="0"/>
          <w:marTop w:val="0"/>
          <w:marBottom w:val="0"/>
          <w:divBdr>
            <w:top w:val="none" w:sz="0" w:space="0" w:color="auto"/>
            <w:left w:val="none" w:sz="0" w:space="0" w:color="auto"/>
            <w:bottom w:val="none" w:sz="0" w:space="0" w:color="auto"/>
            <w:right w:val="none" w:sz="0" w:space="0" w:color="auto"/>
          </w:divBdr>
        </w:div>
        <w:div w:id="277489377">
          <w:marLeft w:val="480"/>
          <w:marRight w:val="0"/>
          <w:marTop w:val="0"/>
          <w:marBottom w:val="0"/>
          <w:divBdr>
            <w:top w:val="none" w:sz="0" w:space="0" w:color="auto"/>
            <w:left w:val="none" w:sz="0" w:space="0" w:color="auto"/>
            <w:bottom w:val="none" w:sz="0" w:space="0" w:color="auto"/>
            <w:right w:val="none" w:sz="0" w:space="0" w:color="auto"/>
          </w:divBdr>
        </w:div>
        <w:div w:id="293868952">
          <w:marLeft w:val="480"/>
          <w:marRight w:val="0"/>
          <w:marTop w:val="0"/>
          <w:marBottom w:val="0"/>
          <w:divBdr>
            <w:top w:val="none" w:sz="0" w:space="0" w:color="auto"/>
            <w:left w:val="none" w:sz="0" w:space="0" w:color="auto"/>
            <w:bottom w:val="none" w:sz="0" w:space="0" w:color="auto"/>
            <w:right w:val="none" w:sz="0" w:space="0" w:color="auto"/>
          </w:divBdr>
        </w:div>
        <w:div w:id="320936104">
          <w:marLeft w:val="480"/>
          <w:marRight w:val="0"/>
          <w:marTop w:val="0"/>
          <w:marBottom w:val="0"/>
          <w:divBdr>
            <w:top w:val="none" w:sz="0" w:space="0" w:color="auto"/>
            <w:left w:val="none" w:sz="0" w:space="0" w:color="auto"/>
            <w:bottom w:val="none" w:sz="0" w:space="0" w:color="auto"/>
            <w:right w:val="none" w:sz="0" w:space="0" w:color="auto"/>
          </w:divBdr>
        </w:div>
        <w:div w:id="321736441">
          <w:marLeft w:val="480"/>
          <w:marRight w:val="0"/>
          <w:marTop w:val="0"/>
          <w:marBottom w:val="0"/>
          <w:divBdr>
            <w:top w:val="none" w:sz="0" w:space="0" w:color="auto"/>
            <w:left w:val="none" w:sz="0" w:space="0" w:color="auto"/>
            <w:bottom w:val="none" w:sz="0" w:space="0" w:color="auto"/>
            <w:right w:val="none" w:sz="0" w:space="0" w:color="auto"/>
          </w:divBdr>
        </w:div>
        <w:div w:id="384061910">
          <w:marLeft w:val="480"/>
          <w:marRight w:val="0"/>
          <w:marTop w:val="0"/>
          <w:marBottom w:val="0"/>
          <w:divBdr>
            <w:top w:val="none" w:sz="0" w:space="0" w:color="auto"/>
            <w:left w:val="none" w:sz="0" w:space="0" w:color="auto"/>
            <w:bottom w:val="none" w:sz="0" w:space="0" w:color="auto"/>
            <w:right w:val="none" w:sz="0" w:space="0" w:color="auto"/>
          </w:divBdr>
        </w:div>
        <w:div w:id="458229327">
          <w:marLeft w:val="480"/>
          <w:marRight w:val="0"/>
          <w:marTop w:val="0"/>
          <w:marBottom w:val="0"/>
          <w:divBdr>
            <w:top w:val="none" w:sz="0" w:space="0" w:color="auto"/>
            <w:left w:val="none" w:sz="0" w:space="0" w:color="auto"/>
            <w:bottom w:val="none" w:sz="0" w:space="0" w:color="auto"/>
            <w:right w:val="none" w:sz="0" w:space="0" w:color="auto"/>
          </w:divBdr>
        </w:div>
        <w:div w:id="520126401">
          <w:marLeft w:val="480"/>
          <w:marRight w:val="0"/>
          <w:marTop w:val="0"/>
          <w:marBottom w:val="0"/>
          <w:divBdr>
            <w:top w:val="none" w:sz="0" w:space="0" w:color="auto"/>
            <w:left w:val="none" w:sz="0" w:space="0" w:color="auto"/>
            <w:bottom w:val="none" w:sz="0" w:space="0" w:color="auto"/>
            <w:right w:val="none" w:sz="0" w:space="0" w:color="auto"/>
          </w:divBdr>
        </w:div>
        <w:div w:id="528615208">
          <w:marLeft w:val="480"/>
          <w:marRight w:val="0"/>
          <w:marTop w:val="0"/>
          <w:marBottom w:val="0"/>
          <w:divBdr>
            <w:top w:val="none" w:sz="0" w:space="0" w:color="auto"/>
            <w:left w:val="none" w:sz="0" w:space="0" w:color="auto"/>
            <w:bottom w:val="none" w:sz="0" w:space="0" w:color="auto"/>
            <w:right w:val="none" w:sz="0" w:space="0" w:color="auto"/>
          </w:divBdr>
        </w:div>
        <w:div w:id="801964965">
          <w:marLeft w:val="480"/>
          <w:marRight w:val="0"/>
          <w:marTop w:val="0"/>
          <w:marBottom w:val="0"/>
          <w:divBdr>
            <w:top w:val="none" w:sz="0" w:space="0" w:color="auto"/>
            <w:left w:val="none" w:sz="0" w:space="0" w:color="auto"/>
            <w:bottom w:val="none" w:sz="0" w:space="0" w:color="auto"/>
            <w:right w:val="none" w:sz="0" w:space="0" w:color="auto"/>
          </w:divBdr>
        </w:div>
        <w:div w:id="1086727920">
          <w:marLeft w:val="480"/>
          <w:marRight w:val="0"/>
          <w:marTop w:val="0"/>
          <w:marBottom w:val="0"/>
          <w:divBdr>
            <w:top w:val="none" w:sz="0" w:space="0" w:color="auto"/>
            <w:left w:val="none" w:sz="0" w:space="0" w:color="auto"/>
            <w:bottom w:val="none" w:sz="0" w:space="0" w:color="auto"/>
            <w:right w:val="none" w:sz="0" w:space="0" w:color="auto"/>
          </w:divBdr>
        </w:div>
        <w:div w:id="1205602268">
          <w:marLeft w:val="480"/>
          <w:marRight w:val="0"/>
          <w:marTop w:val="0"/>
          <w:marBottom w:val="0"/>
          <w:divBdr>
            <w:top w:val="none" w:sz="0" w:space="0" w:color="auto"/>
            <w:left w:val="none" w:sz="0" w:space="0" w:color="auto"/>
            <w:bottom w:val="none" w:sz="0" w:space="0" w:color="auto"/>
            <w:right w:val="none" w:sz="0" w:space="0" w:color="auto"/>
          </w:divBdr>
        </w:div>
        <w:div w:id="1460100526">
          <w:marLeft w:val="480"/>
          <w:marRight w:val="0"/>
          <w:marTop w:val="0"/>
          <w:marBottom w:val="0"/>
          <w:divBdr>
            <w:top w:val="none" w:sz="0" w:space="0" w:color="auto"/>
            <w:left w:val="none" w:sz="0" w:space="0" w:color="auto"/>
            <w:bottom w:val="none" w:sz="0" w:space="0" w:color="auto"/>
            <w:right w:val="none" w:sz="0" w:space="0" w:color="auto"/>
          </w:divBdr>
        </w:div>
        <w:div w:id="1499422126">
          <w:marLeft w:val="480"/>
          <w:marRight w:val="0"/>
          <w:marTop w:val="0"/>
          <w:marBottom w:val="0"/>
          <w:divBdr>
            <w:top w:val="none" w:sz="0" w:space="0" w:color="auto"/>
            <w:left w:val="none" w:sz="0" w:space="0" w:color="auto"/>
            <w:bottom w:val="none" w:sz="0" w:space="0" w:color="auto"/>
            <w:right w:val="none" w:sz="0" w:space="0" w:color="auto"/>
          </w:divBdr>
        </w:div>
        <w:div w:id="1685395404">
          <w:marLeft w:val="480"/>
          <w:marRight w:val="0"/>
          <w:marTop w:val="0"/>
          <w:marBottom w:val="0"/>
          <w:divBdr>
            <w:top w:val="none" w:sz="0" w:space="0" w:color="auto"/>
            <w:left w:val="none" w:sz="0" w:space="0" w:color="auto"/>
            <w:bottom w:val="none" w:sz="0" w:space="0" w:color="auto"/>
            <w:right w:val="none" w:sz="0" w:space="0" w:color="auto"/>
          </w:divBdr>
        </w:div>
        <w:div w:id="1706755853">
          <w:marLeft w:val="480"/>
          <w:marRight w:val="0"/>
          <w:marTop w:val="0"/>
          <w:marBottom w:val="0"/>
          <w:divBdr>
            <w:top w:val="none" w:sz="0" w:space="0" w:color="auto"/>
            <w:left w:val="none" w:sz="0" w:space="0" w:color="auto"/>
            <w:bottom w:val="none" w:sz="0" w:space="0" w:color="auto"/>
            <w:right w:val="none" w:sz="0" w:space="0" w:color="auto"/>
          </w:divBdr>
        </w:div>
        <w:div w:id="1869295554">
          <w:marLeft w:val="480"/>
          <w:marRight w:val="0"/>
          <w:marTop w:val="0"/>
          <w:marBottom w:val="0"/>
          <w:divBdr>
            <w:top w:val="none" w:sz="0" w:space="0" w:color="auto"/>
            <w:left w:val="none" w:sz="0" w:space="0" w:color="auto"/>
            <w:bottom w:val="none" w:sz="0" w:space="0" w:color="auto"/>
            <w:right w:val="none" w:sz="0" w:space="0" w:color="auto"/>
          </w:divBdr>
        </w:div>
        <w:div w:id="1979411377">
          <w:marLeft w:val="480"/>
          <w:marRight w:val="0"/>
          <w:marTop w:val="0"/>
          <w:marBottom w:val="0"/>
          <w:divBdr>
            <w:top w:val="none" w:sz="0" w:space="0" w:color="auto"/>
            <w:left w:val="none" w:sz="0" w:space="0" w:color="auto"/>
            <w:bottom w:val="none" w:sz="0" w:space="0" w:color="auto"/>
            <w:right w:val="none" w:sz="0" w:space="0" w:color="auto"/>
          </w:divBdr>
        </w:div>
        <w:div w:id="1988776386">
          <w:marLeft w:val="480"/>
          <w:marRight w:val="0"/>
          <w:marTop w:val="0"/>
          <w:marBottom w:val="0"/>
          <w:divBdr>
            <w:top w:val="none" w:sz="0" w:space="0" w:color="auto"/>
            <w:left w:val="none" w:sz="0" w:space="0" w:color="auto"/>
            <w:bottom w:val="none" w:sz="0" w:space="0" w:color="auto"/>
            <w:right w:val="none" w:sz="0" w:space="0" w:color="auto"/>
          </w:divBdr>
        </w:div>
      </w:divsChild>
    </w:div>
    <w:div w:id="139154716">
      <w:marLeft w:val="480"/>
      <w:marRight w:val="0"/>
      <w:marTop w:val="0"/>
      <w:marBottom w:val="0"/>
      <w:divBdr>
        <w:top w:val="none" w:sz="0" w:space="0" w:color="auto"/>
        <w:left w:val="none" w:sz="0" w:space="0" w:color="auto"/>
        <w:bottom w:val="none" w:sz="0" w:space="0" w:color="auto"/>
        <w:right w:val="none" w:sz="0" w:space="0" w:color="auto"/>
      </w:divBdr>
    </w:div>
    <w:div w:id="165482759">
      <w:marLeft w:val="480"/>
      <w:marRight w:val="0"/>
      <w:marTop w:val="0"/>
      <w:marBottom w:val="0"/>
      <w:divBdr>
        <w:top w:val="none" w:sz="0" w:space="0" w:color="auto"/>
        <w:left w:val="none" w:sz="0" w:space="0" w:color="auto"/>
        <w:bottom w:val="none" w:sz="0" w:space="0" w:color="auto"/>
        <w:right w:val="none" w:sz="0" w:space="0" w:color="auto"/>
      </w:divBdr>
    </w:div>
    <w:div w:id="170149027">
      <w:bodyDiv w:val="1"/>
      <w:marLeft w:val="0"/>
      <w:marRight w:val="0"/>
      <w:marTop w:val="0"/>
      <w:marBottom w:val="0"/>
      <w:divBdr>
        <w:top w:val="none" w:sz="0" w:space="0" w:color="auto"/>
        <w:left w:val="none" w:sz="0" w:space="0" w:color="auto"/>
        <w:bottom w:val="none" w:sz="0" w:space="0" w:color="auto"/>
        <w:right w:val="none" w:sz="0" w:space="0" w:color="auto"/>
      </w:divBdr>
      <w:divsChild>
        <w:div w:id="290134656">
          <w:marLeft w:val="480"/>
          <w:marRight w:val="0"/>
          <w:marTop w:val="0"/>
          <w:marBottom w:val="0"/>
          <w:divBdr>
            <w:top w:val="none" w:sz="0" w:space="0" w:color="auto"/>
            <w:left w:val="none" w:sz="0" w:space="0" w:color="auto"/>
            <w:bottom w:val="none" w:sz="0" w:space="0" w:color="auto"/>
            <w:right w:val="none" w:sz="0" w:space="0" w:color="auto"/>
          </w:divBdr>
        </w:div>
        <w:div w:id="329454167">
          <w:marLeft w:val="480"/>
          <w:marRight w:val="0"/>
          <w:marTop w:val="0"/>
          <w:marBottom w:val="0"/>
          <w:divBdr>
            <w:top w:val="none" w:sz="0" w:space="0" w:color="auto"/>
            <w:left w:val="none" w:sz="0" w:space="0" w:color="auto"/>
            <w:bottom w:val="none" w:sz="0" w:space="0" w:color="auto"/>
            <w:right w:val="none" w:sz="0" w:space="0" w:color="auto"/>
          </w:divBdr>
        </w:div>
        <w:div w:id="396903440">
          <w:marLeft w:val="480"/>
          <w:marRight w:val="0"/>
          <w:marTop w:val="0"/>
          <w:marBottom w:val="0"/>
          <w:divBdr>
            <w:top w:val="none" w:sz="0" w:space="0" w:color="auto"/>
            <w:left w:val="none" w:sz="0" w:space="0" w:color="auto"/>
            <w:bottom w:val="none" w:sz="0" w:space="0" w:color="auto"/>
            <w:right w:val="none" w:sz="0" w:space="0" w:color="auto"/>
          </w:divBdr>
        </w:div>
        <w:div w:id="665018204">
          <w:marLeft w:val="480"/>
          <w:marRight w:val="0"/>
          <w:marTop w:val="0"/>
          <w:marBottom w:val="0"/>
          <w:divBdr>
            <w:top w:val="none" w:sz="0" w:space="0" w:color="auto"/>
            <w:left w:val="none" w:sz="0" w:space="0" w:color="auto"/>
            <w:bottom w:val="none" w:sz="0" w:space="0" w:color="auto"/>
            <w:right w:val="none" w:sz="0" w:space="0" w:color="auto"/>
          </w:divBdr>
        </w:div>
        <w:div w:id="673340996">
          <w:marLeft w:val="480"/>
          <w:marRight w:val="0"/>
          <w:marTop w:val="0"/>
          <w:marBottom w:val="0"/>
          <w:divBdr>
            <w:top w:val="none" w:sz="0" w:space="0" w:color="auto"/>
            <w:left w:val="none" w:sz="0" w:space="0" w:color="auto"/>
            <w:bottom w:val="none" w:sz="0" w:space="0" w:color="auto"/>
            <w:right w:val="none" w:sz="0" w:space="0" w:color="auto"/>
          </w:divBdr>
        </w:div>
        <w:div w:id="736977055">
          <w:marLeft w:val="480"/>
          <w:marRight w:val="0"/>
          <w:marTop w:val="0"/>
          <w:marBottom w:val="0"/>
          <w:divBdr>
            <w:top w:val="none" w:sz="0" w:space="0" w:color="auto"/>
            <w:left w:val="none" w:sz="0" w:space="0" w:color="auto"/>
            <w:bottom w:val="none" w:sz="0" w:space="0" w:color="auto"/>
            <w:right w:val="none" w:sz="0" w:space="0" w:color="auto"/>
          </w:divBdr>
        </w:div>
        <w:div w:id="895891786">
          <w:marLeft w:val="480"/>
          <w:marRight w:val="0"/>
          <w:marTop w:val="0"/>
          <w:marBottom w:val="0"/>
          <w:divBdr>
            <w:top w:val="none" w:sz="0" w:space="0" w:color="auto"/>
            <w:left w:val="none" w:sz="0" w:space="0" w:color="auto"/>
            <w:bottom w:val="none" w:sz="0" w:space="0" w:color="auto"/>
            <w:right w:val="none" w:sz="0" w:space="0" w:color="auto"/>
          </w:divBdr>
        </w:div>
        <w:div w:id="1048725886">
          <w:marLeft w:val="480"/>
          <w:marRight w:val="0"/>
          <w:marTop w:val="0"/>
          <w:marBottom w:val="0"/>
          <w:divBdr>
            <w:top w:val="none" w:sz="0" w:space="0" w:color="auto"/>
            <w:left w:val="none" w:sz="0" w:space="0" w:color="auto"/>
            <w:bottom w:val="none" w:sz="0" w:space="0" w:color="auto"/>
            <w:right w:val="none" w:sz="0" w:space="0" w:color="auto"/>
          </w:divBdr>
        </w:div>
        <w:div w:id="1074278591">
          <w:marLeft w:val="480"/>
          <w:marRight w:val="0"/>
          <w:marTop w:val="0"/>
          <w:marBottom w:val="0"/>
          <w:divBdr>
            <w:top w:val="none" w:sz="0" w:space="0" w:color="auto"/>
            <w:left w:val="none" w:sz="0" w:space="0" w:color="auto"/>
            <w:bottom w:val="none" w:sz="0" w:space="0" w:color="auto"/>
            <w:right w:val="none" w:sz="0" w:space="0" w:color="auto"/>
          </w:divBdr>
        </w:div>
        <w:div w:id="1096290968">
          <w:marLeft w:val="480"/>
          <w:marRight w:val="0"/>
          <w:marTop w:val="0"/>
          <w:marBottom w:val="0"/>
          <w:divBdr>
            <w:top w:val="none" w:sz="0" w:space="0" w:color="auto"/>
            <w:left w:val="none" w:sz="0" w:space="0" w:color="auto"/>
            <w:bottom w:val="none" w:sz="0" w:space="0" w:color="auto"/>
            <w:right w:val="none" w:sz="0" w:space="0" w:color="auto"/>
          </w:divBdr>
        </w:div>
        <w:div w:id="1282685280">
          <w:marLeft w:val="480"/>
          <w:marRight w:val="0"/>
          <w:marTop w:val="0"/>
          <w:marBottom w:val="0"/>
          <w:divBdr>
            <w:top w:val="none" w:sz="0" w:space="0" w:color="auto"/>
            <w:left w:val="none" w:sz="0" w:space="0" w:color="auto"/>
            <w:bottom w:val="none" w:sz="0" w:space="0" w:color="auto"/>
            <w:right w:val="none" w:sz="0" w:space="0" w:color="auto"/>
          </w:divBdr>
        </w:div>
        <w:div w:id="1357468468">
          <w:marLeft w:val="480"/>
          <w:marRight w:val="0"/>
          <w:marTop w:val="0"/>
          <w:marBottom w:val="0"/>
          <w:divBdr>
            <w:top w:val="none" w:sz="0" w:space="0" w:color="auto"/>
            <w:left w:val="none" w:sz="0" w:space="0" w:color="auto"/>
            <w:bottom w:val="none" w:sz="0" w:space="0" w:color="auto"/>
            <w:right w:val="none" w:sz="0" w:space="0" w:color="auto"/>
          </w:divBdr>
        </w:div>
        <w:div w:id="1637569528">
          <w:marLeft w:val="480"/>
          <w:marRight w:val="0"/>
          <w:marTop w:val="0"/>
          <w:marBottom w:val="0"/>
          <w:divBdr>
            <w:top w:val="none" w:sz="0" w:space="0" w:color="auto"/>
            <w:left w:val="none" w:sz="0" w:space="0" w:color="auto"/>
            <w:bottom w:val="none" w:sz="0" w:space="0" w:color="auto"/>
            <w:right w:val="none" w:sz="0" w:space="0" w:color="auto"/>
          </w:divBdr>
        </w:div>
        <w:div w:id="1664969805">
          <w:marLeft w:val="480"/>
          <w:marRight w:val="0"/>
          <w:marTop w:val="0"/>
          <w:marBottom w:val="0"/>
          <w:divBdr>
            <w:top w:val="none" w:sz="0" w:space="0" w:color="auto"/>
            <w:left w:val="none" w:sz="0" w:space="0" w:color="auto"/>
            <w:bottom w:val="none" w:sz="0" w:space="0" w:color="auto"/>
            <w:right w:val="none" w:sz="0" w:space="0" w:color="auto"/>
          </w:divBdr>
        </w:div>
        <w:div w:id="1676690018">
          <w:marLeft w:val="480"/>
          <w:marRight w:val="0"/>
          <w:marTop w:val="0"/>
          <w:marBottom w:val="0"/>
          <w:divBdr>
            <w:top w:val="none" w:sz="0" w:space="0" w:color="auto"/>
            <w:left w:val="none" w:sz="0" w:space="0" w:color="auto"/>
            <w:bottom w:val="none" w:sz="0" w:space="0" w:color="auto"/>
            <w:right w:val="none" w:sz="0" w:space="0" w:color="auto"/>
          </w:divBdr>
        </w:div>
        <w:div w:id="1794396942">
          <w:marLeft w:val="480"/>
          <w:marRight w:val="0"/>
          <w:marTop w:val="0"/>
          <w:marBottom w:val="0"/>
          <w:divBdr>
            <w:top w:val="none" w:sz="0" w:space="0" w:color="auto"/>
            <w:left w:val="none" w:sz="0" w:space="0" w:color="auto"/>
            <w:bottom w:val="none" w:sz="0" w:space="0" w:color="auto"/>
            <w:right w:val="none" w:sz="0" w:space="0" w:color="auto"/>
          </w:divBdr>
        </w:div>
        <w:div w:id="1869024984">
          <w:marLeft w:val="480"/>
          <w:marRight w:val="0"/>
          <w:marTop w:val="0"/>
          <w:marBottom w:val="0"/>
          <w:divBdr>
            <w:top w:val="none" w:sz="0" w:space="0" w:color="auto"/>
            <w:left w:val="none" w:sz="0" w:space="0" w:color="auto"/>
            <w:bottom w:val="none" w:sz="0" w:space="0" w:color="auto"/>
            <w:right w:val="none" w:sz="0" w:space="0" w:color="auto"/>
          </w:divBdr>
        </w:div>
        <w:div w:id="1903710352">
          <w:marLeft w:val="480"/>
          <w:marRight w:val="0"/>
          <w:marTop w:val="0"/>
          <w:marBottom w:val="0"/>
          <w:divBdr>
            <w:top w:val="none" w:sz="0" w:space="0" w:color="auto"/>
            <w:left w:val="none" w:sz="0" w:space="0" w:color="auto"/>
            <w:bottom w:val="none" w:sz="0" w:space="0" w:color="auto"/>
            <w:right w:val="none" w:sz="0" w:space="0" w:color="auto"/>
          </w:divBdr>
        </w:div>
        <w:div w:id="1921790303">
          <w:marLeft w:val="480"/>
          <w:marRight w:val="0"/>
          <w:marTop w:val="0"/>
          <w:marBottom w:val="0"/>
          <w:divBdr>
            <w:top w:val="none" w:sz="0" w:space="0" w:color="auto"/>
            <w:left w:val="none" w:sz="0" w:space="0" w:color="auto"/>
            <w:bottom w:val="none" w:sz="0" w:space="0" w:color="auto"/>
            <w:right w:val="none" w:sz="0" w:space="0" w:color="auto"/>
          </w:divBdr>
        </w:div>
        <w:div w:id="2004702183">
          <w:marLeft w:val="480"/>
          <w:marRight w:val="0"/>
          <w:marTop w:val="0"/>
          <w:marBottom w:val="0"/>
          <w:divBdr>
            <w:top w:val="none" w:sz="0" w:space="0" w:color="auto"/>
            <w:left w:val="none" w:sz="0" w:space="0" w:color="auto"/>
            <w:bottom w:val="none" w:sz="0" w:space="0" w:color="auto"/>
            <w:right w:val="none" w:sz="0" w:space="0" w:color="auto"/>
          </w:divBdr>
        </w:div>
        <w:div w:id="2048066440">
          <w:marLeft w:val="480"/>
          <w:marRight w:val="0"/>
          <w:marTop w:val="0"/>
          <w:marBottom w:val="0"/>
          <w:divBdr>
            <w:top w:val="none" w:sz="0" w:space="0" w:color="auto"/>
            <w:left w:val="none" w:sz="0" w:space="0" w:color="auto"/>
            <w:bottom w:val="none" w:sz="0" w:space="0" w:color="auto"/>
            <w:right w:val="none" w:sz="0" w:space="0" w:color="auto"/>
          </w:divBdr>
        </w:div>
        <w:div w:id="2078018496">
          <w:marLeft w:val="480"/>
          <w:marRight w:val="0"/>
          <w:marTop w:val="0"/>
          <w:marBottom w:val="0"/>
          <w:divBdr>
            <w:top w:val="none" w:sz="0" w:space="0" w:color="auto"/>
            <w:left w:val="none" w:sz="0" w:space="0" w:color="auto"/>
            <w:bottom w:val="none" w:sz="0" w:space="0" w:color="auto"/>
            <w:right w:val="none" w:sz="0" w:space="0" w:color="auto"/>
          </w:divBdr>
        </w:div>
        <w:div w:id="2134325205">
          <w:marLeft w:val="480"/>
          <w:marRight w:val="0"/>
          <w:marTop w:val="0"/>
          <w:marBottom w:val="0"/>
          <w:divBdr>
            <w:top w:val="none" w:sz="0" w:space="0" w:color="auto"/>
            <w:left w:val="none" w:sz="0" w:space="0" w:color="auto"/>
            <w:bottom w:val="none" w:sz="0" w:space="0" w:color="auto"/>
            <w:right w:val="none" w:sz="0" w:space="0" w:color="auto"/>
          </w:divBdr>
        </w:div>
      </w:divsChild>
    </w:div>
    <w:div w:id="185992603">
      <w:bodyDiv w:val="1"/>
      <w:marLeft w:val="0"/>
      <w:marRight w:val="0"/>
      <w:marTop w:val="0"/>
      <w:marBottom w:val="0"/>
      <w:divBdr>
        <w:top w:val="none" w:sz="0" w:space="0" w:color="auto"/>
        <w:left w:val="none" w:sz="0" w:space="0" w:color="auto"/>
        <w:bottom w:val="none" w:sz="0" w:space="0" w:color="auto"/>
        <w:right w:val="none" w:sz="0" w:space="0" w:color="auto"/>
      </w:divBdr>
    </w:div>
    <w:div w:id="204947157">
      <w:bodyDiv w:val="1"/>
      <w:marLeft w:val="0"/>
      <w:marRight w:val="0"/>
      <w:marTop w:val="0"/>
      <w:marBottom w:val="0"/>
      <w:divBdr>
        <w:top w:val="none" w:sz="0" w:space="0" w:color="auto"/>
        <w:left w:val="none" w:sz="0" w:space="0" w:color="auto"/>
        <w:bottom w:val="none" w:sz="0" w:space="0" w:color="auto"/>
        <w:right w:val="none" w:sz="0" w:space="0" w:color="auto"/>
      </w:divBdr>
      <w:divsChild>
        <w:div w:id="22901694">
          <w:marLeft w:val="480"/>
          <w:marRight w:val="0"/>
          <w:marTop w:val="0"/>
          <w:marBottom w:val="0"/>
          <w:divBdr>
            <w:top w:val="none" w:sz="0" w:space="0" w:color="auto"/>
            <w:left w:val="none" w:sz="0" w:space="0" w:color="auto"/>
            <w:bottom w:val="none" w:sz="0" w:space="0" w:color="auto"/>
            <w:right w:val="none" w:sz="0" w:space="0" w:color="auto"/>
          </w:divBdr>
        </w:div>
        <w:div w:id="85536555">
          <w:marLeft w:val="480"/>
          <w:marRight w:val="0"/>
          <w:marTop w:val="0"/>
          <w:marBottom w:val="0"/>
          <w:divBdr>
            <w:top w:val="none" w:sz="0" w:space="0" w:color="auto"/>
            <w:left w:val="none" w:sz="0" w:space="0" w:color="auto"/>
            <w:bottom w:val="none" w:sz="0" w:space="0" w:color="auto"/>
            <w:right w:val="none" w:sz="0" w:space="0" w:color="auto"/>
          </w:divBdr>
        </w:div>
        <w:div w:id="380981820">
          <w:marLeft w:val="480"/>
          <w:marRight w:val="0"/>
          <w:marTop w:val="0"/>
          <w:marBottom w:val="0"/>
          <w:divBdr>
            <w:top w:val="none" w:sz="0" w:space="0" w:color="auto"/>
            <w:left w:val="none" w:sz="0" w:space="0" w:color="auto"/>
            <w:bottom w:val="none" w:sz="0" w:space="0" w:color="auto"/>
            <w:right w:val="none" w:sz="0" w:space="0" w:color="auto"/>
          </w:divBdr>
        </w:div>
        <w:div w:id="426730099">
          <w:marLeft w:val="480"/>
          <w:marRight w:val="0"/>
          <w:marTop w:val="0"/>
          <w:marBottom w:val="0"/>
          <w:divBdr>
            <w:top w:val="none" w:sz="0" w:space="0" w:color="auto"/>
            <w:left w:val="none" w:sz="0" w:space="0" w:color="auto"/>
            <w:bottom w:val="none" w:sz="0" w:space="0" w:color="auto"/>
            <w:right w:val="none" w:sz="0" w:space="0" w:color="auto"/>
          </w:divBdr>
        </w:div>
        <w:div w:id="533931918">
          <w:marLeft w:val="480"/>
          <w:marRight w:val="0"/>
          <w:marTop w:val="0"/>
          <w:marBottom w:val="0"/>
          <w:divBdr>
            <w:top w:val="none" w:sz="0" w:space="0" w:color="auto"/>
            <w:left w:val="none" w:sz="0" w:space="0" w:color="auto"/>
            <w:bottom w:val="none" w:sz="0" w:space="0" w:color="auto"/>
            <w:right w:val="none" w:sz="0" w:space="0" w:color="auto"/>
          </w:divBdr>
        </w:div>
        <w:div w:id="686832519">
          <w:marLeft w:val="480"/>
          <w:marRight w:val="0"/>
          <w:marTop w:val="0"/>
          <w:marBottom w:val="0"/>
          <w:divBdr>
            <w:top w:val="none" w:sz="0" w:space="0" w:color="auto"/>
            <w:left w:val="none" w:sz="0" w:space="0" w:color="auto"/>
            <w:bottom w:val="none" w:sz="0" w:space="0" w:color="auto"/>
            <w:right w:val="none" w:sz="0" w:space="0" w:color="auto"/>
          </w:divBdr>
        </w:div>
        <w:div w:id="1007757079">
          <w:marLeft w:val="480"/>
          <w:marRight w:val="0"/>
          <w:marTop w:val="0"/>
          <w:marBottom w:val="0"/>
          <w:divBdr>
            <w:top w:val="none" w:sz="0" w:space="0" w:color="auto"/>
            <w:left w:val="none" w:sz="0" w:space="0" w:color="auto"/>
            <w:bottom w:val="none" w:sz="0" w:space="0" w:color="auto"/>
            <w:right w:val="none" w:sz="0" w:space="0" w:color="auto"/>
          </w:divBdr>
        </w:div>
        <w:div w:id="1033194916">
          <w:marLeft w:val="480"/>
          <w:marRight w:val="0"/>
          <w:marTop w:val="0"/>
          <w:marBottom w:val="0"/>
          <w:divBdr>
            <w:top w:val="none" w:sz="0" w:space="0" w:color="auto"/>
            <w:left w:val="none" w:sz="0" w:space="0" w:color="auto"/>
            <w:bottom w:val="none" w:sz="0" w:space="0" w:color="auto"/>
            <w:right w:val="none" w:sz="0" w:space="0" w:color="auto"/>
          </w:divBdr>
        </w:div>
        <w:div w:id="1037699051">
          <w:marLeft w:val="480"/>
          <w:marRight w:val="0"/>
          <w:marTop w:val="0"/>
          <w:marBottom w:val="0"/>
          <w:divBdr>
            <w:top w:val="none" w:sz="0" w:space="0" w:color="auto"/>
            <w:left w:val="none" w:sz="0" w:space="0" w:color="auto"/>
            <w:bottom w:val="none" w:sz="0" w:space="0" w:color="auto"/>
            <w:right w:val="none" w:sz="0" w:space="0" w:color="auto"/>
          </w:divBdr>
        </w:div>
        <w:div w:id="1141582768">
          <w:marLeft w:val="480"/>
          <w:marRight w:val="0"/>
          <w:marTop w:val="0"/>
          <w:marBottom w:val="0"/>
          <w:divBdr>
            <w:top w:val="none" w:sz="0" w:space="0" w:color="auto"/>
            <w:left w:val="none" w:sz="0" w:space="0" w:color="auto"/>
            <w:bottom w:val="none" w:sz="0" w:space="0" w:color="auto"/>
            <w:right w:val="none" w:sz="0" w:space="0" w:color="auto"/>
          </w:divBdr>
        </w:div>
        <w:div w:id="1513836647">
          <w:marLeft w:val="480"/>
          <w:marRight w:val="0"/>
          <w:marTop w:val="0"/>
          <w:marBottom w:val="0"/>
          <w:divBdr>
            <w:top w:val="none" w:sz="0" w:space="0" w:color="auto"/>
            <w:left w:val="none" w:sz="0" w:space="0" w:color="auto"/>
            <w:bottom w:val="none" w:sz="0" w:space="0" w:color="auto"/>
            <w:right w:val="none" w:sz="0" w:space="0" w:color="auto"/>
          </w:divBdr>
        </w:div>
        <w:div w:id="1836258397">
          <w:marLeft w:val="480"/>
          <w:marRight w:val="0"/>
          <w:marTop w:val="0"/>
          <w:marBottom w:val="0"/>
          <w:divBdr>
            <w:top w:val="none" w:sz="0" w:space="0" w:color="auto"/>
            <w:left w:val="none" w:sz="0" w:space="0" w:color="auto"/>
            <w:bottom w:val="none" w:sz="0" w:space="0" w:color="auto"/>
            <w:right w:val="none" w:sz="0" w:space="0" w:color="auto"/>
          </w:divBdr>
        </w:div>
        <w:div w:id="1901593177">
          <w:marLeft w:val="480"/>
          <w:marRight w:val="0"/>
          <w:marTop w:val="0"/>
          <w:marBottom w:val="0"/>
          <w:divBdr>
            <w:top w:val="none" w:sz="0" w:space="0" w:color="auto"/>
            <w:left w:val="none" w:sz="0" w:space="0" w:color="auto"/>
            <w:bottom w:val="none" w:sz="0" w:space="0" w:color="auto"/>
            <w:right w:val="none" w:sz="0" w:space="0" w:color="auto"/>
          </w:divBdr>
        </w:div>
        <w:div w:id="2015375509">
          <w:marLeft w:val="480"/>
          <w:marRight w:val="0"/>
          <w:marTop w:val="0"/>
          <w:marBottom w:val="0"/>
          <w:divBdr>
            <w:top w:val="none" w:sz="0" w:space="0" w:color="auto"/>
            <w:left w:val="none" w:sz="0" w:space="0" w:color="auto"/>
            <w:bottom w:val="none" w:sz="0" w:space="0" w:color="auto"/>
            <w:right w:val="none" w:sz="0" w:space="0" w:color="auto"/>
          </w:divBdr>
        </w:div>
        <w:div w:id="2037460531">
          <w:marLeft w:val="480"/>
          <w:marRight w:val="0"/>
          <w:marTop w:val="0"/>
          <w:marBottom w:val="0"/>
          <w:divBdr>
            <w:top w:val="none" w:sz="0" w:space="0" w:color="auto"/>
            <w:left w:val="none" w:sz="0" w:space="0" w:color="auto"/>
            <w:bottom w:val="none" w:sz="0" w:space="0" w:color="auto"/>
            <w:right w:val="none" w:sz="0" w:space="0" w:color="auto"/>
          </w:divBdr>
        </w:div>
      </w:divsChild>
    </w:div>
    <w:div w:id="216547471">
      <w:bodyDiv w:val="1"/>
      <w:marLeft w:val="0"/>
      <w:marRight w:val="0"/>
      <w:marTop w:val="0"/>
      <w:marBottom w:val="0"/>
      <w:divBdr>
        <w:top w:val="none" w:sz="0" w:space="0" w:color="auto"/>
        <w:left w:val="none" w:sz="0" w:space="0" w:color="auto"/>
        <w:bottom w:val="none" w:sz="0" w:space="0" w:color="auto"/>
        <w:right w:val="none" w:sz="0" w:space="0" w:color="auto"/>
      </w:divBdr>
      <w:divsChild>
        <w:div w:id="32079522">
          <w:marLeft w:val="480"/>
          <w:marRight w:val="0"/>
          <w:marTop w:val="0"/>
          <w:marBottom w:val="0"/>
          <w:divBdr>
            <w:top w:val="none" w:sz="0" w:space="0" w:color="auto"/>
            <w:left w:val="none" w:sz="0" w:space="0" w:color="auto"/>
            <w:bottom w:val="none" w:sz="0" w:space="0" w:color="auto"/>
            <w:right w:val="none" w:sz="0" w:space="0" w:color="auto"/>
          </w:divBdr>
        </w:div>
        <w:div w:id="40638005">
          <w:marLeft w:val="480"/>
          <w:marRight w:val="0"/>
          <w:marTop w:val="0"/>
          <w:marBottom w:val="0"/>
          <w:divBdr>
            <w:top w:val="none" w:sz="0" w:space="0" w:color="auto"/>
            <w:left w:val="none" w:sz="0" w:space="0" w:color="auto"/>
            <w:bottom w:val="none" w:sz="0" w:space="0" w:color="auto"/>
            <w:right w:val="none" w:sz="0" w:space="0" w:color="auto"/>
          </w:divBdr>
        </w:div>
        <w:div w:id="53818606">
          <w:marLeft w:val="480"/>
          <w:marRight w:val="0"/>
          <w:marTop w:val="0"/>
          <w:marBottom w:val="0"/>
          <w:divBdr>
            <w:top w:val="none" w:sz="0" w:space="0" w:color="auto"/>
            <w:left w:val="none" w:sz="0" w:space="0" w:color="auto"/>
            <w:bottom w:val="none" w:sz="0" w:space="0" w:color="auto"/>
            <w:right w:val="none" w:sz="0" w:space="0" w:color="auto"/>
          </w:divBdr>
        </w:div>
        <w:div w:id="64499093">
          <w:marLeft w:val="480"/>
          <w:marRight w:val="0"/>
          <w:marTop w:val="0"/>
          <w:marBottom w:val="0"/>
          <w:divBdr>
            <w:top w:val="none" w:sz="0" w:space="0" w:color="auto"/>
            <w:left w:val="none" w:sz="0" w:space="0" w:color="auto"/>
            <w:bottom w:val="none" w:sz="0" w:space="0" w:color="auto"/>
            <w:right w:val="none" w:sz="0" w:space="0" w:color="auto"/>
          </w:divBdr>
        </w:div>
        <w:div w:id="234895919">
          <w:marLeft w:val="480"/>
          <w:marRight w:val="0"/>
          <w:marTop w:val="0"/>
          <w:marBottom w:val="0"/>
          <w:divBdr>
            <w:top w:val="none" w:sz="0" w:space="0" w:color="auto"/>
            <w:left w:val="none" w:sz="0" w:space="0" w:color="auto"/>
            <w:bottom w:val="none" w:sz="0" w:space="0" w:color="auto"/>
            <w:right w:val="none" w:sz="0" w:space="0" w:color="auto"/>
          </w:divBdr>
        </w:div>
        <w:div w:id="484710448">
          <w:marLeft w:val="480"/>
          <w:marRight w:val="0"/>
          <w:marTop w:val="0"/>
          <w:marBottom w:val="0"/>
          <w:divBdr>
            <w:top w:val="none" w:sz="0" w:space="0" w:color="auto"/>
            <w:left w:val="none" w:sz="0" w:space="0" w:color="auto"/>
            <w:bottom w:val="none" w:sz="0" w:space="0" w:color="auto"/>
            <w:right w:val="none" w:sz="0" w:space="0" w:color="auto"/>
          </w:divBdr>
        </w:div>
        <w:div w:id="501047764">
          <w:marLeft w:val="480"/>
          <w:marRight w:val="0"/>
          <w:marTop w:val="0"/>
          <w:marBottom w:val="0"/>
          <w:divBdr>
            <w:top w:val="none" w:sz="0" w:space="0" w:color="auto"/>
            <w:left w:val="none" w:sz="0" w:space="0" w:color="auto"/>
            <w:bottom w:val="none" w:sz="0" w:space="0" w:color="auto"/>
            <w:right w:val="none" w:sz="0" w:space="0" w:color="auto"/>
          </w:divBdr>
        </w:div>
        <w:div w:id="591623184">
          <w:marLeft w:val="480"/>
          <w:marRight w:val="0"/>
          <w:marTop w:val="0"/>
          <w:marBottom w:val="0"/>
          <w:divBdr>
            <w:top w:val="none" w:sz="0" w:space="0" w:color="auto"/>
            <w:left w:val="none" w:sz="0" w:space="0" w:color="auto"/>
            <w:bottom w:val="none" w:sz="0" w:space="0" w:color="auto"/>
            <w:right w:val="none" w:sz="0" w:space="0" w:color="auto"/>
          </w:divBdr>
        </w:div>
        <w:div w:id="635136362">
          <w:marLeft w:val="480"/>
          <w:marRight w:val="0"/>
          <w:marTop w:val="0"/>
          <w:marBottom w:val="0"/>
          <w:divBdr>
            <w:top w:val="none" w:sz="0" w:space="0" w:color="auto"/>
            <w:left w:val="none" w:sz="0" w:space="0" w:color="auto"/>
            <w:bottom w:val="none" w:sz="0" w:space="0" w:color="auto"/>
            <w:right w:val="none" w:sz="0" w:space="0" w:color="auto"/>
          </w:divBdr>
        </w:div>
        <w:div w:id="860897711">
          <w:marLeft w:val="480"/>
          <w:marRight w:val="0"/>
          <w:marTop w:val="0"/>
          <w:marBottom w:val="0"/>
          <w:divBdr>
            <w:top w:val="none" w:sz="0" w:space="0" w:color="auto"/>
            <w:left w:val="none" w:sz="0" w:space="0" w:color="auto"/>
            <w:bottom w:val="none" w:sz="0" w:space="0" w:color="auto"/>
            <w:right w:val="none" w:sz="0" w:space="0" w:color="auto"/>
          </w:divBdr>
        </w:div>
        <w:div w:id="940574182">
          <w:marLeft w:val="480"/>
          <w:marRight w:val="0"/>
          <w:marTop w:val="0"/>
          <w:marBottom w:val="0"/>
          <w:divBdr>
            <w:top w:val="none" w:sz="0" w:space="0" w:color="auto"/>
            <w:left w:val="none" w:sz="0" w:space="0" w:color="auto"/>
            <w:bottom w:val="none" w:sz="0" w:space="0" w:color="auto"/>
            <w:right w:val="none" w:sz="0" w:space="0" w:color="auto"/>
          </w:divBdr>
        </w:div>
        <w:div w:id="967508642">
          <w:marLeft w:val="480"/>
          <w:marRight w:val="0"/>
          <w:marTop w:val="0"/>
          <w:marBottom w:val="0"/>
          <w:divBdr>
            <w:top w:val="none" w:sz="0" w:space="0" w:color="auto"/>
            <w:left w:val="none" w:sz="0" w:space="0" w:color="auto"/>
            <w:bottom w:val="none" w:sz="0" w:space="0" w:color="auto"/>
            <w:right w:val="none" w:sz="0" w:space="0" w:color="auto"/>
          </w:divBdr>
        </w:div>
        <w:div w:id="1016538080">
          <w:marLeft w:val="480"/>
          <w:marRight w:val="0"/>
          <w:marTop w:val="0"/>
          <w:marBottom w:val="0"/>
          <w:divBdr>
            <w:top w:val="none" w:sz="0" w:space="0" w:color="auto"/>
            <w:left w:val="none" w:sz="0" w:space="0" w:color="auto"/>
            <w:bottom w:val="none" w:sz="0" w:space="0" w:color="auto"/>
            <w:right w:val="none" w:sz="0" w:space="0" w:color="auto"/>
          </w:divBdr>
        </w:div>
        <w:div w:id="1059666285">
          <w:marLeft w:val="480"/>
          <w:marRight w:val="0"/>
          <w:marTop w:val="0"/>
          <w:marBottom w:val="0"/>
          <w:divBdr>
            <w:top w:val="none" w:sz="0" w:space="0" w:color="auto"/>
            <w:left w:val="none" w:sz="0" w:space="0" w:color="auto"/>
            <w:bottom w:val="none" w:sz="0" w:space="0" w:color="auto"/>
            <w:right w:val="none" w:sz="0" w:space="0" w:color="auto"/>
          </w:divBdr>
        </w:div>
        <w:div w:id="1104954413">
          <w:marLeft w:val="480"/>
          <w:marRight w:val="0"/>
          <w:marTop w:val="0"/>
          <w:marBottom w:val="0"/>
          <w:divBdr>
            <w:top w:val="none" w:sz="0" w:space="0" w:color="auto"/>
            <w:left w:val="none" w:sz="0" w:space="0" w:color="auto"/>
            <w:bottom w:val="none" w:sz="0" w:space="0" w:color="auto"/>
            <w:right w:val="none" w:sz="0" w:space="0" w:color="auto"/>
          </w:divBdr>
        </w:div>
        <w:div w:id="1154488982">
          <w:marLeft w:val="480"/>
          <w:marRight w:val="0"/>
          <w:marTop w:val="0"/>
          <w:marBottom w:val="0"/>
          <w:divBdr>
            <w:top w:val="none" w:sz="0" w:space="0" w:color="auto"/>
            <w:left w:val="none" w:sz="0" w:space="0" w:color="auto"/>
            <w:bottom w:val="none" w:sz="0" w:space="0" w:color="auto"/>
            <w:right w:val="none" w:sz="0" w:space="0" w:color="auto"/>
          </w:divBdr>
        </w:div>
        <w:div w:id="1329678328">
          <w:marLeft w:val="480"/>
          <w:marRight w:val="0"/>
          <w:marTop w:val="0"/>
          <w:marBottom w:val="0"/>
          <w:divBdr>
            <w:top w:val="none" w:sz="0" w:space="0" w:color="auto"/>
            <w:left w:val="none" w:sz="0" w:space="0" w:color="auto"/>
            <w:bottom w:val="none" w:sz="0" w:space="0" w:color="auto"/>
            <w:right w:val="none" w:sz="0" w:space="0" w:color="auto"/>
          </w:divBdr>
        </w:div>
        <w:div w:id="1418862174">
          <w:marLeft w:val="480"/>
          <w:marRight w:val="0"/>
          <w:marTop w:val="0"/>
          <w:marBottom w:val="0"/>
          <w:divBdr>
            <w:top w:val="none" w:sz="0" w:space="0" w:color="auto"/>
            <w:left w:val="none" w:sz="0" w:space="0" w:color="auto"/>
            <w:bottom w:val="none" w:sz="0" w:space="0" w:color="auto"/>
            <w:right w:val="none" w:sz="0" w:space="0" w:color="auto"/>
          </w:divBdr>
        </w:div>
        <w:div w:id="1672949109">
          <w:marLeft w:val="480"/>
          <w:marRight w:val="0"/>
          <w:marTop w:val="0"/>
          <w:marBottom w:val="0"/>
          <w:divBdr>
            <w:top w:val="none" w:sz="0" w:space="0" w:color="auto"/>
            <w:left w:val="none" w:sz="0" w:space="0" w:color="auto"/>
            <w:bottom w:val="none" w:sz="0" w:space="0" w:color="auto"/>
            <w:right w:val="none" w:sz="0" w:space="0" w:color="auto"/>
          </w:divBdr>
        </w:div>
        <w:div w:id="1765105129">
          <w:marLeft w:val="480"/>
          <w:marRight w:val="0"/>
          <w:marTop w:val="0"/>
          <w:marBottom w:val="0"/>
          <w:divBdr>
            <w:top w:val="none" w:sz="0" w:space="0" w:color="auto"/>
            <w:left w:val="none" w:sz="0" w:space="0" w:color="auto"/>
            <w:bottom w:val="none" w:sz="0" w:space="0" w:color="auto"/>
            <w:right w:val="none" w:sz="0" w:space="0" w:color="auto"/>
          </w:divBdr>
        </w:div>
        <w:div w:id="1811557185">
          <w:marLeft w:val="480"/>
          <w:marRight w:val="0"/>
          <w:marTop w:val="0"/>
          <w:marBottom w:val="0"/>
          <w:divBdr>
            <w:top w:val="none" w:sz="0" w:space="0" w:color="auto"/>
            <w:left w:val="none" w:sz="0" w:space="0" w:color="auto"/>
            <w:bottom w:val="none" w:sz="0" w:space="0" w:color="auto"/>
            <w:right w:val="none" w:sz="0" w:space="0" w:color="auto"/>
          </w:divBdr>
        </w:div>
        <w:div w:id="1834566603">
          <w:marLeft w:val="480"/>
          <w:marRight w:val="0"/>
          <w:marTop w:val="0"/>
          <w:marBottom w:val="0"/>
          <w:divBdr>
            <w:top w:val="none" w:sz="0" w:space="0" w:color="auto"/>
            <w:left w:val="none" w:sz="0" w:space="0" w:color="auto"/>
            <w:bottom w:val="none" w:sz="0" w:space="0" w:color="auto"/>
            <w:right w:val="none" w:sz="0" w:space="0" w:color="auto"/>
          </w:divBdr>
        </w:div>
        <w:div w:id="1989901202">
          <w:marLeft w:val="480"/>
          <w:marRight w:val="0"/>
          <w:marTop w:val="0"/>
          <w:marBottom w:val="0"/>
          <w:divBdr>
            <w:top w:val="none" w:sz="0" w:space="0" w:color="auto"/>
            <w:left w:val="none" w:sz="0" w:space="0" w:color="auto"/>
            <w:bottom w:val="none" w:sz="0" w:space="0" w:color="auto"/>
            <w:right w:val="none" w:sz="0" w:space="0" w:color="auto"/>
          </w:divBdr>
        </w:div>
      </w:divsChild>
    </w:div>
    <w:div w:id="219053878">
      <w:bodyDiv w:val="1"/>
      <w:marLeft w:val="0"/>
      <w:marRight w:val="0"/>
      <w:marTop w:val="0"/>
      <w:marBottom w:val="0"/>
      <w:divBdr>
        <w:top w:val="none" w:sz="0" w:space="0" w:color="auto"/>
        <w:left w:val="none" w:sz="0" w:space="0" w:color="auto"/>
        <w:bottom w:val="none" w:sz="0" w:space="0" w:color="auto"/>
        <w:right w:val="none" w:sz="0" w:space="0" w:color="auto"/>
      </w:divBdr>
    </w:div>
    <w:div w:id="245651513">
      <w:marLeft w:val="480"/>
      <w:marRight w:val="0"/>
      <w:marTop w:val="0"/>
      <w:marBottom w:val="0"/>
      <w:divBdr>
        <w:top w:val="none" w:sz="0" w:space="0" w:color="auto"/>
        <w:left w:val="none" w:sz="0" w:space="0" w:color="auto"/>
        <w:bottom w:val="none" w:sz="0" w:space="0" w:color="auto"/>
        <w:right w:val="none" w:sz="0" w:space="0" w:color="auto"/>
      </w:divBdr>
    </w:div>
    <w:div w:id="270557611">
      <w:bodyDiv w:val="1"/>
      <w:marLeft w:val="0"/>
      <w:marRight w:val="0"/>
      <w:marTop w:val="0"/>
      <w:marBottom w:val="0"/>
      <w:divBdr>
        <w:top w:val="none" w:sz="0" w:space="0" w:color="auto"/>
        <w:left w:val="none" w:sz="0" w:space="0" w:color="auto"/>
        <w:bottom w:val="none" w:sz="0" w:space="0" w:color="auto"/>
        <w:right w:val="none" w:sz="0" w:space="0" w:color="auto"/>
      </w:divBdr>
    </w:div>
    <w:div w:id="303312035">
      <w:bodyDiv w:val="1"/>
      <w:marLeft w:val="0"/>
      <w:marRight w:val="0"/>
      <w:marTop w:val="0"/>
      <w:marBottom w:val="0"/>
      <w:divBdr>
        <w:top w:val="none" w:sz="0" w:space="0" w:color="auto"/>
        <w:left w:val="none" w:sz="0" w:space="0" w:color="auto"/>
        <w:bottom w:val="none" w:sz="0" w:space="0" w:color="auto"/>
        <w:right w:val="none" w:sz="0" w:space="0" w:color="auto"/>
      </w:divBdr>
    </w:div>
    <w:div w:id="341661637">
      <w:marLeft w:val="480"/>
      <w:marRight w:val="0"/>
      <w:marTop w:val="0"/>
      <w:marBottom w:val="0"/>
      <w:divBdr>
        <w:top w:val="none" w:sz="0" w:space="0" w:color="auto"/>
        <w:left w:val="none" w:sz="0" w:space="0" w:color="auto"/>
        <w:bottom w:val="none" w:sz="0" w:space="0" w:color="auto"/>
        <w:right w:val="none" w:sz="0" w:space="0" w:color="auto"/>
      </w:divBdr>
    </w:div>
    <w:div w:id="416446397">
      <w:marLeft w:val="480"/>
      <w:marRight w:val="0"/>
      <w:marTop w:val="0"/>
      <w:marBottom w:val="0"/>
      <w:divBdr>
        <w:top w:val="none" w:sz="0" w:space="0" w:color="auto"/>
        <w:left w:val="none" w:sz="0" w:space="0" w:color="auto"/>
        <w:bottom w:val="none" w:sz="0" w:space="0" w:color="auto"/>
        <w:right w:val="none" w:sz="0" w:space="0" w:color="auto"/>
      </w:divBdr>
    </w:div>
    <w:div w:id="429472386">
      <w:marLeft w:val="480"/>
      <w:marRight w:val="0"/>
      <w:marTop w:val="0"/>
      <w:marBottom w:val="0"/>
      <w:divBdr>
        <w:top w:val="none" w:sz="0" w:space="0" w:color="auto"/>
        <w:left w:val="none" w:sz="0" w:space="0" w:color="auto"/>
        <w:bottom w:val="none" w:sz="0" w:space="0" w:color="auto"/>
        <w:right w:val="none" w:sz="0" w:space="0" w:color="auto"/>
      </w:divBdr>
    </w:div>
    <w:div w:id="445783091">
      <w:bodyDiv w:val="1"/>
      <w:marLeft w:val="0"/>
      <w:marRight w:val="0"/>
      <w:marTop w:val="0"/>
      <w:marBottom w:val="0"/>
      <w:divBdr>
        <w:top w:val="none" w:sz="0" w:space="0" w:color="auto"/>
        <w:left w:val="none" w:sz="0" w:space="0" w:color="auto"/>
        <w:bottom w:val="none" w:sz="0" w:space="0" w:color="auto"/>
        <w:right w:val="none" w:sz="0" w:space="0" w:color="auto"/>
      </w:divBdr>
    </w:div>
    <w:div w:id="453526296">
      <w:marLeft w:val="480"/>
      <w:marRight w:val="0"/>
      <w:marTop w:val="0"/>
      <w:marBottom w:val="0"/>
      <w:divBdr>
        <w:top w:val="none" w:sz="0" w:space="0" w:color="auto"/>
        <w:left w:val="none" w:sz="0" w:space="0" w:color="auto"/>
        <w:bottom w:val="none" w:sz="0" w:space="0" w:color="auto"/>
        <w:right w:val="none" w:sz="0" w:space="0" w:color="auto"/>
      </w:divBdr>
    </w:div>
    <w:div w:id="468134231">
      <w:bodyDiv w:val="1"/>
      <w:marLeft w:val="0"/>
      <w:marRight w:val="0"/>
      <w:marTop w:val="0"/>
      <w:marBottom w:val="0"/>
      <w:divBdr>
        <w:top w:val="none" w:sz="0" w:space="0" w:color="auto"/>
        <w:left w:val="none" w:sz="0" w:space="0" w:color="auto"/>
        <w:bottom w:val="none" w:sz="0" w:space="0" w:color="auto"/>
        <w:right w:val="none" w:sz="0" w:space="0" w:color="auto"/>
      </w:divBdr>
      <w:divsChild>
        <w:div w:id="1502430173">
          <w:marLeft w:val="480"/>
          <w:marRight w:val="0"/>
          <w:marTop w:val="0"/>
          <w:marBottom w:val="0"/>
          <w:divBdr>
            <w:top w:val="none" w:sz="0" w:space="0" w:color="auto"/>
            <w:left w:val="none" w:sz="0" w:space="0" w:color="auto"/>
            <w:bottom w:val="none" w:sz="0" w:space="0" w:color="auto"/>
            <w:right w:val="none" w:sz="0" w:space="0" w:color="auto"/>
          </w:divBdr>
        </w:div>
        <w:div w:id="499849739">
          <w:marLeft w:val="480"/>
          <w:marRight w:val="0"/>
          <w:marTop w:val="0"/>
          <w:marBottom w:val="0"/>
          <w:divBdr>
            <w:top w:val="none" w:sz="0" w:space="0" w:color="auto"/>
            <w:left w:val="none" w:sz="0" w:space="0" w:color="auto"/>
            <w:bottom w:val="none" w:sz="0" w:space="0" w:color="auto"/>
            <w:right w:val="none" w:sz="0" w:space="0" w:color="auto"/>
          </w:divBdr>
        </w:div>
        <w:div w:id="758601479">
          <w:marLeft w:val="480"/>
          <w:marRight w:val="0"/>
          <w:marTop w:val="0"/>
          <w:marBottom w:val="0"/>
          <w:divBdr>
            <w:top w:val="none" w:sz="0" w:space="0" w:color="auto"/>
            <w:left w:val="none" w:sz="0" w:space="0" w:color="auto"/>
            <w:bottom w:val="none" w:sz="0" w:space="0" w:color="auto"/>
            <w:right w:val="none" w:sz="0" w:space="0" w:color="auto"/>
          </w:divBdr>
        </w:div>
        <w:div w:id="1348484243">
          <w:marLeft w:val="480"/>
          <w:marRight w:val="0"/>
          <w:marTop w:val="0"/>
          <w:marBottom w:val="0"/>
          <w:divBdr>
            <w:top w:val="none" w:sz="0" w:space="0" w:color="auto"/>
            <w:left w:val="none" w:sz="0" w:space="0" w:color="auto"/>
            <w:bottom w:val="none" w:sz="0" w:space="0" w:color="auto"/>
            <w:right w:val="none" w:sz="0" w:space="0" w:color="auto"/>
          </w:divBdr>
        </w:div>
        <w:div w:id="2144275204">
          <w:marLeft w:val="480"/>
          <w:marRight w:val="0"/>
          <w:marTop w:val="0"/>
          <w:marBottom w:val="0"/>
          <w:divBdr>
            <w:top w:val="none" w:sz="0" w:space="0" w:color="auto"/>
            <w:left w:val="none" w:sz="0" w:space="0" w:color="auto"/>
            <w:bottom w:val="none" w:sz="0" w:space="0" w:color="auto"/>
            <w:right w:val="none" w:sz="0" w:space="0" w:color="auto"/>
          </w:divBdr>
        </w:div>
        <w:div w:id="726952028">
          <w:marLeft w:val="480"/>
          <w:marRight w:val="0"/>
          <w:marTop w:val="0"/>
          <w:marBottom w:val="0"/>
          <w:divBdr>
            <w:top w:val="none" w:sz="0" w:space="0" w:color="auto"/>
            <w:left w:val="none" w:sz="0" w:space="0" w:color="auto"/>
            <w:bottom w:val="none" w:sz="0" w:space="0" w:color="auto"/>
            <w:right w:val="none" w:sz="0" w:space="0" w:color="auto"/>
          </w:divBdr>
        </w:div>
        <w:div w:id="1100445103">
          <w:marLeft w:val="480"/>
          <w:marRight w:val="0"/>
          <w:marTop w:val="0"/>
          <w:marBottom w:val="0"/>
          <w:divBdr>
            <w:top w:val="none" w:sz="0" w:space="0" w:color="auto"/>
            <w:left w:val="none" w:sz="0" w:space="0" w:color="auto"/>
            <w:bottom w:val="none" w:sz="0" w:space="0" w:color="auto"/>
            <w:right w:val="none" w:sz="0" w:space="0" w:color="auto"/>
          </w:divBdr>
        </w:div>
        <w:div w:id="1975407566">
          <w:marLeft w:val="480"/>
          <w:marRight w:val="0"/>
          <w:marTop w:val="0"/>
          <w:marBottom w:val="0"/>
          <w:divBdr>
            <w:top w:val="none" w:sz="0" w:space="0" w:color="auto"/>
            <w:left w:val="none" w:sz="0" w:space="0" w:color="auto"/>
            <w:bottom w:val="none" w:sz="0" w:space="0" w:color="auto"/>
            <w:right w:val="none" w:sz="0" w:space="0" w:color="auto"/>
          </w:divBdr>
        </w:div>
        <w:div w:id="331226970">
          <w:marLeft w:val="480"/>
          <w:marRight w:val="0"/>
          <w:marTop w:val="0"/>
          <w:marBottom w:val="0"/>
          <w:divBdr>
            <w:top w:val="none" w:sz="0" w:space="0" w:color="auto"/>
            <w:left w:val="none" w:sz="0" w:space="0" w:color="auto"/>
            <w:bottom w:val="none" w:sz="0" w:space="0" w:color="auto"/>
            <w:right w:val="none" w:sz="0" w:space="0" w:color="auto"/>
          </w:divBdr>
        </w:div>
        <w:div w:id="1493446593">
          <w:marLeft w:val="480"/>
          <w:marRight w:val="0"/>
          <w:marTop w:val="0"/>
          <w:marBottom w:val="0"/>
          <w:divBdr>
            <w:top w:val="none" w:sz="0" w:space="0" w:color="auto"/>
            <w:left w:val="none" w:sz="0" w:space="0" w:color="auto"/>
            <w:bottom w:val="none" w:sz="0" w:space="0" w:color="auto"/>
            <w:right w:val="none" w:sz="0" w:space="0" w:color="auto"/>
          </w:divBdr>
        </w:div>
        <w:div w:id="604921607">
          <w:marLeft w:val="480"/>
          <w:marRight w:val="0"/>
          <w:marTop w:val="0"/>
          <w:marBottom w:val="0"/>
          <w:divBdr>
            <w:top w:val="none" w:sz="0" w:space="0" w:color="auto"/>
            <w:left w:val="none" w:sz="0" w:space="0" w:color="auto"/>
            <w:bottom w:val="none" w:sz="0" w:space="0" w:color="auto"/>
            <w:right w:val="none" w:sz="0" w:space="0" w:color="auto"/>
          </w:divBdr>
        </w:div>
        <w:div w:id="626352526">
          <w:marLeft w:val="480"/>
          <w:marRight w:val="0"/>
          <w:marTop w:val="0"/>
          <w:marBottom w:val="0"/>
          <w:divBdr>
            <w:top w:val="none" w:sz="0" w:space="0" w:color="auto"/>
            <w:left w:val="none" w:sz="0" w:space="0" w:color="auto"/>
            <w:bottom w:val="none" w:sz="0" w:space="0" w:color="auto"/>
            <w:right w:val="none" w:sz="0" w:space="0" w:color="auto"/>
          </w:divBdr>
        </w:div>
        <w:div w:id="962343588">
          <w:marLeft w:val="480"/>
          <w:marRight w:val="0"/>
          <w:marTop w:val="0"/>
          <w:marBottom w:val="0"/>
          <w:divBdr>
            <w:top w:val="none" w:sz="0" w:space="0" w:color="auto"/>
            <w:left w:val="none" w:sz="0" w:space="0" w:color="auto"/>
            <w:bottom w:val="none" w:sz="0" w:space="0" w:color="auto"/>
            <w:right w:val="none" w:sz="0" w:space="0" w:color="auto"/>
          </w:divBdr>
        </w:div>
        <w:div w:id="1359117021">
          <w:marLeft w:val="480"/>
          <w:marRight w:val="0"/>
          <w:marTop w:val="0"/>
          <w:marBottom w:val="0"/>
          <w:divBdr>
            <w:top w:val="none" w:sz="0" w:space="0" w:color="auto"/>
            <w:left w:val="none" w:sz="0" w:space="0" w:color="auto"/>
            <w:bottom w:val="none" w:sz="0" w:space="0" w:color="auto"/>
            <w:right w:val="none" w:sz="0" w:space="0" w:color="auto"/>
          </w:divBdr>
        </w:div>
        <w:div w:id="232813954">
          <w:marLeft w:val="480"/>
          <w:marRight w:val="0"/>
          <w:marTop w:val="0"/>
          <w:marBottom w:val="0"/>
          <w:divBdr>
            <w:top w:val="none" w:sz="0" w:space="0" w:color="auto"/>
            <w:left w:val="none" w:sz="0" w:space="0" w:color="auto"/>
            <w:bottom w:val="none" w:sz="0" w:space="0" w:color="auto"/>
            <w:right w:val="none" w:sz="0" w:space="0" w:color="auto"/>
          </w:divBdr>
        </w:div>
        <w:div w:id="707532098">
          <w:marLeft w:val="480"/>
          <w:marRight w:val="0"/>
          <w:marTop w:val="0"/>
          <w:marBottom w:val="0"/>
          <w:divBdr>
            <w:top w:val="none" w:sz="0" w:space="0" w:color="auto"/>
            <w:left w:val="none" w:sz="0" w:space="0" w:color="auto"/>
            <w:bottom w:val="none" w:sz="0" w:space="0" w:color="auto"/>
            <w:right w:val="none" w:sz="0" w:space="0" w:color="auto"/>
          </w:divBdr>
        </w:div>
        <w:div w:id="633414431">
          <w:marLeft w:val="480"/>
          <w:marRight w:val="0"/>
          <w:marTop w:val="0"/>
          <w:marBottom w:val="0"/>
          <w:divBdr>
            <w:top w:val="none" w:sz="0" w:space="0" w:color="auto"/>
            <w:left w:val="none" w:sz="0" w:space="0" w:color="auto"/>
            <w:bottom w:val="none" w:sz="0" w:space="0" w:color="auto"/>
            <w:right w:val="none" w:sz="0" w:space="0" w:color="auto"/>
          </w:divBdr>
        </w:div>
        <w:div w:id="1677415460">
          <w:marLeft w:val="480"/>
          <w:marRight w:val="0"/>
          <w:marTop w:val="0"/>
          <w:marBottom w:val="0"/>
          <w:divBdr>
            <w:top w:val="none" w:sz="0" w:space="0" w:color="auto"/>
            <w:left w:val="none" w:sz="0" w:space="0" w:color="auto"/>
            <w:bottom w:val="none" w:sz="0" w:space="0" w:color="auto"/>
            <w:right w:val="none" w:sz="0" w:space="0" w:color="auto"/>
          </w:divBdr>
        </w:div>
        <w:div w:id="2073967664">
          <w:marLeft w:val="480"/>
          <w:marRight w:val="0"/>
          <w:marTop w:val="0"/>
          <w:marBottom w:val="0"/>
          <w:divBdr>
            <w:top w:val="none" w:sz="0" w:space="0" w:color="auto"/>
            <w:left w:val="none" w:sz="0" w:space="0" w:color="auto"/>
            <w:bottom w:val="none" w:sz="0" w:space="0" w:color="auto"/>
            <w:right w:val="none" w:sz="0" w:space="0" w:color="auto"/>
          </w:divBdr>
        </w:div>
      </w:divsChild>
    </w:div>
    <w:div w:id="475340124">
      <w:marLeft w:val="480"/>
      <w:marRight w:val="0"/>
      <w:marTop w:val="0"/>
      <w:marBottom w:val="0"/>
      <w:divBdr>
        <w:top w:val="none" w:sz="0" w:space="0" w:color="auto"/>
        <w:left w:val="none" w:sz="0" w:space="0" w:color="auto"/>
        <w:bottom w:val="none" w:sz="0" w:space="0" w:color="auto"/>
        <w:right w:val="none" w:sz="0" w:space="0" w:color="auto"/>
      </w:divBdr>
    </w:div>
    <w:div w:id="479004214">
      <w:marLeft w:val="480"/>
      <w:marRight w:val="0"/>
      <w:marTop w:val="0"/>
      <w:marBottom w:val="0"/>
      <w:divBdr>
        <w:top w:val="none" w:sz="0" w:space="0" w:color="auto"/>
        <w:left w:val="none" w:sz="0" w:space="0" w:color="auto"/>
        <w:bottom w:val="none" w:sz="0" w:space="0" w:color="auto"/>
        <w:right w:val="none" w:sz="0" w:space="0" w:color="auto"/>
      </w:divBdr>
    </w:div>
    <w:div w:id="492523797">
      <w:bodyDiv w:val="1"/>
      <w:marLeft w:val="0"/>
      <w:marRight w:val="0"/>
      <w:marTop w:val="0"/>
      <w:marBottom w:val="0"/>
      <w:divBdr>
        <w:top w:val="none" w:sz="0" w:space="0" w:color="auto"/>
        <w:left w:val="none" w:sz="0" w:space="0" w:color="auto"/>
        <w:bottom w:val="none" w:sz="0" w:space="0" w:color="auto"/>
        <w:right w:val="none" w:sz="0" w:space="0" w:color="auto"/>
      </w:divBdr>
    </w:div>
    <w:div w:id="502934466">
      <w:bodyDiv w:val="1"/>
      <w:marLeft w:val="0"/>
      <w:marRight w:val="0"/>
      <w:marTop w:val="0"/>
      <w:marBottom w:val="0"/>
      <w:divBdr>
        <w:top w:val="none" w:sz="0" w:space="0" w:color="auto"/>
        <w:left w:val="none" w:sz="0" w:space="0" w:color="auto"/>
        <w:bottom w:val="none" w:sz="0" w:space="0" w:color="auto"/>
        <w:right w:val="none" w:sz="0" w:space="0" w:color="auto"/>
      </w:divBdr>
      <w:divsChild>
        <w:div w:id="405029303">
          <w:marLeft w:val="480"/>
          <w:marRight w:val="0"/>
          <w:marTop w:val="0"/>
          <w:marBottom w:val="0"/>
          <w:divBdr>
            <w:top w:val="none" w:sz="0" w:space="0" w:color="auto"/>
            <w:left w:val="none" w:sz="0" w:space="0" w:color="auto"/>
            <w:bottom w:val="none" w:sz="0" w:space="0" w:color="auto"/>
            <w:right w:val="none" w:sz="0" w:space="0" w:color="auto"/>
          </w:divBdr>
        </w:div>
        <w:div w:id="422645732">
          <w:marLeft w:val="480"/>
          <w:marRight w:val="0"/>
          <w:marTop w:val="0"/>
          <w:marBottom w:val="0"/>
          <w:divBdr>
            <w:top w:val="none" w:sz="0" w:space="0" w:color="auto"/>
            <w:left w:val="none" w:sz="0" w:space="0" w:color="auto"/>
            <w:bottom w:val="none" w:sz="0" w:space="0" w:color="auto"/>
            <w:right w:val="none" w:sz="0" w:space="0" w:color="auto"/>
          </w:divBdr>
        </w:div>
        <w:div w:id="442110524">
          <w:marLeft w:val="480"/>
          <w:marRight w:val="0"/>
          <w:marTop w:val="0"/>
          <w:marBottom w:val="0"/>
          <w:divBdr>
            <w:top w:val="none" w:sz="0" w:space="0" w:color="auto"/>
            <w:left w:val="none" w:sz="0" w:space="0" w:color="auto"/>
            <w:bottom w:val="none" w:sz="0" w:space="0" w:color="auto"/>
            <w:right w:val="none" w:sz="0" w:space="0" w:color="auto"/>
          </w:divBdr>
        </w:div>
        <w:div w:id="495220076">
          <w:marLeft w:val="480"/>
          <w:marRight w:val="0"/>
          <w:marTop w:val="0"/>
          <w:marBottom w:val="0"/>
          <w:divBdr>
            <w:top w:val="none" w:sz="0" w:space="0" w:color="auto"/>
            <w:left w:val="none" w:sz="0" w:space="0" w:color="auto"/>
            <w:bottom w:val="none" w:sz="0" w:space="0" w:color="auto"/>
            <w:right w:val="none" w:sz="0" w:space="0" w:color="auto"/>
          </w:divBdr>
        </w:div>
        <w:div w:id="852644934">
          <w:marLeft w:val="480"/>
          <w:marRight w:val="0"/>
          <w:marTop w:val="0"/>
          <w:marBottom w:val="0"/>
          <w:divBdr>
            <w:top w:val="none" w:sz="0" w:space="0" w:color="auto"/>
            <w:left w:val="none" w:sz="0" w:space="0" w:color="auto"/>
            <w:bottom w:val="none" w:sz="0" w:space="0" w:color="auto"/>
            <w:right w:val="none" w:sz="0" w:space="0" w:color="auto"/>
          </w:divBdr>
        </w:div>
        <w:div w:id="883369377">
          <w:marLeft w:val="480"/>
          <w:marRight w:val="0"/>
          <w:marTop w:val="0"/>
          <w:marBottom w:val="0"/>
          <w:divBdr>
            <w:top w:val="none" w:sz="0" w:space="0" w:color="auto"/>
            <w:left w:val="none" w:sz="0" w:space="0" w:color="auto"/>
            <w:bottom w:val="none" w:sz="0" w:space="0" w:color="auto"/>
            <w:right w:val="none" w:sz="0" w:space="0" w:color="auto"/>
          </w:divBdr>
        </w:div>
        <w:div w:id="1096756004">
          <w:marLeft w:val="480"/>
          <w:marRight w:val="0"/>
          <w:marTop w:val="0"/>
          <w:marBottom w:val="0"/>
          <w:divBdr>
            <w:top w:val="none" w:sz="0" w:space="0" w:color="auto"/>
            <w:left w:val="none" w:sz="0" w:space="0" w:color="auto"/>
            <w:bottom w:val="none" w:sz="0" w:space="0" w:color="auto"/>
            <w:right w:val="none" w:sz="0" w:space="0" w:color="auto"/>
          </w:divBdr>
        </w:div>
        <w:div w:id="1149009692">
          <w:marLeft w:val="480"/>
          <w:marRight w:val="0"/>
          <w:marTop w:val="0"/>
          <w:marBottom w:val="0"/>
          <w:divBdr>
            <w:top w:val="none" w:sz="0" w:space="0" w:color="auto"/>
            <w:left w:val="none" w:sz="0" w:space="0" w:color="auto"/>
            <w:bottom w:val="none" w:sz="0" w:space="0" w:color="auto"/>
            <w:right w:val="none" w:sz="0" w:space="0" w:color="auto"/>
          </w:divBdr>
        </w:div>
        <w:div w:id="1288245932">
          <w:marLeft w:val="480"/>
          <w:marRight w:val="0"/>
          <w:marTop w:val="0"/>
          <w:marBottom w:val="0"/>
          <w:divBdr>
            <w:top w:val="none" w:sz="0" w:space="0" w:color="auto"/>
            <w:left w:val="none" w:sz="0" w:space="0" w:color="auto"/>
            <w:bottom w:val="none" w:sz="0" w:space="0" w:color="auto"/>
            <w:right w:val="none" w:sz="0" w:space="0" w:color="auto"/>
          </w:divBdr>
        </w:div>
        <w:div w:id="1425031899">
          <w:marLeft w:val="480"/>
          <w:marRight w:val="0"/>
          <w:marTop w:val="0"/>
          <w:marBottom w:val="0"/>
          <w:divBdr>
            <w:top w:val="none" w:sz="0" w:space="0" w:color="auto"/>
            <w:left w:val="none" w:sz="0" w:space="0" w:color="auto"/>
            <w:bottom w:val="none" w:sz="0" w:space="0" w:color="auto"/>
            <w:right w:val="none" w:sz="0" w:space="0" w:color="auto"/>
          </w:divBdr>
        </w:div>
        <w:div w:id="1849514069">
          <w:marLeft w:val="480"/>
          <w:marRight w:val="0"/>
          <w:marTop w:val="0"/>
          <w:marBottom w:val="0"/>
          <w:divBdr>
            <w:top w:val="none" w:sz="0" w:space="0" w:color="auto"/>
            <w:left w:val="none" w:sz="0" w:space="0" w:color="auto"/>
            <w:bottom w:val="none" w:sz="0" w:space="0" w:color="auto"/>
            <w:right w:val="none" w:sz="0" w:space="0" w:color="auto"/>
          </w:divBdr>
        </w:div>
        <w:div w:id="1874879503">
          <w:marLeft w:val="480"/>
          <w:marRight w:val="0"/>
          <w:marTop w:val="0"/>
          <w:marBottom w:val="0"/>
          <w:divBdr>
            <w:top w:val="none" w:sz="0" w:space="0" w:color="auto"/>
            <w:left w:val="none" w:sz="0" w:space="0" w:color="auto"/>
            <w:bottom w:val="none" w:sz="0" w:space="0" w:color="auto"/>
            <w:right w:val="none" w:sz="0" w:space="0" w:color="auto"/>
          </w:divBdr>
        </w:div>
        <w:div w:id="1923832251">
          <w:marLeft w:val="480"/>
          <w:marRight w:val="0"/>
          <w:marTop w:val="0"/>
          <w:marBottom w:val="0"/>
          <w:divBdr>
            <w:top w:val="none" w:sz="0" w:space="0" w:color="auto"/>
            <w:left w:val="none" w:sz="0" w:space="0" w:color="auto"/>
            <w:bottom w:val="none" w:sz="0" w:space="0" w:color="auto"/>
            <w:right w:val="none" w:sz="0" w:space="0" w:color="auto"/>
          </w:divBdr>
        </w:div>
        <w:div w:id="1995790444">
          <w:marLeft w:val="480"/>
          <w:marRight w:val="0"/>
          <w:marTop w:val="0"/>
          <w:marBottom w:val="0"/>
          <w:divBdr>
            <w:top w:val="none" w:sz="0" w:space="0" w:color="auto"/>
            <w:left w:val="none" w:sz="0" w:space="0" w:color="auto"/>
            <w:bottom w:val="none" w:sz="0" w:space="0" w:color="auto"/>
            <w:right w:val="none" w:sz="0" w:space="0" w:color="auto"/>
          </w:divBdr>
        </w:div>
      </w:divsChild>
    </w:div>
    <w:div w:id="509296919">
      <w:marLeft w:val="480"/>
      <w:marRight w:val="0"/>
      <w:marTop w:val="0"/>
      <w:marBottom w:val="0"/>
      <w:divBdr>
        <w:top w:val="none" w:sz="0" w:space="0" w:color="auto"/>
        <w:left w:val="none" w:sz="0" w:space="0" w:color="auto"/>
        <w:bottom w:val="none" w:sz="0" w:space="0" w:color="auto"/>
        <w:right w:val="none" w:sz="0" w:space="0" w:color="auto"/>
      </w:divBdr>
    </w:div>
    <w:div w:id="545331857">
      <w:marLeft w:val="480"/>
      <w:marRight w:val="0"/>
      <w:marTop w:val="0"/>
      <w:marBottom w:val="0"/>
      <w:divBdr>
        <w:top w:val="none" w:sz="0" w:space="0" w:color="auto"/>
        <w:left w:val="none" w:sz="0" w:space="0" w:color="auto"/>
        <w:bottom w:val="none" w:sz="0" w:space="0" w:color="auto"/>
        <w:right w:val="none" w:sz="0" w:space="0" w:color="auto"/>
      </w:divBdr>
    </w:div>
    <w:div w:id="546528031">
      <w:marLeft w:val="480"/>
      <w:marRight w:val="0"/>
      <w:marTop w:val="0"/>
      <w:marBottom w:val="0"/>
      <w:divBdr>
        <w:top w:val="none" w:sz="0" w:space="0" w:color="auto"/>
        <w:left w:val="none" w:sz="0" w:space="0" w:color="auto"/>
        <w:bottom w:val="none" w:sz="0" w:space="0" w:color="auto"/>
        <w:right w:val="none" w:sz="0" w:space="0" w:color="auto"/>
      </w:divBdr>
    </w:div>
    <w:div w:id="575634519">
      <w:bodyDiv w:val="1"/>
      <w:marLeft w:val="0"/>
      <w:marRight w:val="0"/>
      <w:marTop w:val="0"/>
      <w:marBottom w:val="0"/>
      <w:divBdr>
        <w:top w:val="none" w:sz="0" w:space="0" w:color="auto"/>
        <w:left w:val="none" w:sz="0" w:space="0" w:color="auto"/>
        <w:bottom w:val="none" w:sz="0" w:space="0" w:color="auto"/>
        <w:right w:val="none" w:sz="0" w:space="0" w:color="auto"/>
      </w:divBdr>
    </w:div>
    <w:div w:id="584998973">
      <w:bodyDiv w:val="1"/>
      <w:marLeft w:val="0"/>
      <w:marRight w:val="0"/>
      <w:marTop w:val="0"/>
      <w:marBottom w:val="0"/>
      <w:divBdr>
        <w:top w:val="none" w:sz="0" w:space="0" w:color="auto"/>
        <w:left w:val="none" w:sz="0" w:space="0" w:color="auto"/>
        <w:bottom w:val="none" w:sz="0" w:space="0" w:color="auto"/>
        <w:right w:val="none" w:sz="0" w:space="0" w:color="auto"/>
      </w:divBdr>
    </w:div>
    <w:div w:id="591282837">
      <w:bodyDiv w:val="1"/>
      <w:marLeft w:val="0"/>
      <w:marRight w:val="0"/>
      <w:marTop w:val="0"/>
      <w:marBottom w:val="0"/>
      <w:divBdr>
        <w:top w:val="none" w:sz="0" w:space="0" w:color="auto"/>
        <w:left w:val="none" w:sz="0" w:space="0" w:color="auto"/>
        <w:bottom w:val="none" w:sz="0" w:space="0" w:color="auto"/>
        <w:right w:val="none" w:sz="0" w:space="0" w:color="auto"/>
      </w:divBdr>
      <w:divsChild>
        <w:div w:id="21830663">
          <w:marLeft w:val="480"/>
          <w:marRight w:val="0"/>
          <w:marTop w:val="0"/>
          <w:marBottom w:val="0"/>
          <w:divBdr>
            <w:top w:val="none" w:sz="0" w:space="0" w:color="auto"/>
            <w:left w:val="none" w:sz="0" w:space="0" w:color="auto"/>
            <w:bottom w:val="none" w:sz="0" w:space="0" w:color="auto"/>
            <w:right w:val="none" w:sz="0" w:space="0" w:color="auto"/>
          </w:divBdr>
        </w:div>
        <w:div w:id="34700864">
          <w:marLeft w:val="480"/>
          <w:marRight w:val="0"/>
          <w:marTop w:val="0"/>
          <w:marBottom w:val="0"/>
          <w:divBdr>
            <w:top w:val="none" w:sz="0" w:space="0" w:color="auto"/>
            <w:left w:val="none" w:sz="0" w:space="0" w:color="auto"/>
            <w:bottom w:val="none" w:sz="0" w:space="0" w:color="auto"/>
            <w:right w:val="none" w:sz="0" w:space="0" w:color="auto"/>
          </w:divBdr>
        </w:div>
        <w:div w:id="162474029">
          <w:marLeft w:val="480"/>
          <w:marRight w:val="0"/>
          <w:marTop w:val="0"/>
          <w:marBottom w:val="0"/>
          <w:divBdr>
            <w:top w:val="none" w:sz="0" w:space="0" w:color="auto"/>
            <w:left w:val="none" w:sz="0" w:space="0" w:color="auto"/>
            <w:bottom w:val="none" w:sz="0" w:space="0" w:color="auto"/>
            <w:right w:val="none" w:sz="0" w:space="0" w:color="auto"/>
          </w:divBdr>
        </w:div>
        <w:div w:id="163055118">
          <w:marLeft w:val="480"/>
          <w:marRight w:val="0"/>
          <w:marTop w:val="0"/>
          <w:marBottom w:val="0"/>
          <w:divBdr>
            <w:top w:val="none" w:sz="0" w:space="0" w:color="auto"/>
            <w:left w:val="none" w:sz="0" w:space="0" w:color="auto"/>
            <w:bottom w:val="none" w:sz="0" w:space="0" w:color="auto"/>
            <w:right w:val="none" w:sz="0" w:space="0" w:color="auto"/>
          </w:divBdr>
        </w:div>
        <w:div w:id="253629689">
          <w:marLeft w:val="480"/>
          <w:marRight w:val="0"/>
          <w:marTop w:val="0"/>
          <w:marBottom w:val="0"/>
          <w:divBdr>
            <w:top w:val="none" w:sz="0" w:space="0" w:color="auto"/>
            <w:left w:val="none" w:sz="0" w:space="0" w:color="auto"/>
            <w:bottom w:val="none" w:sz="0" w:space="0" w:color="auto"/>
            <w:right w:val="none" w:sz="0" w:space="0" w:color="auto"/>
          </w:divBdr>
        </w:div>
        <w:div w:id="282075089">
          <w:marLeft w:val="480"/>
          <w:marRight w:val="0"/>
          <w:marTop w:val="0"/>
          <w:marBottom w:val="0"/>
          <w:divBdr>
            <w:top w:val="none" w:sz="0" w:space="0" w:color="auto"/>
            <w:left w:val="none" w:sz="0" w:space="0" w:color="auto"/>
            <w:bottom w:val="none" w:sz="0" w:space="0" w:color="auto"/>
            <w:right w:val="none" w:sz="0" w:space="0" w:color="auto"/>
          </w:divBdr>
        </w:div>
        <w:div w:id="285815830">
          <w:marLeft w:val="480"/>
          <w:marRight w:val="0"/>
          <w:marTop w:val="0"/>
          <w:marBottom w:val="0"/>
          <w:divBdr>
            <w:top w:val="none" w:sz="0" w:space="0" w:color="auto"/>
            <w:left w:val="none" w:sz="0" w:space="0" w:color="auto"/>
            <w:bottom w:val="none" w:sz="0" w:space="0" w:color="auto"/>
            <w:right w:val="none" w:sz="0" w:space="0" w:color="auto"/>
          </w:divBdr>
        </w:div>
        <w:div w:id="575748187">
          <w:marLeft w:val="480"/>
          <w:marRight w:val="0"/>
          <w:marTop w:val="0"/>
          <w:marBottom w:val="0"/>
          <w:divBdr>
            <w:top w:val="none" w:sz="0" w:space="0" w:color="auto"/>
            <w:left w:val="none" w:sz="0" w:space="0" w:color="auto"/>
            <w:bottom w:val="none" w:sz="0" w:space="0" w:color="auto"/>
            <w:right w:val="none" w:sz="0" w:space="0" w:color="auto"/>
          </w:divBdr>
        </w:div>
        <w:div w:id="604074430">
          <w:marLeft w:val="480"/>
          <w:marRight w:val="0"/>
          <w:marTop w:val="0"/>
          <w:marBottom w:val="0"/>
          <w:divBdr>
            <w:top w:val="none" w:sz="0" w:space="0" w:color="auto"/>
            <w:left w:val="none" w:sz="0" w:space="0" w:color="auto"/>
            <w:bottom w:val="none" w:sz="0" w:space="0" w:color="auto"/>
            <w:right w:val="none" w:sz="0" w:space="0" w:color="auto"/>
          </w:divBdr>
        </w:div>
        <w:div w:id="843662771">
          <w:marLeft w:val="480"/>
          <w:marRight w:val="0"/>
          <w:marTop w:val="0"/>
          <w:marBottom w:val="0"/>
          <w:divBdr>
            <w:top w:val="none" w:sz="0" w:space="0" w:color="auto"/>
            <w:left w:val="none" w:sz="0" w:space="0" w:color="auto"/>
            <w:bottom w:val="none" w:sz="0" w:space="0" w:color="auto"/>
            <w:right w:val="none" w:sz="0" w:space="0" w:color="auto"/>
          </w:divBdr>
        </w:div>
        <w:div w:id="893738901">
          <w:marLeft w:val="480"/>
          <w:marRight w:val="0"/>
          <w:marTop w:val="0"/>
          <w:marBottom w:val="0"/>
          <w:divBdr>
            <w:top w:val="none" w:sz="0" w:space="0" w:color="auto"/>
            <w:left w:val="none" w:sz="0" w:space="0" w:color="auto"/>
            <w:bottom w:val="none" w:sz="0" w:space="0" w:color="auto"/>
            <w:right w:val="none" w:sz="0" w:space="0" w:color="auto"/>
          </w:divBdr>
        </w:div>
        <w:div w:id="939873512">
          <w:marLeft w:val="480"/>
          <w:marRight w:val="0"/>
          <w:marTop w:val="0"/>
          <w:marBottom w:val="0"/>
          <w:divBdr>
            <w:top w:val="none" w:sz="0" w:space="0" w:color="auto"/>
            <w:left w:val="none" w:sz="0" w:space="0" w:color="auto"/>
            <w:bottom w:val="none" w:sz="0" w:space="0" w:color="auto"/>
            <w:right w:val="none" w:sz="0" w:space="0" w:color="auto"/>
          </w:divBdr>
        </w:div>
        <w:div w:id="1074279919">
          <w:marLeft w:val="480"/>
          <w:marRight w:val="0"/>
          <w:marTop w:val="0"/>
          <w:marBottom w:val="0"/>
          <w:divBdr>
            <w:top w:val="none" w:sz="0" w:space="0" w:color="auto"/>
            <w:left w:val="none" w:sz="0" w:space="0" w:color="auto"/>
            <w:bottom w:val="none" w:sz="0" w:space="0" w:color="auto"/>
            <w:right w:val="none" w:sz="0" w:space="0" w:color="auto"/>
          </w:divBdr>
        </w:div>
        <w:div w:id="1332609582">
          <w:marLeft w:val="480"/>
          <w:marRight w:val="0"/>
          <w:marTop w:val="0"/>
          <w:marBottom w:val="0"/>
          <w:divBdr>
            <w:top w:val="none" w:sz="0" w:space="0" w:color="auto"/>
            <w:left w:val="none" w:sz="0" w:space="0" w:color="auto"/>
            <w:bottom w:val="none" w:sz="0" w:space="0" w:color="auto"/>
            <w:right w:val="none" w:sz="0" w:space="0" w:color="auto"/>
          </w:divBdr>
        </w:div>
        <w:div w:id="1375078617">
          <w:marLeft w:val="480"/>
          <w:marRight w:val="0"/>
          <w:marTop w:val="0"/>
          <w:marBottom w:val="0"/>
          <w:divBdr>
            <w:top w:val="none" w:sz="0" w:space="0" w:color="auto"/>
            <w:left w:val="none" w:sz="0" w:space="0" w:color="auto"/>
            <w:bottom w:val="none" w:sz="0" w:space="0" w:color="auto"/>
            <w:right w:val="none" w:sz="0" w:space="0" w:color="auto"/>
          </w:divBdr>
        </w:div>
        <w:div w:id="1405449281">
          <w:marLeft w:val="480"/>
          <w:marRight w:val="0"/>
          <w:marTop w:val="0"/>
          <w:marBottom w:val="0"/>
          <w:divBdr>
            <w:top w:val="none" w:sz="0" w:space="0" w:color="auto"/>
            <w:left w:val="none" w:sz="0" w:space="0" w:color="auto"/>
            <w:bottom w:val="none" w:sz="0" w:space="0" w:color="auto"/>
            <w:right w:val="none" w:sz="0" w:space="0" w:color="auto"/>
          </w:divBdr>
        </w:div>
        <w:div w:id="1459060159">
          <w:marLeft w:val="480"/>
          <w:marRight w:val="0"/>
          <w:marTop w:val="0"/>
          <w:marBottom w:val="0"/>
          <w:divBdr>
            <w:top w:val="none" w:sz="0" w:space="0" w:color="auto"/>
            <w:left w:val="none" w:sz="0" w:space="0" w:color="auto"/>
            <w:bottom w:val="none" w:sz="0" w:space="0" w:color="auto"/>
            <w:right w:val="none" w:sz="0" w:space="0" w:color="auto"/>
          </w:divBdr>
        </w:div>
        <w:div w:id="1494948120">
          <w:marLeft w:val="480"/>
          <w:marRight w:val="0"/>
          <w:marTop w:val="0"/>
          <w:marBottom w:val="0"/>
          <w:divBdr>
            <w:top w:val="none" w:sz="0" w:space="0" w:color="auto"/>
            <w:left w:val="none" w:sz="0" w:space="0" w:color="auto"/>
            <w:bottom w:val="none" w:sz="0" w:space="0" w:color="auto"/>
            <w:right w:val="none" w:sz="0" w:space="0" w:color="auto"/>
          </w:divBdr>
        </w:div>
        <w:div w:id="1545751070">
          <w:marLeft w:val="480"/>
          <w:marRight w:val="0"/>
          <w:marTop w:val="0"/>
          <w:marBottom w:val="0"/>
          <w:divBdr>
            <w:top w:val="none" w:sz="0" w:space="0" w:color="auto"/>
            <w:left w:val="none" w:sz="0" w:space="0" w:color="auto"/>
            <w:bottom w:val="none" w:sz="0" w:space="0" w:color="auto"/>
            <w:right w:val="none" w:sz="0" w:space="0" w:color="auto"/>
          </w:divBdr>
        </w:div>
        <w:div w:id="1563709842">
          <w:marLeft w:val="480"/>
          <w:marRight w:val="0"/>
          <w:marTop w:val="0"/>
          <w:marBottom w:val="0"/>
          <w:divBdr>
            <w:top w:val="none" w:sz="0" w:space="0" w:color="auto"/>
            <w:left w:val="none" w:sz="0" w:space="0" w:color="auto"/>
            <w:bottom w:val="none" w:sz="0" w:space="0" w:color="auto"/>
            <w:right w:val="none" w:sz="0" w:space="0" w:color="auto"/>
          </w:divBdr>
        </w:div>
        <w:div w:id="1646930570">
          <w:marLeft w:val="480"/>
          <w:marRight w:val="0"/>
          <w:marTop w:val="0"/>
          <w:marBottom w:val="0"/>
          <w:divBdr>
            <w:top w:val="none" w:sz="0" w:space="0" w:color="auto"/>
            <w:left w:val="none" w:sz="0" w:space="0" w:color="auto"/>
            <w:bottom w:val="none" w:sz="0" w:space="0" w:color="auto"/>
            <w:right w:val="none" w:sz="0" w:space="0" w:color="auto"/>
          </w:divBdr>
        </w:div>
        <w:div w:id="1649674613">
          <w:marLeft w:val="480"/>
          <w:marRight w:val="0"/>
          <w:marTop w:val="0"/>
          <w:marBottom w:val="0"/>
          <w:divBdr>
            <w:top w:val="none" w:sz="0" w:space="0" w:color="auto"/>
            <w:left w:val="none" w:sz="0" w:space="0" w:color="auto"/>
            <w:bottom w:val="none" w:sz="0" w:space="0" w:color="auto"/>
            <w:right w:val="none" w:sz="0" w:space="0" w:color="auto"/>
          </w:divBdr>
        </w:div>
        <w:div w:id="1967155510">
          <w:marLeft w:val="480"/>
          <w:marRight w:val="0"/>
          <w:marTop w:val="0"/>
          <w:marBottom w:val="0"/>
          <w:divBdr>
            <w:top w:val="none" w:sz="0" w:space="0" w:color="auto"/>
            <w:left w:val="none" w:sz="0" w:space="0" w:color="auto"/>
            <w:bottom w:val="none" w:sz="0" w:space="0" w:color="auto"/>
            <w:right w:val="none" w:sz="0" w:space="0" w:color="auto"/>
          </w:divBdr>
        </w:div>
      </w:divsChild>
    </w:div>
    <w:div w:id="599290190">
      <w:marLeft w:val="480"/>
      <w:marRight w:val="0"/>
      <w:marTop w:val="0"/>
      <w:marBottom w:val="0"/>
      <w:divBdr>
        <w:top w:val="none" w:sz="0" w:space="0" w:color="auto"/>
        <w:left w:val="none" w:sz="0" w:space="0" w:color="auto"/>
        <w:bottom w:val="none" w:sz="0" w:space="0" w:color="auto"/>
        <w:right w:val="none" w:sz="0" w:space="0" w:color="auto"/>
      </w:divBdr>
    </w:div>
    <w:div w:id="608123601">
      <w:marLeft w:val="480"/>
      <w:marRight w:val="0"/>
      <w:marTop w:val="0"/>
      <w:marBottom w:val="0"/>
      <w:divBdr>
        <w:top w:val="none" w:sz="0" w:space="0" w:color="auto"/>
        <w:left w:val="none" w:sz="0" w:space="0" w:color="auto"/>
        <w:bottom w:val="none" w:sz="0" w:space="0" w:color="auto"/>
        <w:right w:val="none" w:sz="0" w:space="0" w:color="auto"/>
      </w:divBdr>
    </w:div>
    <w:div w:id="616180587">
      <w:marLeft w:val="480"/>
      <w:marRight w:val="0"/>
      <w:marTop w:val="0"/>
      <w:marBottom w:val="0"/>
      <w:divBdr>
        <w:top w:val="none" w:sz="0" w:space="0" w:color="auto"/>
        <w:left w:val="none" w:sz="0" w:space="0" w:color="auto"/>
        <w:bottom w:val="none" w:sz="0" w:space="0" w:color="auto"/>
        <w:right w:val="none" w:sz="0" w:space="0" w:color="auto"/>
      </w:divBdr>
    </w:div>
    <w:div w:id="620386072">
      <w:bodyDiv w:val="1"/>
      <w:marLeft w:val="0"/>
      <w:marRight w:val="0"/>
      <w:marTop w:val="0"/>
      <w:marBottom w:val="0"/>
      <w:divBdr>
        <w:top w:val="none" w:sz="0" w:space="0" w:color="auto"/>
        <w:left w:val="none" w:sz="0" w:space="0" w:color="auto"/>
        <w:bottom w:val="none" w:sz="0" w:space="0" w:color="auto"/>
        <w:right w:val="none" w:sz="0" w:space="0" w:color="auto"/>
      </w:divBdr>
      <w:divsChild>
        <w:div w:id="55933618">
          <w:marLeft w:val="480"/>
          <w:marRight w:val="0"/>
          <w:marTop w:val="0"/>
          <w:marBottom w:val="0"/>
          <w:divBdr>
            <w:top w:val="none" w:sz="0" w:space="0" w:color="auto"/>
            <w:left w:val="none" w:sz="0" w:space="0" w:color="auto"/>
            <w:bottom w:val="none" w:sz="0" w:space="0" w:color="auto"/>
            <w:right w:val="none" w:sz="0" w:space="0" w:color="auto"/>
          </w:divBdr>
        </w:div>
        <w:div w:id="673142610">
          <w:marLeft w:val="480"/>
          <w:marRight w:val="0"/>
          <w:marTop w:val="0"/>
          <w:marBottom w:val="0"/>
          <w:divBdr>
            <w:top w:val="none" w:sz="0" w:space="0" w:color="auto"/>
            <w:left w:val="none" w:sz="0" w:space="0" w:color="auto"/>
            <w:bottom w:val="none" w:sz="0" w:space="0" w:color="auto"/>
            <w:right w:val="none" w:sz="0" w:space="0" w:color="auto"/>
          </w:divBdr>
        </w:div>
        <w:div w:id="1909536809">
          <w:marLeft w:val="480"/>
          <w:marRight w:val="0"/>
          <w:marTop w:val="0"/>
          <w:marBottom w:val="0"/>
          <w:divBdr>
            <w:top w:val="none" w:sz="0" w:space="0" w:color="auto"/>
            <w:left w:val="none" w:sz="0" w:space="0" w:color="auto"/>
            <w:bottom w:val="none" w:sz="0" w:space="0" w:color="auto"/>
            <w:right w:val="none" w:sz="0" w:space="0" w:color="auto"/>
          </w:divBdr>
        </w:div>
      </w:divsChild>
    </w:div>
    <w:div w:id="632443643">
      <w:marLeft w:val="480"/>
      <w:marRight w:val="0"/>
      <w:marTop w:val="0"/>
      <w:marBottom w:val="0"/>
      <w:divBdr>
        <w:top w:val="none" w:sz="0" w:space="0" w:color="auto"/>
        <w:left w:val="none" w:sz="0" w:space="0" w:color="auto"/>
        <w:bottom w:val="none" w:sz="0" w:space="0" w:color="auto"/>
        <w:right w:val="none" w:sz="0" w:space="0" w:color="auto"/>
      </w:divBdr>
    </w:div>
    <w:div w:id="634989076">
      <w:bodyDiv w:val="1"/>
      <w:marLeft w:val="0"/>
      <w:marRight w:val="0"/>
      <w:marTop w:val="0"/>
      <w:marBottom w:val="0"/>
      <w:divBdr>
        <w:top w:val="none" w:sz="0" w:space="0" w:color="auto"/>
        <w:left w:val="none" w:sz="0" w:space="0" w:color="auto"/>
        <w:bottom w:val="none" w:sz="0" w:space="0" w:color="auto"/>
        <w:right w:val="none" w:sz="0" w:space="0" w:color="auto"/>
      </w:divBdr>
    </w:div>
    <w:div w:id="637108100">
      <w:marLeft w:val="480"/>
      <w:marRight w:val="0"/>
      <w:marTop w:val="0"/>
      <w:marBottom w:val="0"/>
      <w:divBdr>
        <w:top w:val="none" w:sz="0" w:space="0" w:color="auto"/>
        <w:left w:val="none" w:sz="0" w:space="0" w:color="auto"/>
        <w:bottom w:val="none" w:sz="0" w:space="0" w:color="auto"/>
        <w:right w:val="none" w:sz="0" w:space="0" w:color="auto"/>
      </w:divBdr>
    </w:div>
    <w:div w:id="650183922">
      <w:bodyDiv w:val="1"/>
      <w:marLeft w:val="0"/>
      <w:marRight w:val="0"/>
      <w:marTop w:val="0"/>
      <w:marBottom w:val="0"/>
      <w:divBdr>
        <w:top w:val="none" w:sz="0" w:space="0" w:color="auto"/>
        <w:left w:val="none" w:sz="0" w:space="0" w:color="auto"/>
        <w:bottom w:val="none" w:sz="0" w:space="0" w:color="auto"/>
        <w:right w:val="none" w:sz="0" w:space="0" w:color="auto"/>
      </w:divBdr>
    </w:div>
    <w:div w:id="671030838">
      <w:marLeft w:val="480"/>
      <w:marRight w:val="0"/>
      <w:marTop w:val="0"/>
      <w:marBottom w:val="0"/>
      <w:divBdr>
        <w:top w:val="none" w:sz="0" w:space="0" w:color="auto"/>
        <w:left w:val="none" w:sz="0" w:space="0" w:color="auto"/>
        <w:bottom w:val="none" w:sz="0" w:space="0" w:color="auto"/>
        <w:right w:val="none" w:sz="0" w:space="0" w:color="auto"/>
      </w:divBdr>
    </w:div>
    <w:div w:id="697849774">
      <w:bodyDiv w:val="1"/>
      <w:marLeft w:val="0"/>
      <w:marRight w:val="0"/>
      <w:marTop w:val="0"/>
      <w:marBottom w:val="0"/>
      <w:divBdr>
        <w:top w:val="none" w:sz="0" w:space="0" w:color="auto"/>
        <w:left w:val="none" w:sz="0" w:space="0" w:color="auto"/>
        <w:bottom w:val="none" w:sz="0" w:space="0" w:color="auto"/>
        <w:right w:val="none" w:sz="0" w:space="0" w:color="auto"/>
      </w:divBdr>
      <w:divsChild>
        <w:div w:id="197013698">
          <w:marLeft w:val="480"/>
          <w:marRight w:val="0"/>
          <w:marTop w:val="0"/>
          <w:marBottom w:val="0"/>
          <w:divBdr>
            <w:top w:val="none" w:sz="0" w:space="0" w:color="auto"/>
            <w:left w:val="none" w:sz="0" w:space="0" w:color="auto"/>
            <w:bottom w:val="none" w:sz="0" w:space="0" w:color="auto"/>
            <w:right w:val="none" w:sz="0" w:space="0" w:color="auto"/>
          </w:divBdr>
        </w:div>
        <w:div w:id="292444016">
          <w:marLeft w:val="480"/>
          <w:marRight w:val="0"/>
          <w:marTop w:val="0"/>
          <w:marBottom w:val="0"/>
          <w:divBdr>
            <w:top w:val="none" w:sz="0" w:space="0" w:color="auto"/>
            <w:left w:val="none" w:sz="0" w:space="0" w:color="auto"/>
            <w:bottom w:val="none" w:sz="0" w:space="0" w:color="auto"/>
            <w:right w:val="none" w:sz="0" w:space="0" w:color="auto"/>
          </w:divBdr>
        </w:div>
        <w:div w:id="356928428">
          <w:marLeft w:val="480"/>
          <w:marRight w:val="0"/>
          <w:marTop w:val="0"/>
          <w:marBottom w:val="0"/>
          <w:divBdr>
            <w:top w:val="none" w:sz="0" w:space="0" w:color="auto"/>
            <w:left w:val="none" w:sz="0" w:space="0" w:color="auto"/>
            <w:bottom w:val="none" w:sz="0" w:space="0" w:color="auto"/>
            <w:right w:val="none" w:sz="0" w:space="0" w:color="auto"/>
          </w:divBdr>
        </w:div>
        <w:div w:id="405151677">
          <w:marLeft w:val="480"/>
          <w:marRight w:val="0"/>
          <w:marTop w:val="0"/>
          <w:marBottom w:val="0"/>
          <w:divBdr>
            <w:top w:val="none" w:sz="0" w:space="0" w:color="auto"/>
            <w:left w:val="none" w:sz="0" w:space="0" w:color="auto"/>
            <w:bottom w:val="none" w:sz="0" w:space="0" w:color="auto"/>
            <w:right w:val="none" w:sz="0" w:space="0" w:color="auto"/>
          </w:divBdr>
        </w:div>
        <w:div w:id="601499651">
          <w:marLeft w:val="480"/>
          <w:marRight w:val="0"/>
          <w:marTop w:val="0"/>
          <w:marBottom w:val="0"/>
          <w:divBdr>
            <w:top w:val="none" w:sz="0" w:space="0" w:color="auto"/>
            <w:left w:val="none" w:sz="0" w:space="0" w:color="auto"/>
            <w:bottom w:val="none" w:sz="0" w:space="0" w:color="auto"/>
            <w:right w:val="none" w:sz="0" w:space="0" w:color="auto"/>
          </w:divBdr>
        </w:div>
        <w:div w:id="637416706">
          <w:marLeft w:val="480"/>
          <w:marRight w:val="0"/>
          <w:marTop w:val="0"/>
          <w:marBottom w:val="0"/>
          <w:divBdr>
            <w:top w:val="none" w:sz="0" w:space="0" w:color="auto"/>
            <w:left w:val="none" w:sz="0" w:space="0" w:color="auto"/>
            <w:bottom w:val="none" w:sz="0" w:space="0" w:color="auto"/>
            <w:right w:val="none" w:sz="0" w:space="0" w:color="auto"/>
          </w:divBdr>
        </w:div>
        <w:div w:id="651061705">
          <w:marLeft w:val="480"/>
          <w:marRight w:val="0"/>
          <w:marTop w:val="0"/>
          <w:marBottom w:val="0"/>
          <w:divBdr>
            <w:top w:val="none" w:sz="0" w:space="0" w:color="auto"/>
            <w:left w:val="none" w:sz="0" w:space="0" w:color="auto"/>
            <w:bottom w:val="none" w:sz="0" w:space="0" w:color="auto"/>
            <w:right w:val="none" w:sz="0" w:space="0" w:color="auto"/>
          </w:divBdr>
        </w:div>
        <w:div w:id="725884176">
          <w:marLeft w:val="480"/>
          <w:marRight w:val="0"/>
          <w:marTop w:val="0"/>
          <w:marBottom w:val="0"/>
          <w:divBdr>
            <w:top w:val="none" w:sz="0" w:space="0" w:color="auto"/>
            <w:left w:val="none" w:sz="0" w:space="0" w:color="auto"/>
            <w:bottom w:val="none" w:sz="0" w:space="0" w:color="auto"/>
            <w:right w:val="none" w:sz="0" w:space="0" w:color="auto"/>
          </w:divBdr>
        </w:div>
        <w:div w:id="803818618">
          <w:marLeft w:val="480"/>
          <w:marRight w:val="0"/>
          <w:marTop w:val="0"/>
          <w:marBottom w:val="0"/>
          <w:divBdr>
            <w:top w:val="none" w:sz="0" w:space="0" w:color="auto"/>
            <w:left w:val="none" w:sz="0" w:space="0" w:color="auto"/>
            <w:bottom w:val="none" w:sz="0" w:space="0" w:color="auto"/>
            <w:right w:val="none" w:sz="0" w:space="0" w:color="auto"/>
          </w:divBdr>
        </w:div>
        <w:div w:id="804814055">
          <w:marLeft w:val="480"/>
          <w:marRight w:val="0"/>
          <w:marTop w:val="0"/>
          <w:marBottom w:val="0"/>
          <w:divBdr>
            <w:top w:val="none" w:sz="0" w:space="0" w:color="auto"/>
            <w:left w:val="none" w:sz="0" w:space="0" w:color="auto"/>
            <w:bottom w:val="none" w:sz="0" w:space="0" w:color="auto"/>
            <w:right w:val="none" w:sz="0" w:space="0" w:color="auto"/>
          </w:divBdr>
        </w:div>
        <w:div w:id="1095133063">
          <w:marLeft w:val="480"/>
          <w:marRight w:val="0"/>
          <w:marTop w:val="0"/>
          <w:marBottom w:val="0"/>
          <w:divBdr>
            <w:top w:val="none" w:sz="0" w:space="0" w:color="auto"/>
            <w:left w:val="none" w:sz="0" w:space="0" w:color="auto"/>
            <w:bottom w:val="none" w:sz="0" w:space="0" w:color="auto"/>
            <w:right w:val="none" w:sz="0" w:space="0" w:color="auto"/>
          </w:divBdr>
        </w:div>
        <w:div w:id="1270703113">
          <w:marLeft w:val="480"/>
          <w:marRight w:val="0"/>
          <w:marTop w:val="0"/>
          <w:marBottom w:val="0"/>
          <w:divBdr>
            <w:top w:val="none" w:sz="0" w:space="0" w:color="auto"/>
            <w:left w:val="none" w:sz="0" w:space="0" w:color="auto"/>
            <w:bottom w:val="none" w:sz="0" w:space="0" w:color="auto"/>
            <w:right w:val="none" w:sz="0" w:space="0" w:color="auto"/>
          </w:divBdr>
        </w:div>
        <w:div w:id="1295326446">
          <w:marLeft w:val="480"/>
          <w:marRight w:val="0"/>
          <w:marTop w:val="0"/>
          <w:marBottom w:val="0"/>
          <w:divBdr>
            <w:top w:val="none" w:sz="0" w:space="0" w:color="auto"/>
            <w:left w:val="none" w:sz="0" w:space="0" w:color="auto"/>
            <w:bottom w:val="none" w:sz="0" w:space="0" w:color="auto"/>
            <w:right w:val="none" w:sz="0" w:space="0" w:color="auto"/>
          </w:divBdr>
        </w:div>
        <w:div w:id="1437826717">
          <w:marLeft w:val="480"/>
          <w:marRight w:val="0"/>
          <w:marTop w:val="0"/>
          <w:marBottom w:val="0"/>
          <w:divBdr>
            <w:top w:val="none" w:sz="0" w:space="0" w:color="auto"/>
            <w:left w:val="none" w:sz="0" w:space="0" w:color="auto"/>
            <w:bottom w:val="none" w:sz="0" w:space="0" w:color="auto"/>
            <w:right w:val="none" w:sz="0" w:space="0" w:color="auto"/>
          </w:divBdr>
        </w:div>
        <w:div w:id="1788232256">
          <w:marLeft w:val="480"/>
          <w:marRight w:val="0"/>
          <w:marTop w:val="0"/>
          <w:marBottom w:val="0"/>
          <w:divBdr>
            <w:top w:val="none" w:sz="0" w:space="0" w:color="auto"/>
            <w:left w:val="none" w:sz="0" w:space="0" w:color="auto"/>
            <w:bottom w:val="none" w:sz="0" w:space="0" w:color="auto"/>
            <w:right w:val="none" w:sz="0" w:space="0" w:color="auto"/>
          </w:divBdr>
        </w:div>
        <w:div w:id="1816490587">
          <w:marLeft w:val="480"/>
          <w:marRight w:val="0"/>
          <w:marTop w:val="0"/>
          <w:marBottom w:val="0"/>
          <w:divBdr>
            <w:top w:val="none" w:sz="0" w:space="0" w:color="auto"/>
            <w:left w:val="none" w:sz="0" w:space="0" w:color="auto"/>
            <w:bottom w:val="none" w:sz="0" w:space="0" w:color="auto"/>
            <w:right w:val="none" w:sz="0" w:space="0" w:color="auto"/>
          </w:divBdr>
        </w:div>
        <w:div w:id="1892187490">
          <w:marLeft w:val="480"/>
          <w:marRight w:val="0"/>
          <w:marTop w:val="0"/>
          <w:marBottom w:val="0"/>
          <w:divBdr>
            <w:top w:val="none" w:sz="0" w:space="0" w:color="auto"/>
            <w:left w:val="none" w:sz="0" w:space="0" w:color="auto"/>
            <w:bottom w:val="none" w:sz="0" w:space="0" w:color="auto"/>
            <w:right w:val="none" w:sz="0" w:space="0" w:color="auto"/>
          </w:divBdr>
        </w:div>
        <w:div w:id="1908421390">
          <w:marLeft w:val="480"/>
          <w:marRight w:val="0"/>
          <w:marTop w:val="0"/>
          <w:marBottom w:val="0"/>
          <w:divBdr>
            <w:top w:val="none" w:sz="0" w:space="0" w:color="auto"/>
            <w:left w:val="none" w:sz="0" w:space="0" w:color="auto"/>
            <w:bottom w:val="none" w:sz="0" w:space="0" w:color="auto"/>
            <w:right w:val="none" w:sz="0" w:space="0" w:color="auto"/>
          </w:divBdr>
        </w:div>
        <w:div w:id="1920601713">
          <w:marLeft w:val="480"/>
          <w:marRight w:val="0"/>
          <w:marTop w:val="0"/>
          <w:marBottom w:val="0"/>
          <w:divBdr>
            <w:top w:val="none" w:sz="0" w:space="0" w:color="auto"/>
            <w:left w:val="none" w:sz="0" w:space="0" w:color="auto"/>
            <w:bottom w:val="none" w:sz="0" w:space="0" w:color="auto"/>
            <w:right w:val="none" w:sz="0" w:space="0" w:color="auto"/>
          </w:divBdr>
        </w:div>
      </w:divsChild>
    </w:div>
    <w:div w:id="718169332">
      <w:marLeft w:val="480"/>
      <w:marRight w:val="0"/>
      <w:marTop w:val="0"/>
      <w:marBottom w:val="0"/>
      <w:divBdr>
        <w:top w:val="none" w:sz="0" w:space="0" w:color="auto"/>
        <w:left w:val="none" w:sz="0" w:space="0" w:color="auto"/>
        <w:bottom w:val="none" w:sz="0" w:space="0" w:color="auto"/>
        <w:right w:val="none" w:sz="0" w:space="0" w:color="auto"/>
      </w:divBdr>
    </w:div>
    <w:div w:id="780877855">
      <w:bodyDiv w:val="1"/>
      <w:marLeft w:val="0"/>
      <w:marRight w:val="0"/>
      <w:marTop w:val="0"/>
      <w:marBottom w:val="0"/>
      <w:divBdr>
        <w:top w:val="none" w:sz="0" w:space="0" w:color="auto"/>
        <w:left w:val="none" w:sz="0" w:space="0" w:color="auto"/>
        <w:bottom w:val="none" w:sz="0" w:space="0" w:color="auto"/>
        <w:right w:val="none" w:sz="0" w:space="0" w:color="auto"/>
      </w:divBdr>
    </w:div>
    <w:div w:id="793712518">
      <w:marLeft w:val="480"/>
      <w:marRight w:val="0"/>
      <w:marTop w:val="0"/>
      <w:marBottom w:val="0"/>
      <w:divBdr>
        <w:top w:val="none" w:sz="0" w:space="0" w:color="auto"/>
        <w:left w:val="none" w:sz="0" w:space="0" w:color="auto"/>
        <w:bottom w:val="none" w:sz="0" w:space="0" w:color="auto"/>
        <w:right w:val="none" w:sz="0" w:space="0" w:color="auto"/>
      </w:divBdr>
    </w:div>
    <w:div w:id="814494316">
      <w:bodyDiv w:val="1"/>
      <w:marLeft w:val="0"/>
      <w:marRight w:val="0"/>
      <w:marTop w:val="0"/>
      <w:marBottom w:val="0"/>
      <w:divBdr>
        <w:top w:val="none" w:sz="0" w:space="0" w:color="auto"/>
        <w:left w:val="none" w:sz="0" w:space="0" w:color="auto"/>
        <w:bottom w:val="none" w:sz="0" w:space="0" w:color="auto"/>
        <w:right w:val="none" w:sz="0" w:space="0" w:color="auto"/>
      </w:divBdr>
    </w:div>
    <w:div w:id="836579017">
      <w:bodyDiv w:val="1"/>
      <w:marLeft w:val="0"/>
      <w:marRight w:val="0"/>
      <w:marTop w:val="0"/>
      <w:marBottom w:val="0"/>
      <w:divBdr>
        <w:top w:val="none" w:sz="0" w:space="0" w:color="auto"/>
        <w:left w:val="none" w:sz="0" w:space="0" w:color="auto"/>
        <w:bottom w:val="none" w:sz="0" w:space="0" w:color="auto"/>
        <w:right w:val="none" w:sz="0" w:space="0" w:color="auto"/>
      </w:divBdr>
    </w:div>
    <w:div w:id="876352741">
      <w:marLeft w:val="480"/>
      <w:marRight w:val="0"/>
      <w:marTop w:val="0"/>
      <w:marBottom w:val="0"/>
      <w:divBdr>
        <w:top w:val="none" w:sz="0" w:space="0" w:color="auto"/>
        <w:left w:val="none" w:sz="0" w:space="0" w:color="auto"/>
        <w:bottom w:val="none" w:sz="0" w:space="0" w:color="auto"/>
        <w:right w:val="none" w:sz="0" w:space="0" w:color="auto"/>
      </w:divBdr>
    </w:div>
    <w:div w:id="884560222">
      <w:bodyDiv w:val="1"/>
      <w:marLeft w:val="0"/>
      <w:marRight w:val="0"/>
      <w:marTop w:val="0"/>
      <w:marBottom w:val="0"/>
      <w:divBdr>
        <w:top w:val="none" w:sz="0" w:space="0" w:color="auto"/>
        <w:left w:val="none" w:sz="0" w:space="0" w:color="auto"/>
        <w:bottom w:val="none" w:sz="0" w:space="0" w:color="auto"/>
        <w:right w:val="none" w:sz="0" w:space="0" w:color="auto"/>
      </w:divBdr>
      <w:divsChild>
        <w:div w:id="1671177506">
          <w:marLeft w:val="480"/>
          <w:marRight w:val="0"/>
          <w:marTop w:val="0"/>
          <w:marBottom w:val="0"/>
          <w:divBdr>
            <w:top w:val="none" w:sz="0" w:space="0" w:color="auto"/>
            <w:left w:val="none" w:sz="0" w:space="0" w:color="auto"/>
            <w:bottom w:val="none" w:sz="0" w:space="0" w:color="auto"/>
            <w:right w:val="none" w:sz="0" w:space="0" w:color="auto"/>
          </w:divBdr>
        </w:div>
        <w:div w:id="449251490">
          <w:marLeft w:val="480"/>
          <w:marRight w:val="0"/>
          <w:marTop w:val="0"/>
          <w:marBottom w:val="0"/>
          <w:divBdr>
            <w:top w:val="none" w:sz="0" w:space="0" w:color="auto"/>
            <w:left w:val="none" w:sz="0" w:space="0" w:color="auto"/>
            <w:bottom w:val="none" w:sz="0" w:space="0" w:color="auto"/>
            <w:right w:val="none" w:sz="0" w:space="0" w:color="auto"/>
          </w:divBdr>
        </w:div>
        <w:div w:id="746075598">
          <w:marLeft w:val="480"/>
          <w:marRight w:val="0"/>
          <w:marTop w:val="0"/>
          <w:marBottom w:val="0"/>
          <w:divBdr>
            <w:top w:val="none" w:sz="0" w:space="0" w:color="auto"/>
            <w:left w:val="none" w:sz="0" w:space="0" w:color="auto"/>
            <w:bottom w:val="none" w:sz="0" w:space="0" w:color="auto"/>
            <w:right w:val="none" w:sz="0" w:space="0" w:color="auto"/>
          </w:divBdr>
        </w:div>
        <w:div w:id="846792189">
          <w:marLeft w:val="480"/>
          <w:marRight w:val="0"/>
          <w:marTop w:val="0"/>
          <w:marBottom w:val="0"/>
          <w:divBdr>
            <w:top w:val="none" w:sz="0" w:space="0" w:color="auto"/>
            <w:left w:val="none" w:sz="0" w:space="0" w:color="auto"/>
            <w:bottom w:val="none" w:sz="0" w:space="0" w:color="auto"/>
            <w:right w:val="none" w:sz="0" w:space="0" w:color="auto"/>
          </w:divBdr>
        </w:div>
        <w:div w:id="887448248">
          <w:marLeft w:val="480"/>
          <w:marRight w:val="0"/>
          <w:marTop w:val="0"/>
          <w:marBottom w:val="0"/>
          <w:divBdr>
            <w:top w:val="none" w:sz="0" w:space="0" w:color="auto"/>
            <w:left w:val="none" w:sz="0" w:space="0" w:color="auto"/>
            <w:bottom w:val="none" w:sz="0" w:space="0" w:color="auto"/>
            <w:right w:val="none" w:sz="0" w:space="0" w:color="auto"/>
          </w:divBdr>
        </w:div>
        <w:div w:id="1339311323">
          <w:marLeft w:val="480"/>
          <w:marRight w:val="0"/>
          <w:marTop w:val="0"/>
          <w:marBottom w:val="0"/>
          <w:divBdr>
            <w:top w:val="none" w:sz="0" w:space="0" w:color="auto"/>
            <w:left w:val="none" w:sz="0" w:space="0" w:color="auto"/>
            <w:bottom w:val="none" w:sz="0" w:space="0" w:color="auto"/>
            <w:right w:val="none" w:sz="0" w:space="0" w:color="auto"/>
          </w:divBdr>
        </w:div>
        <w:div w:id="869685421">
          <w:marLeft w:val="480"/>
          <w:marRight w:val="0"/>
          <w:marTop w:val="0"/>
          <w:marBottom w:val="0"/>
          <w:divBdr>
            <w:top w:val="none" w:sz="0" w:space="0" w:color="auto"/>
            <w:left w:val="none" w:sz="0" w:space="0" w:color="auto"/>
            <w:bottom w:val="none" w:sz="0" w:space="0" w:color="auto"/>
            <w:right w:val="none" w:sz="0" w:space="0" w:color="auto"/>
          </w:divBdr>
        </w:div>
        <w:div w:id="2132550172">
          <w:marLeft w:val="480"/>
          <w:marRight w:val="0"/>
          <w:marTop w:val="0"/>
          <w:marBottom w:val="0"/>
          <w:divBdr>
            <w:top w:val="none" w:sz="0" w:space="0" w:color="auto"/>
            <w:left w:val="none" w:sz="0" w:space="0" w:color="auto"/>
            <w:bottom w:val="none" w:sz="0" w:space="0" w:color="auto"/>
            <w:right w:val="none" w:sz="0" w:space="0" w:color="auto"/>
          </w:divBdr>
        </w:div>
        <w:div w:id="751006586">
          <w:marLeft w:val="480"/>
          <w:marRight w:val="0"/>
          <w:marTop w:val="0"/>
          <w:marBottom w:val="0"/>
          <w:divBdr>
            <w:top w:val="none" w:sz="0" w:space="0" w:color="auto"/>
            <w:left w:val="none" w:sz="0" w:space="0" w:color="auto"/>
            <w:bottom w:val="none" w:sz="0" w:space="0" w:color="auto"/>
            <w:right w:val="none" w:sz="0" w:space="0" w:color="auto"/>
          </w:divBdr>
        </w:div>
        <w:div w:id="904218177">
          <w:marLeft w:val="480"/>
          <w:marRight w:val="0"/>
          <w:marTop w:val="0"/>
          <w:marBottom w:val="0"/>
          <w:divBdr>
            <w:top w:val="none" w:sz="0" w:space="0" w:color="auto"/>
            <w:left w:val="none" w:sz="0" w:space="0" w:color="auto"/>
            <w:bottom w:val="none" w:sz="0" w:space="0" w:color="auto"/>
            <w:right w:val="none" w:sz="0" w:space="0" w:color="auto"/>
          </w:divBdr>
        </w:div>
        <w:div w:id="1379628985">
          <w:marLeft w:val="480"/>
          <w:marRight w:val="0"/>
          <w:marTop w:val="0"/>
          <w:marBottom w:val="0"/>
          <w:divBdr>
            <w:top w:val="none" w:sz="0" w:space="0" w:color="auto"/>
            <w:left w:val="none" w:sz="0" w:space="0" w:color="auto"/>
            <w:bottom w:val="none" w:sz="0" w:space="0" w:color="auto"/>
            <w:right w:val="none" w:sz="0" w:space="0" w:color="auto"/>
          </w:divBdr>
        </w:div>
        <w:div w:id="835462136">
          <w:marLeft w:val="480"/>
          <w:marRight w:val="0"/>
          <w:marTop w:val="0"/>
          <w:marBottom w:val="0"/>
          <w:divBdr>
            <w:top w:val="none" w:sz="0" w:space="0" w:color="auto"/>
            <w:left w:val="none" w:sz="0" w:space="0" w:color="auto"/>
            <w:bottom w:val="none" w:sz="0" w:space="0" w:color="auto"/>
            <w:right w:val="none" w:sz="0" w:space="0" w:color="auto"/>
          </w:divBdr>
        </w:div>
        <w:div w:id="1990279467">
          <w:marLeft w:val="480"/>
          <w:marRight w:val="0"/>
          <w:marTop w:val="0"/>
          <w:marBottom w:val="0"/>
          <w:divBdr>
            <w:top w:val="none" w:sz="0" w:space="0" w:color="auto"/>
            <w:left w:val="none" w:sz="0" w:space="0" w:color="auto"/>
            <w:bottom w:val="none" w:sz="0" w:space="0" w:color="auto"/>
            <w:right w:val="none" w:sz="0" w:space="0" w:color="auto"/>
          </w:divBdr>
        </w:div>
        <w:div w:id="737940015">
          <w:marLeft w:val="480"/>
          <w:marRight w:val="0"/>
          <w:marTop w:val="0"/>
          <w:marBottom w:val="0"/>
          <w:divBdr>
            <w:top w:val="none" w:sz="0" w:space="0" w:color="auto"/>
            <w:left w:val="none" w:sz="0" w:space="0" w:color="auto"/>
            <w:bottom w:val="none" w:sz="0" w:space="0" w:color="auto"/>
            <w:right w:val="none" w:sz="0" w:space="0" w:color="auto"/>
          </w:divBdr>
        </w:div>
        <w:div w:id="580526093">
          <w:marLeft w:val="480"/>
          <w:marRight w:val="0"/>
          <w:marTop w:val="0"/>
          <w:marBottom w:val="0"/>
          <w:divBdr>
            <w:top w:val="none" w:sz="0" w:space="0" w:color="auto"/>
            <w:left w:val="none" w:sz="0" w:space="0" w:color="auto"/>
            <w:bottom w:val="none" w:sz="0" w:space="0" w:color="auto"/>
            <w:right w:val="none" w:sz="0" w:space="0" w:color="auto"/>
          </w:divBdr>
        </w:div>
        <w:div w:id="427775965">
          <w:marLeft w:val="480"/>
          <w:marRight w:val="0"/>
          <w:marTop w:val="0"/>
          <w:marBottom w:val="0"/>
          <w:divBdr>
            <w:top w:val="none" w:sz="0" w:space="0" w:color="auto"/>
            <w:left w:val="none" w:sz="0" w:space="0" w:color="auto"/>
            <w:bottom w:val="none" w:sz="0" w:space="0" w:color="auto"/>
            <w:right w:val="none" w:sz="0" w:space="0" w:color="auto"/>
          </w:divBdr>
        </w:div>
        <w:div w:id="1466003309">
          <w:marLeft w:val="480"/>
          <w:marRight w:val="0"/>
          <w:marTop w:val="0"/>
          <w:marBottom w:val="0"/>
          <w:divBdr>
            <w:top w:val="none" w:sz="0" w:space="0" w:color="auto"/>
            <w:left w:val="none" w:sz="0" w:space="0" w:color="auto"/>
            <w:bottom w:val="none" w:sz="0" w:space="0" w:color="auto"/>
            <w:right w:val="none" w:sz="0" w:space="0" w:color="auto"/>
          </w:divBdr>
        </w:div>
        <w:div w:id="1068499819">
          <w:marLeft w:val="480"/>
          <w:marRight w:val="0"/>
          <w:marTop w:val="0"/>
          <w:marBottom w:val="0"/>
          <w:divBdr>
            <w:top w:val="none" w:sz="0" w:space="0" w:color="auto"/>
            <w:left w:val="none" w:sz="0" w:space="0" w:color="auto"/>
            <w:bottom w:val="none" w:sz="0" w:space="0" w:color="auto"/>
            <w:right w:val="none" w:sz="0" w:space="0" w:color="auto"/>
          </w:divBdr>
        </w:div>
      </w:divsChild>
    </w:div>
    <w:div w:id="889926835">
      <w:marLeft w:val="480"/>
      <w:marRight w:val="0"/>
      <w:marTop w:val="0"/>
      <w:marBottom w:val="0"/>
      <w:divBdr>
        <w:top w:val="none" w:sz="0" w:space="0" w:color="auto"/>
        <w:left w:val="none" w:sz="0" w:space="0" w:color="auto"/>
        <w:bottom w:val="none" w:sz="0" w:space="0" w:color="auto"/>
        <w:right w:val="none" w:sz="0" w:space="0" w:color="auto"/>
      </w:divBdr>
    </w:div>
    <w:div w:id="909576081">
      <w:marLeft w:val="480"/>
      <w:marRight w:val="0"/>
      <w:marTop w:val="0"/>
      <w:marBottom w:val="0"/>
      <w:divBdr>
        <w:top w:val="none" w:sz="0" w:space="0" w:color="auto"/>
        <w:left w:val="none" w:sz="0" w:space="0" w:color="auto"/>
        <w:bottom w:val="none" w:sz="0" w:space="0" w:color="auto"/>
        <w:right w:val="none" w:sz="0" w:space="0" w:color="auto"/>
      </w:divBdr>
    </w:div>
    <w:div w:id="951476609">
      <w:marLeft w:val="480"/>
      <w:marRight w:val="0"/>
      <w:marTop w:val="0"/>
      <w:marBottom w:val="0"/>
      <w:divBdr>
        <w:top w:val="none" w:sz="0" w:space="0" w:color="auto"/>
        <w:left w:val="none" w:sz="0" w:space="0" w:color="auto"/>
        <w:bottom w:val="none" w:sz="0" w:space="0" w:color="auto"/>
        <w:right w:val="none" w:sz="0" w:space="0" w:color="auto"/>
      </w:divBdr>
    </w:div>
    <w:div w:id="976297748">
      <w:bodyDiv w:val="1"/>
      <w:marLeft w:val="0"/>
      <w:marRight w:val="0"/>
      <w:marTop w:val="0"/>
      <w:marBottom w:val="0"/>
      <w:divBdr>
        <w:top w:val="none" w:sz="0" w:space="0" w:color="auto"/>
        <w:left w:val="none" w:sz="0" w:space="0" w:color="auto"/>
        <w:bottom w:val="none" w:sz="0" w:space="0" w:color="auto"/>
        <w:right w:val="none" w:sz="0" w:space="0" w:color="auto"/>
      </w:divBdr>
      <w:divsChild>
        <w:div w:id="28069267">
          <w:marLeft w:val="480"/>
          <w:marRight w:val="0"/>
          <w:marTop w:val="0"/>
          <w:marBottom w:val="0"/>
          <w:divBdr>
            <w:top w:val="none" w:sz="0" w:space="0" w:color="auto"/>
            <w:left w:val="none" w:sz="0" w:space="0" w:color="auto"/>
            <w:bottom w:val="none" w:sz="0" w:space="0" w:color="auto"/>
            <w:right w:val="none" w:sz="0" w:space="0" w:color="auto"/>
          </w:divBdr>
        </w:div>
        <w:div w:id="70852079">
          <w:marLeft w:val="480"/>
          <w:marRight w:val="0"/>
          <w:marTop w:val="0"/>
          <w:marBottom w:val="0"/>
          <w:divBdr>
            <w:top w:val="none" w:sz="0" w:space="0" w:color="auto"/>
            <w:left w:val="none" w:sz="0" w:space="0" w:color="auto"/>
            <w:bottom w:val="none" w:sz="0" w:space="0" w:color="auto"/>
            <w:right w:val="none" w:sz="0" w:space="0" w:color="auto"/>
          </w:divBdr>
        </w:div>
        <w:div w:id="143400633">
          <w:marLeft w:val="480"/>
          <w:marRight w:val="0"/>
          <w:marTop w:val="0"/>
          <w:marBottom w:val="0"/>
          <w:divBdr>
            <w:top w:val="none" w:sz="0" w:space="0" w:color="auto"/>
            <w:left w:val="none" w:sz="0" w:space="0" w:color="auto"/>
            <w:bottom w:val="none" w:sz="0" w:space="0" w:color="auto"/>
            <w:right w:val="none" w:sz="0" w:space="0" w:color="auto"/>
          </w:divBdr>
        </w:div>
        <w:div w:id="147527510">
          <w:marLeft w:val="480"/>
          <w:marRight w:val="0"/>
          <w:marTop w:val="0"/>
          <w:marBottom w:val="0"/>
          <w:divBdr>
            <w:top w:val="none" w:sz="0" w:space="0" w:color="auto"/>
            <w:left w:val="none" w:sz="0" w:space="0" w:color="auto"/>
            <w:bottom w:val="none" w:sz="0" w:space="0" w:color="auto"/>
            <w:right w:val="none" w:sz="0" w:space="0" w:color="auto"/>
          </w:divBdr>
        </w:div>
        <w:div w:id="334501929">
          <w:marLeft w:val="480"/>
          <w:marRight w:val="0"/>
          <w:marTop w:val="0"/>
          <w:marBottom w:val="0"/>
          <w:divBdr>
            <w:top w:val="none" w:sz="0" w:space="0" w:color="auto"/>
            <w:left w:val="none" w:sz="0" w:space="0" w:color="auto"/>
            <w:bottom w:val="none" w:sz="0" w:space="0" w:color="auto"/>
            <w:right w:val="none" w:sz="0" w:space="0" w:color="auto"/>
          </w:divBdr>
        </w:div>
        <w:div w:id="352196461">
          <w:marLeft w:val="480"/>
          <w:marRight w:val="0"/>
          <w:marTop w:val="0"/>
          <w:marBottom w:val="0"/>
          <w:divBdr>
            <w:top w:val="none" w:sz="0" w:space="0" w:color="auto"/>
            <w:left w:val="none" w:sz="0" w:space="0" w:color="auto"/>
            <w:bottom w:val="none" w:sz="0" w:space="0" w:color="auto"/>
            <w:right w:val="none" w:sz="0" w:space="0" w:color="auto"/>
          </w:divBdr>
        </w:div>
        <w:div w:id="392777533">
          <w:marLeft w:val="480"/>
          <w:marRight w:val="0"/>
          <w:marTop w:val="0"/>
          <w:marBottom w:val="0"/>
          <w:divBdr>
            <w:top w:val="none" w:sz="0" w:space="0" w:color="auto"/>
            <w:left w:val="none" w:sz="0" w:space="0" w:color="auto"/>
            <w:bottom w:val="none" w:sz="0" w:space="0" w:color="auto"/>
            <w:right w:val="none" w:sz="0" w:space="0" w:color="auto"/>
          </w:divBdr>
        </w:div>
        <w:div w:id="396823768">
          <w:marLeft w:val="480"/>
          <w:marRight w:val="0"/>
          <w:marTop w:val="0"/>
          <w:marBottom w:val="0"/>
          <w:divBdr>
            <w:top w:val="none" w:sz="0" w:space="0" w:color="auto"/>
            <w:left w:val="none" w:sz="0" w:space="0" w:color="auto"/>
            <w:bottom w:val="none" w:sz="0" w:space="0" w:color="auto"/>
            <w:right w:val="none" w:sz="0" w:space="0" w:color="auto"/>
          </w:divBdr>
        </w:div>
        <w:div w:id="570166200">
          <w:marLeft w:val="480"/>
          <w:marRight w:val="0"/>
          <w:marTop w:val="0"/>
          <w:marBottom w:val="0"/>
          <w:divBdr>
            <w:top w:val="none" w:sz="0" w:space="0" w:color="auto"/>
            <w:left w:val="none" w:sz="0" w:space="0" w:color="auto"/>
            <w:bottom w:val="none" w:sz="0" w:space="0" w:color="auto"/>
            <w:right w:val="none" w:sz="0" w:space="0" w:color="auto"/>
          </w:divBdr>
        </w:div>
        <w:div w:id="648629942">
          <w:marLeft w:val="480"/>
          <w:marRight w:val="0"/>
          <w:marTop w:val="0"/>
          <w:marBottom w:val="0"/>
          <w:divBdr>
            <w:top w:val="none" w:sz="0" w:space="0" w:color="auto"/>
            <w:left w:val="none" w:sz="0" w:space="0" w:color="auto"/>
            <w:bottom w:val="none" w:sz="0" w:space="0" w:color="auto"/>
            <w:right w:val="none" w:sz="0" w:space="0" w:color="auto"/>
          </w:divBdr>
        </w:div>
        <w:div w:id="652375202">
          <w:marLeft w:val="480"/>
          <w:marRight w:val="0"/>
          <w:marTop w:val="0"/>
          <w:marBottom w:val="0"/>
          <w:divBdr>
            <w:top w:val="none" w:sz="0" w:space="0" w:color="auto"/>
            <w:left w:val="none" w:sz="0" w:space="0" w:color="auto"/>
            <w:bottom w:val="none" w:sz="0" w:space="0" w:color="auto"/>
            <w:right w:val="none" w:sz="0" w:space="0" w:color="auto"/>
          </w:divBdr>
        </w:div>
        <w:div w:id="667637561">
          <w:marLeft w:val="480"/>
          <w:marRight w:val="0"/>
          <w:marTop w:val="0"/>
          <w:marBottom w:val="0"/>
          <w:divBdr>
            <w:top w:val="none" w:sz="0" w:space="0" w:color="auto"/>
            <w:left w:val="none" w:sz="0" w:space="0" w:color="auto"/>
            <w:bottom w:val="none" w:sz="0" w:space="0" w:color="auto"/>
            <w:right w:val="none" w:sz="0" w:space="0" w:color="auto"/>
          </w:divBdr>
        </w:div>
        <w:div w:id="708606498">
          <w:marLeft w:val="480"/>
          <w:marRight w:val="0"/>
          <w:marTop w:val="0"/>
          <w:marBottom w:val="0"/>
          <w:divBdr>
            <w:top w:val="none" w:sz="0" w:space="0" w:color="auto"/>
            <w:left w:val="none" w:sz="0" w:space="0" w:color="auto"/>
            <w:bottom w:val="none" w:sz="0" w:space="0" w:color="auto"/>
            <w:right w:val="none" w:sz="0" w:space="0" w:color="auto"/>
          </w:divBdr>
        </w:div>
        <w:div w:id="741486933">
          <w:marLeft w:val="480"/>
          <w:marRight w:val="0"/>
          <w:marTop w:val="0"/>
          <w:marBottom w:val="0"/>
          <w:divBdr>
            <w:top w:val="none" w:sz="0" w:space="0" w:color="auto"/>
            <w:left w:val="none" w:sz="0" w:space="0" w:color="auto"/>
            <w:bottom w:val="none" w:sz="0" w:space="0" w:color="auto"/>
            <w:right w:val="none" w:sz="0" w:space="0" w:color="auto"/>
          </w:divBdr>
        </w:div>
        <w:div w:id="814296190">
          <w:marLeft w:val="480"/>
          <w:marRight w:val="0"/>
          <w:marTop w:val="0"/>
          <w:marBottom w:val="0"/>
          <w:divBdr>
            <w:top w:val="none" w:sz="0" w:space="0" w:color="auto"/>
            <w:left w:val="none" w:sz="0" w:space="0" w:color="auto"/>
            <w:bottom w:val="none" w:sz="0" w:space="0" w:color="auto"/>
            <w:right w:val="none" w:sz="0" w:space="0" w:color="auto"/>
          </w:divBdr>
        </w:div>
        <w:div w:id="905340742">
          <w:marLeft w:val="480"/>
          <w:marRight w:val="0"/>
          <w:marTop w:val="0"/>
          <w:marBottom w:val="0"/>
          <w:divBdr>
            <w:top w:val="none" w:sz="0" w:space="0" w:color="auto"/>
            <w:left w:val="none" w:sz="0" w:space="0" w:color="auto"/>
            <w:bottom w:val="none" w:sz="0" w:space="0" w:color="auto"/>
            <w:right w:val="none" w:sz="0" w:space="0" w:color="auto"/>
          </w:divBdr>
        </w:div>
        <w:div w:id="975336380">
          <w:marLeft w:val="480"/>
          <w:marRight w:val="0"/>
          <w:marTop w:val="0"/>
          <w:marBottom w:val="0"/>
          <w:divBdr>
            <w:top w:val="none" w:sz="0" w:space="0" w:color="auto"/>
            <w:left w:val="none" w:sz="0" w:space="0" w:color="auto"/>
            <w:bottom w:val="none" w:sz="0" w:space="0" w:color="auto"/>
            <w:right w:val="none" w:sz="0" w:space="0" w:color="auto"/>
          </w:divBdr>
        </w:div>
        <w:div w:id="986591221">
          <w:marLeft w:val="480"/>
          <w:marRight w:val="0"/>
          <w:marTop w:val="0"/>
          <w:marBottom w:val="0"/>
          <w:divBdr>
            <w:top w:val="none" w:sz="0" w:space="0" w:color="auto"/>
            <w:left w:val="none" w:sz="0" w:space="0" w:color="auto"/>
            <w:bottom w:val="none" w:sz="0" w:space="0" w:color="auto"/>
            <w:right w:val="none" w:sz="0" w:space="0" w:color="auto"/>
          </w:divBdr>
        </w:div>
        <w:div w:id="1231037212">
          <w:marLeft w:val="480"/>
          <w:marRight w:val="0"/>
          <w:marTop w:val="0"/>
          <w:marBottom w:val="0"/>
          <w:divBdr>
            <w:top w:val="none" w:sz="0" w:space="0" w:color="auto"/>
            <w:left w:val="none" w:sz="0" w:space="0" w:color="auto"/>
            <w:bottom w:val="none" w:sz="0" w:space="0" w:color="auto"/>
            <w:right w:val="none" w:sz="0" w:space="0" w:color="auto"/>
          </w:divBdr>
        </w:div>
        <w:div w:id="1256398474">
          <w:marLeft w:val="480"/>
          <w:marRight w:val="0"/>
          <w:marTop w:val="0"/>
          <w:marBottom w:val="0"/>
          <w:divBdr>
            <w:top w:val="none" w:sz="0" w:space="0" w:color="auto"/>
            <w:left w:val="none" w:sz="0" w:space="0" w:color="auto"/>
            <w:bottom w:val="none" w:sz="0" w:space="0" w:color="auto"/>
            <w:right w:val="none" w:sz="0" w:space="0" w:color="auto"/>
          </w:divBdr>
        </w:div>
        <w:div w:id="1861435393">
          <w:marLeft w:val="480"/>
          <w:marRight w:val="0"/>
          <w:marTop w:val="0"/>
          <w:marBottom w:val="0"/>
          <w:divBdr>
            <w:top w:val="none" w:sz="0" w:space="0" w:color="auto"/>
            <w:left w:val="none" w:sz="0" w:space="0" w:color="auto"/>
            <w:bottom w:val="none" w:sz="0" w:space="0" w:color="auto"/>
            <w:right w:val="none" w:sz="0" w:space="0" w:color="auto"/>
          </w:divBdr>
        </w:div>
        <w:div w:id="1864515015">
          <w:marLeft w:val="480"/>
          <w:marRight w:val="0"/>
          <w:marTop w:val="0"/>
          <w:marBottom w:val="0"/>
          <w:divBdr>
            <w:top w:val="none" w:sz="0" w:space="0" w:color="auto"/>
            <w:left w:val="none" w:sz="0" w:space="0" w:color="auto"/>
            <w:bottom w:val="none" w:sz="0" w:space="0" w:color="auto"/>
            <w:right w:val="none" w:sz="0" w:space="0" w:color="auto"/>
          </w:divBdr>
        </w:div>
        <w:div w:id="1884756905">
          <w:marLeft w:val="480"/>
          <w:marRight w:val="0"/>
          <w:marTop w:val="0"/>
          <w:marBottom w:val="0"/>
          <w:divBdr>
            <w:top w:val="none" w:sz="0" w:space="0" w:color="auto"/>
            <w:left w:val="none" w:sz="0" w:space="0" w:color="auto"/>
            <w:bottom w:val="none" w:sz="0" w:space="0" w:color="auto"/>
            <w:right w:val="none" w:sz="0" w:space="0" w:color="auto"/>
          </w:divBdr>
        </w:div>
      </w:divsChild>
    </w:div>
    <w:div w:id="995842354">
      <w:bodyDiv w:val="1"/>
      <w:marLeft w:val="0"/>
      <w:marRight w:val="0"/>
      <w:marTop w:val="0"/>
      <w:marBottom w:val="0"/>
      <w:divBdr>
        <w:top w:val="none" w:sz="0" w:space="0" w:color="auto"/>
        <w:left w:val="none" w:sz="0" w:space="0" w:color="auto"/>
        <w:bottom w:val="none" w:sz="0" w:space="0" w:color="auto"/>
        <w:right w:val="none" w:sz="0" w:space="0" w:color="auto"/>
      </w:divBdr>
      <w:divsChild>
        <w:div w:id="546373664">
          <w:marLeft w:val="480"/>
          <w:marRight w:val="0"/>
          <w:marTop w:val="0"/>
          <w:marBottom w:val="0"/>
          <w:divBdr>
            <w:top w:val="none" w:sz="0" w:space="0" w:color="auto"/>
            <w:left w:val="none" w:sz="0" w:space="0" w:color="auto"/>
            <w:bottom w:val="none" w:sz="0" w:space="0" w:color="auto"/>
            <w:right w:val="none" w:sz="0" w:space="0" w:color="auto"/>
          </w:divBdr>
        </w:div>
        <w:div w:id="693462829">
          <w:marLeft w:val="480"/>
          <w:marRight w:val="0"/>
          <w:marTop w:val="0"/>
          <w:marBottom w:val="0"/>
          <w:divBdr>
            <w:top w:val="none" w:sz="0" w:space="0" w:color="auto"/>
            <w:left w:val="none" w:sz="0" w:space="0" w:color="auto"/>
            <w:bottom w:val="none" w:sz="0" w:space="0" w:color="auto"/>
            <w:right w:val="none" w:sz="0" w:space="0" w:color="auto"/>
          </w:divBdr>
        </w:div>
        <w:div w:id="762142440">
          <w:marLeft w:val="480"/>
          <w:marRight w:val="0"/>
          <w:marTop w:val="0"/>
          <w:marBottom w:val="0"/>
          <w:divBdr>
            <w:top w:val="none" w:sz="0" w:space="0" w:color="auto"/>
            <w:left w:val="none" w:sz="0" w:space="0" w:color="auto"/>
            <w:bottom w:val="none" w:sz="0" w:space="0" w:color="auto"/>
            <w:right w:val="none" w:sz="0" w:space="0" w:color="auto"/>
          </w:divBdr>
        </w:div>
        <w:div w:id="1429085611">
          <w:marLeft w:val="480"/>
          <w:marRight w:val="0"/>
          <w:marTop w:val="0"/>
          <w:marBottom w:val="0"/>
          <w:divBdr>
            <w:top w:val="none" w:sz="0" w:space="0" w:color="auto"/>
            <w:left w:val="none" w:sz="0" w:space="0" w:color="auto"/>
            <w:bottom w:val="none" w:sz="0" w:space="0" w:color="auto"/>
            <w:right w:val="none" w:sz="0" w:space="0" w:color="auto"/>
          </w:divBdr>
        </w:div>
        <w:div w:id="1566380345">
          <w:marLeft w:val="480"/>
          <w:marRight w:val="0"/>
          <w:marTop w:val="0"/>
          <w:marBottom w:val="0"/>
          <w:divBdr>
            <w:top w:val="none" w:sz="0" w:space="0" w:color="auto"/>
            <w:left w:val="none" w:sz="0" w:space="0" w:color="auto"/>
            <w:bottom w:val="none" w:sz="0" w:space="0" w:color="auto"/>
            <w:right w:val="none" w:sz="0" w:space="0" w:color="auto"/>
          </w:divBdr>
        </w:div>
        <w:div w:id="1645744058">
          <w:marLeft w:val="480"/>
          <w:marRight w:val="0"/>
          <w:marTop w:val="0"/>
          <w:marBottom w:val="0"/>
          <w:divBdr>
            <w:top w:val="none" w:sz="0" w:space="0" w:color="auto"/>
            <w:left w:val="none" w:sz="0" w:space="0" w:color="auto"/>
            <w:bottom w:val="none" w:sz="0" w:space="0" w:color="auto"/>
            <w:right w:val="none" w:sz="0" w:space="0" w:color="auto"/>
          </w:divBdr>
        </w:div>
      </w:divsChild>
    </w:div>
    <w:div w:id="1026637759">
      <w:marLeft w:val="480"/>
      <w:marRight w:val="0"/>
      <w:marTop w:val="0"/>
      <w:marBottom w:val="0"/>
      <w:divBdr>
        <w:top w:val="none" w:sz="0" w:space="0" w:color="auto"/>
        <w:left w:val="none" w:sz="0" w:space="0" w:color="auto"/>
        <w:bottom w:val="none" w:sz="0" w:space="0" w:color="auto"/>
        <w:right w:val="none" w:sz="0" w:space="0" w:color="auto"/>
      </w:divBdr>
    </w:div>
    <w:div w:id="1090194417">
      <w:bodyDiv w:val="1"/>
      <w:marLeft w:val="0"/>
      <w:marRight w:val="0"/>
      <w:marTop w:val="0"/>
      <w:marBottom w:val="0"/>
      <w:divBdr>
        <w:top w:val="none" w:sz="0" w:space="0" w:color="auto"/>
        <w:left w:val="none" w:sz="0" w:space="0" w:color="auto"/>
        <w:bottom w:val="none" w:sz="0" w:space="0" w:color="auto"/>
        <w:right w:val="none" w:sz="0" w:space="0" w:color="auto"/>
      </w:divBdr>
      <w:divsChild>
        <w:div w:id="65803675">
          <w:marLeft w:val="480"/>
          <w:marRight w:val="0"/>
          <w:marTop w:val="0"/>
          <w:marBottom w:val="0"/>
          <w:divBdr>
            <w:top w:val="none" w:sz="0" w:space="0" w:color="auto"/>
            <w:left w:val="none" w:sz="0" w:space="0" w:color="auto"/>
            <w:bottom w:val="none" w:sz="0" w:space="0" w:color="auto"/>
            <w:right w:val="none" w:sz="0" w:space="0" w:color="auto"/>
          </w:divBdr>
        </w:div>
        <w:div w:id="146018167">
          <w:marLeft w:val="480"/>
          <w:marRight w:val="0"/>
          <w:marTop w:val="0"/>
          <w:marBottom w:val="0"/>
          <w:divBdr>
            <w:top w:val="none" w:sz="0" w:space="0" w:color="auto"/>
            <w:left w:val="none" w:sz="0" w:space="0" w:color="auto"/>
            <w:bottom w:val="none" w:sz="0" w:space="0" w:color="auto"/>
            <w:right w:val="none" w:sz="0" w:space="0" w:color="auto"/>
          </w:divBdr>
        </w:div>
        <w:div w:id="531110274">
          <w:marLeft w:val="480"/>
          <w:marRight w:val="0"/>
          <w:marTop w:val="0"/>
          <w:marBottom w:val="0"/>
          <w:divBdr>
            <w:top w:val="none" w:sz="0" w:space="0" w:color="auto"/>
            <w:left w:val="none" w:sz="0" w:space="0" w:color="auto"/>
            <w:bottom w:val="none" w:sz="0" w:space="0" w:color="auto"/>
            <w:right w:val="none" w:sz="0" w:space="0" w:color="auto"/>
          </w:divBdr>
        </w:div>
        <w:div w:id="633609111">
          <w:marLeft w:val="480"/>
          <w:marRight w:val="0"/>
          <w:marTop w:val="0"/>
          <w:marBottom w:val="0"/>
          <w:divBdr>
            <w:top w:val="none" w:sz="0" w:space="0" w:color="auto"/>
            <w:left w:val="none" w:sz="0" w:space="0" w:color="auto"/>
            <w:bottom w:val="none" w:sz="0" w:space="0" w:color="auto"/>
            <w:right w:val="none" w:sz="0" w:space="0" w:color="auto"/>
          </w:divBdr>
        </w:div>
        <w:div w:id="1180701093">
          <w:marLeft w:val="480"/>
          <w:marRight w:val="0"/>
          <w:marTop w:val="0"/>
          <w:marBottom w:val="0"/>
          <w:divBdr>
            <w:top w:val="none" w:sz="0" w:space="0" w:color="auto"/>
            <w:left w:val="none" w:sz="0" w:space="0" w:color="auto"/>
            <w:bottom w:val="none" w:sz="0" w:space="0" w:color="auto"/>
            <w:right w:val="none" w:sz="0" w:space="0" w:color="auto"/>
          </w:divBdr>
        </w:div>
        <w:div w:id="1593665192">
          <w:marLeft w:val="480"/>
          <w:marRight w:val="0"/>
          <w:marTop w:val="0"/>
          <w:marBottom w:val="0"/>
          <w:divBdr>
            <w:top w:val="none" w:sz="0" w:space="0" w:color="auto"/>
            <w:left w:val="none" w:sz="0" w:space="0" w:color="auto"/>
            <w:bottom w:val="none" w:sz="0" w:space="0" w:color="auto"/>
            <w:right w:val="none" w:sz="0" w:space="0" w:color="auto"/>
          </w:divBdr>
        </w:div>
        <w:div w:id="1641836176">
          <w:marLeft w:val="480"/>
          <w:marRight w:val="0"/>
          <w:marTop w:val="0"/>
          <w:marBottom w:val="0"/>
          <w:divBdr>
            <w:top w:val="none" w:sz="0" w:space="0" w:color="auto"/>
            <w:left w:val="none" w:sz="0" w:space="0" w:color="auto"/>
            <w:bottom w:val="none" w:sz="0" w:space="0" w:color="auto"/>
            <w:right w:val="none" w:sz="0" w:space="0" w:color="auto"/>
          </w:divBdr>
        </w:div>
        <w:div w:id="1725710786">
          <w:marLeft w:val="480"/>
          <w:marRight w:val="0"/>
          <w:marTop w:val="0"/>
          <w:marBottom w:val="0"/>
          <w:divBdr>
            <w:top w:val="none" w:sz="0" w:space="0" w:color="auto"/>
            <w:left w:val="none" w:sz="0" w:space="0" w:color="auto"/>
            <w:bottom w:val="none" w:sz="0" w:space="0" w:color="auto"/>
            <w:right w:val="none" w:sz="0" w:space="0" w:color="auto"/>
          </w:divBdr>
        </w:div>
        <w:div w:id="2039118070">
          <w:marLeft w:val="480"/>
          <w:marRight w:val="0"/>
          <w:marTop w:val="0"/>
          <w:marBottom w:val="0"/>
          <w:divBdr>
            <w:top w:val="none" w:sz="0" w:space="0" w:color="auto"/>
            <w:left w:val="none" w:sz="0" w:space="0" w:color="auto"/>
            <w:bottom w:val="none" w:sz="0" w:space="0" w:color="auto"/>
            <w:right w:val="none" w:sz="0" w:space="0" w:color="auto"/>
          </w:divBdr>
        </w:div>
      </w:divsChild>
    </w:div>
    <w:div w:id="1108961517">
      <w:bodyDiv w:val="1"/>
      <w:marLeft w:val="0"/>
      <w:marRight w:val="0"/>
      <w:marTop w:val="0"/>
      <w:marBottom w:val="0"/>
      <w:divBdr>
        <w:top w:val="none" w:sz="0" w:space="0" w:color="auto"/>
        <w:left w:val="none" w:sz="0" w:space="0" w:color="auto"/>
        <w:bottom w:val="none" w:sz="0" w:space="0" w:color="auto"/>
        <w:right w:val="none" w:sz="0" w:space="0" w:color="auto"/>
      </w:divBdr>
    </w:div>
    <w:div w:id="1116829634">
      <w:marLeft w:val="480"/>
      <w:marRight w:val="0"/>
      <w:marTop w:val="0"/>
      <w:marBottom w:val="0"/>
      <w:divBdr>
        <w:top w:val="none" w:sz="0" w:space="0" w:color="auto"/>
        <w:left w:val="none" w:sz="0" w:space="0" w:color="auto"/>
        <w:bottom w:val="none" w:sz="0" w:space="0" w:color="auto"/>
        <w:right w:val="none" w:sz="0" w:space="0" w:color="auto"/>
      </w:divBdr>
    </w:div>
    <w:div w:id="1118135456">
      <w:bodyDiv w:val="1"/>
      <w:marLeft w:val="0"/>
      <w:marRight w:val="0"/>
      <w:marTop w:val="0"/>
      <w:marBottom w:val="0"/>
      <w:divBdr>
        <w:top w:val="none" w:sz="0" w:space="0" w:color="auto"/>
        <w:left w:val="none" w:sz="0" w:space="0" w:color="auto"/>
        <w:bottom w:val="none" w:sz="0" w:space="0" w:color="auto"/>
        <w:right w:val="none" w:sz="0" w:space="0" w:color="auto"/>
      </w:divBdr>
      <w:divsChild>
        <w:div w:id="258678496">
          <w:marLeft w:val="480"/>
          <w:marRight w:val="0"/>
          <w:marTop w:val="0"/>
          <w:marBottom w:val="0"/>
          <w:divBdr>
            <w:top w:val="none" w:sz="0" w:space="0" w:color="auto"/>
            <w:left w:val="none" w:sz="0" w:space="0" w:color="auto"/>
            <w:bottom w:val="none" w:sz="0" w:space="0" w:color="auto"/>
            <w:right w:val="none" w:sz="0" w:space="0" w:color="auto"/>
          </w:divBdr>
        </w:div>
        <w:div w:id="455754362">
          <w:marLeft w:val="480"/>
          <w:marRight w:val="0"/>
          <w:marTop w:val="0"/>
          <w:marBottom w:val="0"/>
          <w:divBdr>
            <w:top w:val="none" w:sz="0" w:space="0" w:color="auto"/>
            <w:left w:val="none" w:sz="0" w:space="0" w:color="auto"/>
            <w:bottom w:val="none" w:sz="0" w:space="0" w:color="auto"/>
            <w:right w:val="none" w:sz="0" w:space="0" w:color="auto"/>
          </w:divBdr>
        </w:div>
        <w:div w:id="497575053">
          <w:marLeft w:val="480"/>
          <w:marRight w:val="0"/>
          <w:marTop w:val="0"/>
          <w:marBottom w:val="0"/>
          <w:divBdr>
            <w:top w:val="none" w:sz="0" w:space="0" w:color="auto"/>
            <w:left w:val="none" w:sz="0" w:space="0" w:color="auto"/>
            <w:bottom w:val="none" w:sz="0" w:space="0" w:color="auto"/>
            <w:right w:val="none" w:sz="0" w:space="0" w:color="auto"/>
          </w:divBdr>
        </w:div>
        <w:div w:id="674694276">
          <w:marLeft w:val="480"/>
          <w:marRight w:val="0"/>
          <w:marTop w:val="0"/>
          <w:marBottom w:val="0"/>
          <w:divBdr>
            <w:top w:val="none" w:sz="0" w:space="0" w:color="auto"/>
            <w:left w:val="none" w:sz="0" w:space="0" w:color="auto"/>
            <w:bottom w:val="none" w:sz="0" w:space="0" w:color="auto"/>
            <w:right w:val="none" w:sz="0" w:space="0" w:color="auto"/>
          </w:divBdr>
        </w:div>
        <w:div w:id="991761870">
          <w:marLeft w:val="480"/>
          <w:marRight w:val="0"/>
          <w:marTop w:val="0"/>
          <w:marBottom w:val="0"/>
          <w:divBdr>
            <w:top w:val="none" w:sz="0" w:space="0" w:color="auto"/>
            <w:left w:val="none" w:sz="0" w:space="0" w:color="auto"/>
            <w:bottom w:val="none" w:sz="0" w:space="0" w:color="auto"/>
            <w:right w:val="none" w:sz="0" w:space="0" w:color="auto"/>
          </w:divBdr>
        </w:div>
        <w:div w:id="1059093111">
          <w:marLeft w:val="480"/>
          <w:marRight w:val="0"/>
          <w:marTop w:val="0"/>
          <w:marBottom w:val="0"/>
          <w:divBdr>
            <w:top w:val="none" w:sz="0" w:space="0" w:color="auto"/>
            <w:left w:val="none" w:sz="0" w:space="0" w:color="auto"/>
            <w:bottom w:val="none" w:sz="0" w:space="0" w:color="auto"/>
            <w:right w:val="none" w:sz="0" w:space="0" w:color="auto"/>
          </w:divBdr>
        </w:div>
        <w:div w:id="1309096452">
          <w:marLeft w:val="480"/>
          <w:marRight w:val="0"/>
          <w:marTop w:val="0"/>
          <w:marBottom w:val="0"/>
          <w:divBdr>
            <w:top w:val="none" w:sz="0" w:space="0" w:color="auto"/>
            <w:left w:val="none" w:sz="0" w:space="0" w:color="auto"/>
            <w:bottom w:val="none" w:sz="0" w:space="0" w:color="auto"/>
            <w:right w:val="none" w:sz="0" w:space="0" w:color="auto"/>
          </w:divBdr>
        </w:div>
        <w:div w:id="1412317003">
          <w:marLeft w:val="480"/>
          <w:marRight w:val="0"/>
          <w:marTop w:val="0"/>
          <w:marBottom w:val="0"/>
          <w:divBdr>
            <w:top w:val="none" w:sz="0" w:space="0" w:color="auto"/>
            <w:left w:val="none" w:sz="0" w:space="0" w:color="auto"/>
            <w:bottom w:val="none" w:sz="0" w:space="0" w:color="auto"/>
            <w:right w:val="none" w:sz="0" w:space="0" w:color="auto"/>
          </w:divBdr>
        </w:div>
        <w:div w:id="1461458890">
          <w:marLeft w:val="480"/>
          <w:marRight w:val="0"/>
          <w:marTop w:val="0"/>
          <w:marBottom w:val="0"/>
          <w:divBdr>
            <w:top w:val="none" w:sz="0" w:space="0" w:color="auto"/>
            <w:left w:val="none" w:sz="0" w:space="0" w:color="auto"/>
            <w:bottom w:val="none" w:sz="0" w:space="0" w:color="auto"/>
            <w:right w:val="none" w:sz="0" w:space="0" w:color="auto"/>
          </w:divBdr>
        </w:div>
        <w:div w:id="1466006228">
          <w:marLeft w:val="480"/>
          <w:marRight w:val="0"/>
          <w:marTop w:val="0"/>
          <w:marBottom w:val="0"/>
          <w:divBdr>
            <w:top w:val="none" w:sz="0" w:space="0" w:color="auto"/>
            <w:left w:val="none" w:sz="0" w:space="0" w:color="auto"/>
            <w:bottom w:val="none" w:sz="0" w:space="0" w:color="auto"/>
            <w:right w:val="none" w:sz="0" w:space="0" w:color="auto"/>
          </w:divBdr>
        </w:div>
        <w:div w:id="1477137404">
          <w:marLeft w:val="480"/>
          <w:marRight w:val="0"/>
          <w:marTop w:val="0"/>
          <w:marBottom w:val="0"/>
          <w:divBdr>
            <w:top w:val="none" w:sz="0" w:space="0" w:color="auto"/>
            <w:left w:val="none" w:sz="0" w:space="0" w:color="auto"/>
            <w:bottom w:val="none" w:sz="0" w:space="0" w:color="auto"/>
            <w:right w:val="none" w:sz="0" w:space="0" w:color="auto"/>
          </w:divBdr>
        </w:div>
        <w:div w:id="1502046091">
          <w:marLeft w:val="480"/>
          <w:marRight w:val="0"/>
          <w:marTop w:val="0"/>
          <w:marBottom w:val="0"/>
          <w:divBdr>
            <w:top w:val="none" w:sz="0" w:space="0" w:color="auto"/>
            <w:left w:val="none" w:sz="0" w:space="0" w:color="auto"/>
            <w:bottom w:val="none" w:sz="0" w:space="0" w:color="auto"/>
            <w:right w:val="none" w:sz="0" w:space="0" w:color="auto"/>
          </w:divBdr>
        </w:div>
        <w:div w:id="2134127471">
          <w:marLeft w:val="480"/>
          <w:marRight w:val="0"/>
          <w:marTop w:val="0"/>
          <w:marBottom w:val="0"/>
          <w:divBdr>
            <w:top w:val="none" w:sz="0" w:space="0" w:color="auto"/>
            <w:left w:val="none" w:sz="0" w:space="0" w:color="auto"/>
            <w:bottom w:val="none" w:sz="0" w:space="0" w:color="auto"/>
            <w:right w:val="none" w:sz="0" w:space="0" w:color="auto"/>
          </w:divBdr>
        </w:div>
      </w:divsChild>
    </w:div>
    <w:div w:id="1120302649">
      <w:bodyDiv w:val="1"/>
      <w:marLeft w:val="0"/>
      <w:marRight w:val="0"/>
      <w:marTop w:val="0"/>
      <w:marBottom w:val="0"/>
      <w:divBdr>
        <w:top w:val="none" w:sz="0" w:space="0" w:color="auto"/>
        <w:left w:val="none" w:sz="0" w:space="0" w:color="auto"/>
        <w:bottom w:val="none" w:sz="0" w:space="0" w:color="auto"/>
        <w:right w:val="none" w:sz="0" w:space="0" w:color="auto"/>
      </w:divBdr>
    </w:div>
    <w:div w:id="1239172152">
      <w:bodyDiv w:val="1"/>
      <w:marLeft w:val="0"/>
      <w:marRight w:val="0"/>
      <w:marTop w:val="0"/>
      <w:marBottom w:val="0"/>
      <w:divBdr>
        <w:top w:val="none" w:sz="0" w:space="0" w:color="auto"/>
        <w:left w:val="none" w:sz="0" w:space="0" w:color="auto"/>
        <w:bottom w:val="none" w:sz="0" w:space="0" w:color="auto"/>
        <w:right w:val="none" w:sz="0" w:space="0" w:color="auto"/>
      </w:divBdr>
    </w:div>
    <w:div w:id="1272125990">
      <w:bodyDiv w:val="1"/>
      <w:marLeft w:val="0"/>
      <w:marRight w:val="0"/>
      <w:marTop w:val="0"/>
      <w:marBottom w:val="0"/>
      <w:divBdr>
        <w:top w:val="none" w:sz="0" w:space="0" w:color="auto"/>
        <w:left w:val="none" w:sz="0" w:space="0" w:color="auto"/>
        <w:bottom w:val="none" w:sz="0" w:space="0" w:color="auto"/>
        <w:right w:val="none" w:sz="0" w:space="0" w:color="auto"/>
      </w:divBdr>
    </w:div>
    <w:div w:id="1307583583">
      <w:bodyDiv w:val="1"/>
      <w:marLeft w:val="0"/>
      <w:marRight w:val="0"/>
      <w:marTop w:val="0"/>
      <w:marBottom w:val="0"/>
      <w:divBdr>
        <w:top w:val="none" w:sz="0" w:space="0" w:color="auto"/>
        <w:left w:val="none" w:sz="0" w:space="0" w:color="auto"/>
        <w:bottom w:val="none" w:sz="0" w:space="0" w:color="auto"/>
        <w:right w:val="none" w:sz="0" w:space="0" w:color="auto"/>
      </w:divBdr>
      <w:divsChild>
        <w:div w:id="69811285">
          <w:marLeft w:val="480"/>
          <w:marRight w:val="0"/>
          <w:marTop w:val="0"/>
          <w:marBottom w:val="0"/>
          <w:divBdr>
            <w:top w:val="none" w:sz="0" w:space="0" w:color="auto"/>
            <w:left w:val="none" w:sz="0" w:space="0" w:color="auto"/>
            <w:bottom w:val="none" w:sz="0" w:space="0" w:color="auto"/>
            <w:right w:val="none" w:sz="0" w:space="0" w:color="auto"/>
          </w:divBdr>
        </w:div>
        <w:div w:id="101462870">
          <w:marLeft w:val="480"/>
          <w:marRight w:val="0"/>
          <w:marTop w:val="0"/>
          <w:marBottom w:val="0"/>
          <w:divBdr>
            <w:top w:val="none" w:sz="0" w:space="0" w:color="auto"/>
            <w:left w:val="none" w:sz="0" w:space="0" w:color="auto"/>
            <w:bottom w:val="none" w:sz="0" w:space="0" w:color="auto"/>
            <w:right w:val="none" w:sz="0" w:space="0" w:color="auto"/>
          </w:divBdr>
        </w:div>
        <w:div w:id="205946148">
          <w:marLeft w:val="480"/>
          <w:marRight w:val="0"/>
          <w:marTop w:val="0"/>
          <w:marBottom w:val="0"/>
          <w:divBdr>
            <w:top w:val="none" w:sz="0" w:space="0" w:color="auto"/>
            <w:left w:val="none" w:sz="0" w:space="0" w:color="auto"/>
            <w:bottom w:val="none" w:sz="0" w:space="0" w:color="auto"/>
            <w:right w:val="none" w:sz="0" w:space="0" w:color="auto"/>
          </w:divBdr>
        </w:div>
        <w:div w:id="271017609">
          <w:marLeft w:val="480"/>
          <w:marRight w:val="0"/>
          <w:marTop w:val="0"/>
          <w:marBottom w:val="0"/>
          <w:divBdr>
            <w:top w:val="none" w:sz="0" w:space="0" w:color="auto"/>
            <w:left w:val="none" w:sz="0" w:space="0" w:color="auto"/>
            <w:bottom w:val="none" w:sz="0" w:space="0" w:color="auto"/>
            <w:right w:val="none" w:sz="0" w:space="0" w:color="auto"/>
          </w:divBdr>
        </w:div>
        <w:div w:id="313220743">
          <w:marLeft w:val="480"/>
          <w:marRight w:val="0"/>
          <w:marTop w:val="0"/>
          <w:marBottom w:val="0"/>
          <w:divBdr>
            <w:top w:val="none" w:sz="0" w:space="0" w:color="auto"/>
            <w:left w:val="none" w:sz="0" w:space="0" w:color="auto"/>
            <w:bottom w:val="none" w:sz="0" w:space="0" w:color="auto"/>
            <w:right w:val="none" w:sz="0" w:space="0" w:color="auto"/>
          </w:divBdr>
        </w:div>
        <w:div w:id="658079058">
          <w:marLeft w:val="480"/>
          <w:marRight w:val="0"/>
          <w:marTop w:val="0"/>
          <w:marBottom w:val="0"/>
          <w:divBdr>
            <w:top w:val="none" w:sz="0" w:space="0" w:color="auto"/>
            <w:left w:val="none" w:sz="0" w:space="0" w:color="auto"/>
            <w:bottom w:val="none" w:sz="0" w:space="0" w:color="auto"/>
            <w:right w:val="none" w:sz="0" w:space="0" w:color="auto"/>
          </w:divBdr>
        </w:div>
        <w:div w:id="777718137">
          <w:marLeft w:val="480"/>
          <w:marRight w:val="0"/>
          <w:marTop w:val="0"/>
          <w:marBottom w:val="0"/>
          <w:divBdr>
            <w:top w:val="none" w:sz="0" w:space="0" w:color="auto"/>
            <w:left w:val="none" w:sz="0" w:space="0" w:color="auto"/>
            <w:bottom w:val="none" w:sz="0" w:space="0" w:color="auto"/>
            <w:right w:val="none" w:sz="0" w:space="0" w:color="auto"/>
          </w:divBdr>
        </w:div>
        <w:div w:id="904492389">
          <w:marLeft w:val="480"/>
          <w:marRight w:val="0"/>
          <w:marTop w:val="0"/>
          <w:marBottom w:val="0"/>
          <w:divBdr>
            <w:top w:val="none" w:sz="0" w:space="0" w:color="auto"/>
            <w:left w:val="none" w:sz="0" w:space="0" w:color="auto"/>
            <w:bottom w:val="none" w:sz="0" w:space="0" w:color="auto"/>
            <w:right w:val="none" w:sz="0" w:space="0" w:color="auto"/>
          </w:divBdr>
        </w:div>
        <w:div w:id="1091660045">
          <w:marLeft w:val="480"/>
          <w:marRight w:val="0"/>
          <w:marTop w:val="0"/>
          <w:marBottom w:val="0"/>
          <w:divBdr>
            <w:top w:val="none" w:sz="0" w:space="0" w:color="auto"/>
            <w:left w:val="none" w:sz="0" w:space="0" w:color="auto"/>
            <w:bottom w:val="none" w:sz="0" w:space="0" w:color="auto"/>
            <w:right w:val="none" w:sz="0" w:space="0" w:color="auto"/>
          </w:divBdr>
        </w:div>
        <w:div w:id="1154639586">
          <w:marLeft w:val="480"/>
          <w:marRight w:val="0"/>
          <w:marTop w:val="0"/>
          <w:marBottom w:val="0"/>
          <w:divBdr>
            <w:top w:val="none" w:sz="0" w:space="0" w:color="auto"/>
            <w:left w:val="none" w:sz="0" w:space="0" w:color="auto"/>
            <w:bottom w:val="none" w:sz="0" w:space="0" w:color="auto"/>
            <w:right w:val="none" w:sz="0" w:space="0" w:color="auto"/>
          </w:divBdr>
        </w:div>
        <w:div w:id="1191069643">
          <w:marLeft w:val="480"/>
          <w:marRight w:val="0"/>
          <w:marTop w:val="0"/>
          <w:marBottom w:val="0"/>
          <w:divBdr>
            <w:top w:val="none" w:sz="0" w:space="0" w:color="auto"/>
            <w:left w:val="none" w:sz="0" w:space="0" w:color="auto"/>
            <w:bottom w:val="none" w:sz="0" w:space="0" w:color="auto"/>
            <w:right w:val="none" w:sz="0" w:space="0" w:color="auto"/>
          </w:divBdr>
        </w:div>
        <w:div w:id="1192762369">
          <w:marLeft w:val="480"/>
          <w:marRight w:val="0"/>
          <w:marTop w:val="0"/>
          <w:marBottom w:val="0"/>
          <w:divBdr>
            <w:top w:val="none" w:sz="0" w:space="0" w:color="auto"/>
            <w:left w:val="none" w:sz="0" w:space="0" w:color="auto"/>
            <w:bottom w:val="none" w:sz="0" w:space="0" w:color="auto"/>
            <w:right w:val="none" w:sz="0" w:space="0" w:color="auto"/>
          </w:divBdr>
        </w:div>
        <w:div w:id="1209150743">
          <w:marLeft w:val="480"/>
          <w:marRight w:val="0"/>
          <w:marTop w:val="0"/>
          <w:marBottom w:val="0"/>
          <w:divBdr>
            <w:top w:val="none" w:sz="0" w:space="0" w:color="auto"/>
            <w:left w:val="none" w:sz="0" w:space="0" w:color="auto"/>
            <w:bottom w:val="none" w:sz="0" w:space="0" w:color="auto"/>
            <w:right w:val="none" w:sz="0" w:space="0" w:color="auto"/>
          </w:divBdr>
        </w:div>
        <w:div w:id="1231382237">
          <w:marLeft w:val="480"/>
          <w:marRight w:val="0"/>
          <w:marTop w:val="0"/>
          <w:marBottom w:val="0"/>
          <w:divBdr>
            <w:top w:val="none" w:sz="0" w:space="0" w:color="auto"/>
            <w:left w:val="none" w:sz="0" w:space="0" w:color="auto"/>
            <w:bottom w:val="none" w:sz="0" w:space="0" w:color="auto"/>
            <w:right w:val="none" w:sz="0" w:space="0" w:color="auto"/>
          </w:divBdr>
        </w:div>
        <w:div w:id="1309018083">
          <w:marLeft w:val="480"/>
          <w:marRight w:val="0"/>
          <w:marTop w:val="0"/>
          <w:marBottom w:val="0"/>
          <w:divBdr>
            <w:top w:val="none" w:sz="0" w:space="0" w:color="auto"/>
            <w:left w:val="none" w:sz="0" w:space="0" w:color="auto"/>
            <w:bottom w:val="none" w:sz="0" w:space="0" w:color="auto"/>
            <w:right w:val="none" w:sz="0" w:space="0" w:color="auto"/>
          </w:divBdr>
        </w:div>
        <w:div w:id="1319765419">
          <w:marLeft w:val="480"/>
          <w:marRight w:val="0"/>
          <w:marTop w:val="0"/>
          <w:marBottom w:val="0"/>
          <w:divBdr>
            <w:top w:val="none" w:sz="0" w:space="0" w:color="auto"/>
            <w:left w:val="none" w:sz="0" w:space="0" w:color="auto"/>
            <w:bottom w:val="none" w:sz="0" w:space="0" w:color="auto"/>
            <w:right w:val="none" w:sz="0" w:space="0" w:color="auto"/>
          </w:divBdr>
        </w:div>
        <w:div w:id="1431009334">
          <w:marLeft w:val="480"/>
          <w:marRight w:val="0"/>
          <w:marTop w:val="0"/>
          <w:marBottom w:val="0"/>
          <w:divBdr>
            <w:top w:val="none" w:sz="0" w:space="0" w:color="auto"/>
            <w:left w:val="none" w:sz="0" w:space="0" w:color="auto"/>
            <w:bottom w:val="none" w:sz="0" w:space="0" w:color="auto"/>
            <w:right w:val="none" w:sz="0" w:space="0" w:color="auto"/>
          </w:divBdr>
        </w:div>
        <w:div w:id="1535339515">
          <w:marLeft w:val="480"/>
          <w:marRight w:val="0"/>
          <w:marTop w:val="0"/>
          <w:marBottom w:val="0"/>
          <w:divBdr>
            <w:top w:val="none" w:sz="0" w:space="0" w:color="auto"/>
            <w:left w:val="none" w:sz="0" w:space="0" w:color="auto"/>
            <w:bottom w:val="none" w:sz="0" w:space="0" w:color="auto"/>
            <w:right w:val="none" w:sz="0" w:space="0" w:color="auto"/>
          </w:divBdr>
        </w:div>
        <w:div w:id="1624730355">
          <w:marLeft w:val="480"/>
          <w:marRight w:val="0"/>
          <w:marTop w:val="0"/>
          <w:marBottom w:val="0"/>
          <w:divBdr>
            <w:top w:val="none" w:sz="0" w:space="0" w:color="auto"/>
            <w:left w:val="none" w:sz="0" w:space="0" w:color="auto"/>
            <w:bottom w:val="none" w:sz="0" w:space="0" w:color="auto"/>
            <w:right w:val="none" w:sz="0" w:space="0" w:color="auto"/>
          </w:divBdr>
        </w:div>
        <w:div w:id="1679309860">
          <w:marLeft w:val="480"/>
          <w:marRight w:val="0"/>
          <w:marTop w:val="0"/>
          <w:marBottom w:val="0"/>
          <w:divBdr>
            <w:top w:val="none" w:sz="0" w:space="0" w:color="auto"/>
            <w:left w:val="none" w:sz="0" w:space="0" w:color="auto"/>
            <w:bottom w:val="none" w:sz="0" w:space="0" w:color="auto"/>
            <w:right w:val="none" w:sz="0" w:space="0" w:color="auto"/>
          </w:divBdr>
        </w:div>
        <w:div w:id="1745882451">
          <w:marLeft w:val="480"/>
          <w:marRight w:val="0"/>
          <w:marTop w:val="0"/>
          <w:marBottom w:val="0"/>
          <w:divBdr>
            <w:top w:val="none" w:sz="0" w:space="0" w:color="auto"/>
            <w:left w:val="none" w:sz="0" w:space="0" w:color="auto"/>
            <w:bottom w:val="none" w:sz="0" w:space="0" w:color="auto"/>
            <w:right w:val="none" w:sz="0" w:space="0" w:color="auto"/>
          </w:divBdr>
        </w:div>
        <w:div w:id="1820146802">
          <w:marLeft w:val="480"/>
          <w:marRight w:val="0"/>
          <w:marTop w:val="0"/>
          <w:marBottom w:val="0"/>
          <w:divBdr>
            <w:top w:val="none" w:sz="0" w:space="0" w:color="auto"/>
            <w:left w:val="none" w:sz="0" w:space="0" w:color="auto"/>
            <w:bottom w:val="none" w:sz="0" w:space="0" w:color="auto"/>
            <w:right w:val="none" w:sz="0" w:space="0" w:color="auto"/>
          </w:divBdr>
        </w:div>
        <w:div w:id="1946158020">
          <w:marLeft w:val="480"/>
          <w:marRight w:val="0"/>
          <w:marTop w:val="0"/>
          <w:marBottom w:val="0"/>
          <w:divBdr>
            <w:top w:val="none" w:sz="0" w:space="0" w:color="auto"/>
            <w:left w:val="none" w:sz="0" w:space="0" w:color="auto"/>
            <w:bottom w:val="none" w:sz="0" w:space="0" w:color="auto"/>
            <w:right w:val="none" w:sz="0" w:space="0" w:color="auto"/>
          </w:divBdr>
        </w:div>
        <w:div w:id="2021812603">
          <w:marLeft w:val="480"/>
          <w:marRight w:val="0"/>
          <w:marTop w:val="0"/>
          <w:marBottom w:val="0"/>
          <w:divBdr>
            <w:top w:val="none" w:sz="0" w:space="0" w:color="auto"/>
            <w:left w:val="none" w:sz="0" w:space="0" w:color="auto"/>
            <w:bottom w:val="none" w:sz="0" w:space="0" w:color="auto"/>
            <w:right w:val="none" w:sz="0" w:space="0" w:color="auto"/>
          </w:divBdr>
        </w:div>
      </w:divsChild>
    </w:div>
    <w:div w:id="1312371732">
      <w:marLeft w:val="480"/>
      <w:marRight w:val="0"/>
      <w:marTop w:val="0"/>
      <w:marBottom w:val="0"/>
      <w:divBdr>
        <w:top w:val="none" w:sz="0" w:space="0" w:color="auto"/>
        <w:left w:val="none" w:sz="0" w:space="0" w:color="auto"/>
        <w:bottom w:val="none" w:sz="0" w:space="0" w:color="auto"/>
        <w:right w:val="none" w:sz="0" w:space="0" w:color="auto"/>
      </w:divBdr>
    </w:div>
    <w:div w:id="1326010229">
      <w:marLeft w:val="480"/>
      <w:marRight w:val="0"/>
      <w:marTop w:val="0"/>
      <w:marBottom w:val="0"/>
      <w:divBdr>
        <w:top w:val="none" w:sz="0" w:space="0" w:color="auto"/>
        <w:left w:val="none" w:sz="0" w:space="0" w:color="auto"/>
        <w:bottom w:val="none" w:sz="0" w:space="0" w:color="auto"/>
        <w:right w:val="none" w:sz="0" w:space="0" w:color="auto"/>
      </w:divBdr>
    </w:div>
    <w:div w:id="1331567217">
      <w:marLeft w:val="480"/>
      <w:marRight w:val="0"/>
      <w:marTop w:val="0"/>
      <w:marBottom w:val="0"/>
      <w:divBdr>
        <w:top w:val="none" w:sz="0" w:space="0" w:color="auto"/>
        <w:left w:val="none" w:sz="0" w:space="0" w:color="auto"/>
        <w:bottom w:val="none" w:sz="0" w:space="0" w:color="auto"/>
        <w:right w:val="none" w:sz="0" w:space="0" w:color="auto"/>
      </w:divBdr>
    </w:div>
    <w:div w:id="1352798258">
      <w:marLeft w:val="480"/>
      <w:marRight w:val="0"/>
      <w:marTop w:val="0"/>
      <w:marBottom w:val="0"/>
      <w:divBdr>
        <w:top w:val="none" w:sz="0" w:space="0" w:color="auto"/>
        <w:left w:val="none" w:sz="0" w:space="0" w:color="auto"/>
        <w:bottom w:val="none" w:sz="0" w:space="0" w:color="auto"/>
        <w:right w:val="none" w:sz="0" w:space="0" w:color="auto"/>
      </w:divBdr>
    </w:div>
    <w:div w:id="1362899736">
      <w:bodyDiv w:val="1"/>
      <w:marLeft w:val="0"/>
      <w:marRight w:val="0"/>
      <w:marTop w:val="0"/>
      <w:marBottom w:val="0"/>
      <w:divBdr>
        <w:top w:val="none" w:sz="0" w:space="0" w:color="auto"/>
        <w:left w:val="none" w:sz="0" w:space="0" w:color="auto"/>
        <w:bottom w:val="none" w:sz="0" w:space="0" w:color="auto"/>
        <w:right w:val="none" w:sz="0" w:space="0" w:color="auto"/>
      </w:divBdr>
    </w:div>
    <w:div w:id="1396245405">
      <w:bodyDiv w:val="1"/>
      <w:marLeft w:val="0"/>
      <w:marRight w:val="0"/>
      <w:marTop w:val="0"/>
      <w:marBottom w:val="0"/>
      <w:divBdr>
        <w:top w:val="none" w:sz="0" w:space="0" w:color="auto"/>
        <w:left w:val="none" w:sz="0" w:space="0" w:color="auto"/>
        <w:bottom w:val="none" w:sz="0" w:space="0" w:color="auto"/>
        <w:right w:val="none" w:sz="0" w:space="0" w:color="auto"/>
      </w:divBdr>
    </w:div>
    <w:div w:id="1405761936">
      <w:marLeft w:val="480"/>
      <w:marRight w:val="0"/>
      <w:marTop w:val="0"/>
      <w:marBottom w:val="0"/>
      <w:divBdr>
        <w:top w:val="none" w:sz="0" w:space="0" w:color="auto"/>
        <w:left w:val="none" w:sz="0" w:space="0" w:color="auto"/>
        <w:bottom w:val="none" w:sz="0" w:space="0" w:color="auto"/>
        <w:right w:val="none" w:sz="0" w:space="0" w:color="auto"/>
      </w:divBdr>
    </w:div>
    <w:div w:id="1417896197">
      <w:marLeft w:val="480"/>
      <w:marRight w:val="0"/>
      <w:marTop w:val="0"/>
      <w:marBottom w:val="0"/>
      <w:divBdr>
        <w:top w:val="none" w:sz="0" w:space="0" w:color="auto"/>
        <w:left w:val="none" w:sz="0" w:space="0" w:color="auto"/>
        <w:bottom w:val="none" w:sz="0" w:space="0" w:color="auto"/>
        <w:right w:val="none" w:sz="0" w:space="0" w:color="auto"/>
      </w:divBdr>
    </w:div>
    <w:div w:id="1422992886">
      <w:marLeft w:val="480"/>
      <w:marRight w:val="0"/>
      <w:marTop w:val="0"/>
      <w:marBottom w:val="0"/>
      <w:divBdr>
        <w:top w:val="none" w:sz="0" w:space="0" w:color="auto"/>
        <w:left w:val="none" w:sz="0" w:space="0" w:color="auto"/>
        <w:bottom w:val="none" w:sz="0" w:space="0" w:color="auto"/>
        <w:right w:val="none" w:sz="0" w:space="0" w:color="auto"/>
      </w:divBdr>
    </w:div>
    <w:div w:id="1438790768">
      <w:marLeft w:val="480"/>
      <w:marRight w:val="0"/>
      <w:marTop w:val="0"/>
      <w:marBottom w:val="0"/>
      <w:divBdr>
        <w:top w:val="none" w:sz="0" w:space="0" w:color="auto"/>
        <w:left w:val="none" w:sz="0" w:space="0" w:color="auto"/>
        <w:bottom w:val="none" w:sz="0" w:space="0" w:color="auto"/>
        <w:right w:val="none" w:sz="0" w:space="0" w:color="auto"/>
      </w:divBdr>
    </w:div>
    <w:div w:id="1459644519">
      <w:marLeft w:val="480"/>
      <w:marRight w:val="0"/>
      <w:marTop w:val="0"/>
      <w:marBottom w:val="0"/>
      <w:divBdr>
        <w:top w:val="none" w:sz="0" w:space="0" w:color="auto"/>
        <w:left w:val="none" w:sz="0" w:space="0" w:color="auto"/>
        <w:bottom w:val="none" w:sz="0" w:space="0" w:color="auto"/>
        <w:right w:val="none" w:sz="0" w:space="0" w:color="auto"/>
      </w:divBdr>
    </w:div>
    <w:div w:id="1479422565">
      <w:marLeft w:val="480"/>
      <w:marRight w:val="0"/>
      <w:marTop w:val="0"/>
      <w:marBottom w:val="0"/>
      <w:divBdr>
        <w:top w:val="none" w:sz="0" w:space="0" w:color="auto"/>
        <w:left w:val="none" w:sz="0" w:space="0" w:color="auto"/>
        <w:bottom w:val="none" w:sz="0" w:space="0" w:color="auto"/>
        <w:right w:val="none" w:sz="0" w:space="0" w:color="auto"/>
      </w:divBdr>
    </w:div>
    <w:div w:id="1481338599">
      <w:bodyDiv w:val="1"/>
      <w:marLeft w:val="0"/>
      <w:marRight w:val="0"/>
      <w:marTop w:val="0"/>
      <w:marBottom w:val="0"/>
      <w:divBdr>
        <w:top w:val="none" w:sz="0" w:space="0" w:color="auto"/>
        <w:left w:val="none" w:sz="0" w:space="0" w:color="auto"/>
        <w:bottom w:val="none" w:sz="0" w:space="0" w:color="auto"/>
        <w:right w:val="none" w:sz="0" w:space="0" w:color="auto"/>
      </w:divBdr>
    </w:div>
    <w:div w:id="1494028102">
      <w:bodyDiv w:val="1"/>
      <w:marLeft w:val="0"/>
      <w:marRight w:val="0"/>
      <w:marTop w:val="0"/>
      <w:marBottom w:val="0"/>
      <w:divBdr>
        <w:top w:val="none" w:sz="0" w:space="0" w:color="auto"/>
        <w:left w:val="none" w:sz="0" w:space="0" w:color="auto"/>
        <w:bottom w:val="none" w:sz="0" w:space="0" w:color="auto"/>
        <w:right w:val="none" w:sz="0" w:space="0" w:color="auto"/>
      </w:divBdr>
    </w:div>
    <w:div w:id="1505584950">
      <w:bodyDiv w:val="1"/>
      <w:marLeft w:val="0"/>
      <w:marRight w:val="0"/>
      <w:marTop w:val="0"/>
      <w:marBottom w:val="0"/>
      <w:divBdr>
        <w:top w:val="none" w:sz="0" w:space="0" w:color="auto"/>
        <w:left w:val="none" w:sz="0" w:space="0" w:color="auto"/>
        <w:bottom w:val="none" w:sz="0" w:space="0" w:color="auto"/>
        <w:right w:val="none" w:sz="0" w:space="0" w:color="auto"/>
      </w:divBdr>
      <w:divsChild>
        <w:div w:id="131142320">
          <w:marLeft w:val="480"/>
          <w:marRight w:val="0"/>
          <w:marTop w:val="0"/>
          <w:marBottom w:val="0"/>
          <w:divBdr>
            <w:top w:val="none" w:sz="0" w:space="0" w:color="auto"/>
            <w:left w:val="none" w:sz="0" w:space="0" w:color="auto"/>
            <w:bottom w:val="none" w:sz="0" w:space="0" w:color="auto"/>
            <w:right w:val="none" w:sz="0" w:space="0" w:color="auto"/>
          </w:divBdr>
        </w:div>
        <w:div w:id="240602449">
          <w:marLeft w:val="480"/>
          <w:marRight w:val="0"/>
          <w:marTop w:val="0"/>
          <w:marBottom w:val="0"/>
          <w:divBdr>
            <w:top w:val="none" w:sz="0" w:space="0" w:color="auto"/>
            <w:left w:val="none" w:sz="0" w:space="0" w:color="auto"/>
            <w:bottom w:val="none" w:sz="0" w:space="0" w:color="auto"/>
            <w:right w:val="none" w:sz="0" w:space="0" w:color="auto"/>
          </w:divBdr>
        </w:div>
        <w:div w:id="281502397">
          <w:marLeft w:val="480"/>
          <w:marRight w:val="0"/>
          <w:marTop w:val="0"/>
          <w:marBottom w:val="0"/>
          <w:divBdr>
            <w:top w:val="none" w:sz="0" w:space="0" w:color="auto"/>
            <w:left w:val="none" w:sz="0" w:space="0" w:color="auto"/>
            <w:bottom w:val="none" w:sz="0" w:space="0" w:color="auto"/>
            <w:right w:val="none" w:sz="0" w:space="0" w:color="auto"/>
          </w:divBdr>
        </w:div>
        <w:div w:id="394470848">
          <w:marLeft w:val="480"/>
          <w:marRight w:val="0"/>
          <w:marTop w:val="0"/>
          <w:marBottom w:val="0"/>
          <w:divBdr>
            <w:top w:val="none" w:sz="0" w:space="0" w:color="auto"/>
            <w:left w:val="none" w:sz="0" w:space="0" w:color="auto"/>
            <w:bottom w:val="none" w:sz="0" w:space="0" w:color="auto"/>
            <w:right w:val="none" w:sz="0" w:space="0" w:color="auto"/>
          </w:divBdr>
        </w:div>
        <w:div w:id="648291044">
          <w:marLeft w:val="480"/>
          <w:marRight w:val="0"/>
          <w:marTop w:val="0"/>
          <w:marBottom w:val="0"/>
          <w:divBdr>
            <w:top w:val="none" w:sz="0" w:space="0" w:color="auto"/>
            <w:left w:val="none" w:sz="0" w:space="0" w:color="auto"/>
            <w:bottom w:val="none" w:sz="0" w:space="0" w:color="auto"/>
            <w:right w:val="none" w:sz="0" w:space="0" w:color="auto"/>
          </w:divBdr>
        </w:div>
        <w:div w:id="719012098">
          <w:marLeft w:val="480"/>
          <w:marRight w:val="0"/>
          <w:marTop w:val="0"/>
          <w:marBottom w:val="0"/>
          <w:divBdr>
            <w:top w:val="none" w:sz="0" w:space="0" w:color="auto"/>
            <w:left w:val="none" w:sz="0" w:space="0" w:color="auto"/>
            <w:bottom w:val="none" w:sz="0" w:space="0" w:color="auto"/>
            <w:right w:val="none" w:sz="0" w:space="0" w:color="auto"/>
          </w:divBdr>
        </w:div>
        <w:div w:id="730926080">
          <w:marLeft w:val="480"/>
          <w:marRight w:val="0"/>
          <w:marTop w:val="0"/>
          <w:marBottom w:val="0"/>
          <w:divBdr>
            <w:top w:val="none" w:sz="0" w:space="0" w:color="auto"/>
            <w:left w:val="none" w:sz="0" w:space="0" w:color="auto"/>
            <w:bottom w:val="none" w:sz="0" w:space="0" w:color="auto"/>
            <w:right w:val="none" w:sz="0" w:space="0" w:color="auto"/>
          </w:divBdr>
        </w:div>
        <w:div w:id="778377045">
          <w:marLeft w:val="480"/>
          <w:marRight w:val="0"/>
          <w:marTop w:val="0"/>
          <w:marBottom w:val="0"/>
          <w:divBdr>
            <w:top w:val="none" w:sz="0" w:space="0" w:color="auto"/>
            <w:left w:val="none" w:sz="0" w:space="0" w:color="auto"/>
            <w:bottom w:val="none" w:sz="0" w:space="0" w:color="auto"/>
            <w:right w:val="none" w:sz="0" w:space="0" w:color="auto"/>
          </w:divBdr>
        </w:div>
        <w:div w:id="933631684">
          <w:marLeft w:val="480"/>
          <w:marRight w:val="0"/>
          <w:marTop w:val="0"/>
          <w:marBottom w:val="0"/>
          <w:divBdr>
            <w:top w:val="none" w:sz="0" w:space="0" w:color="auto"/>
            <w:left w:val="none" w:sz="0" w:space="0" w:color="auto"/>
            <w:bottom w:val="none" w:sz="0" w:space="0" w:color="auto"/>
            <w:right w:val="none" w:sz="0" w:space="0" w:color="auto"/>
          </w:divBdr>
        </w:div>
        <w:div w:id="936644730">
          <w:marLeft w:val="480"/>
          <w:marRight w:val="0"/>
          <w:marTop w:val="0"/>
          <w:marBottom w:val="0"/>
          <w:divBdr>
            <w:top w:val="none" w:sz="0" w:space="0" w:color="auto"/>
            <w:left w:val="none" w:sz="0" w:space="0" w:color="auto"/>
            <w:bottom w:val="none" w:sz="0" w:space="0" w:color="auto"/>
            <w:right w:val="none" w:sz="0" w:space="0" w:color="auto"/>
          </w:divBdr>
        </w:div>
        <w:div w:id="1066608327">
          <w:marLeft w:val="480"/>
          <w:marRight w:val="0"/>
          <w:marTop w:val="0"/>
          <w:marBottom w:val="0"/>
          <w:divBdr>
            <w:top w:val="none" w:sz="0" w:space="0" w:color="auto"/>
            <w:left w:val="none" w:sz="0" w:space="0" w:color="auto"/>
            <w:bottom w:val="none" w:sz="0" w:space="0" w:color="auto"/>
            <w:right w:val="none" w:sz="0" w:space="0" w:color="auto"/>
          </w:divBdr>
        </w:div>
        <w:div w:id="1266883654">
          <w:marLeft w:val="480"/>
          <w:marRight w:val="0"/>
          <w:marTop w:val="0"/>
          <w:marBottom w:val="0"/>
          <w:divBdr>
            <w:top w:val="none" w:sz="0" w:space="0" w:color="auto"/>
            <w:left w:val="none" w:sz="0" w:space="0" w:color="auto"/>
            <w:bottom w:val="none" w:sz="0" w:space="0" w:color="auto"/>
            <w:right w:val="none" w:sz="0" w:space="0" w:color="auto"/>
          </w:divBdr>
        </w:div>
        <w:div w:id="1270940343">
          <w:marLeft w:val="480"/>
          <w:marRight w:val="0"/>
          <w:marTop w:val="0"/>
          <w:marBottom w:val="0"/>
          <w:divBdr>
            <w:top w:val="none" w:sz="0" w:space="0" w:color="auto"/>
            <w:left w:val="none" w:sz="0" w:space="0" w:color="auto"/>
            <w:bottom w:val="none" w:sz="0" w:space="0" w:color="auto"/>
            <w:right w:val="none" w:sz="0" w:space="0" w:color="auto"/>
          </w:divBdr>
        </w:div>
        <w:div w:id="1301375229">
          <w:marLeft w:val="480"/>
          <w:marRight w:val="0"/>
          <w:marTop w:val="0"/>
          <w:marBottom w:val="0"/>
          <w:divBdr>
            <w:top w:val="none" w:sz="0" w:space="0" w:color="auto"/>
            <w:left w:val="none" w:sz="0" w:space="0" w:color="auto"/>
            <w:bottom w:val="none" w:sz="0" w:space="0" w:color="auto"/>
            <w:right w:val="none" w:sz="0" w:space="0" w:color="auto"/>
          </w:divBdr>
        </w:div>
        <w:div w:id="1485466469">
          <w:marLeft w:val="480"/>
          <w:marRight w:val="0"/>
          <w:marTop w:val="0"/>
          <w:marBottom w:val="0"/>
          <w:divBdr>
            <w:top w:val="none" w:sz="0" w:space="0" w:color="auto"/>
            <w:left w:val="none" w:sz="0" w:space="0" w:color="auto"/>
            <w:bottom w:val="none" w:sz="0" w:space="0" w:color="auto"/>
            <w:right w:val="none" w:sz="0" w:space="0" w:color="auto"/>
          </w:divBdr>
        </w:div>
        <w:div w:id="1685592194">
          <w:marLeft w:val="480"/>
          <w:marRight w:val="0"/>
          <w:marTop w:val="0"/>
          <w:marBottom w:val="0"/>
          <w:divBdr>
            <w:top w:val="none" w:sz="0" w:space="0" w:color="auto"/>
            <w:left w:val="none" w:sz="0" w:space="0" w:color="auto"/>
            <w:bottom w:val="none" w:sz="0" w:space="0" w:color="auto"/>
            <w:right w:val="none" w:sz="0" w:space="0" w:color="auto"/>
          </w:divBdr>
        </w:div>
        <w:div w:id="1779060113">
          <w:marLeft w:val="480"/>
          <w:marRight w:val="0"/>
          <w:marTop w:val="0"/>
          <w:marBottom w:val="0"/>
          <w:divBdr>
            <w:top w:val="none" w:sz="0" w:space="0" w:color="auto"/>
            <w:left w:val="none" w:sz="0" w:space="0" w:color="auto"/>
            <w:bottom w:val="none" w:sz="0" w:space="0" w:color="auto"/>
            <w:right w:val="none" w:sz="0" w:space="0" w:color="auto"/>
          </w:divBdr>
        </w:div>
        <w:div w:id="2078940622">
          <w:marLeft w:val="480"/>
          <w:marRight w:val="0"/>
          <w:marTop w:val="0"/>
          <w:marBottom w:val="0"/>
          <w:divBdr>
            <w:top w:val="none" w:sz="0" w:space="0" w:color="auto"/>
            <w:left w:val="none" w:sz="0" w:space="0" w:color="auto"/>
            <w:bottom w:val="none" w:sz="0" w:space="0" w:color="auto"/>
            <w:right w:val="none" w:sz="0" w:space="0" w:color="auto"/>
          </w:divBdr>
        </w:div>
        <w:div w:id="2097436334">
          <w:marLeft w:val="480"/>
          <w:marRight w:val="0"/>
          <w:marTop w:val="0"/>
          <w:marBottom w:val="0"/>
          <w:divBdr>
            <w:top w:val="none" w:sz="0" w:space="0" w:color="auto"/>
            <w:left w:val="none" w:sz="0" w:space="0" w:color="auto"/>
            <w:bottom w:val="none" w:sz="0" w:space="0" w:color="auto"/>
            <w:right w:val="none" w:sz="0" w:space="0" w:color="auto"/>
          </w:divBdr>
        </w:div>
      </w:divsChild>
    </w:div>
    <w:div w:id="1511791276">
      <w:bodyDiv w:val="1"/>
      <w:marLeft w:val="0"/>
      <w:marRight w:val="0"/>
      <w:marTop w:val="0"/>
      <w:marBottom w:val="0"/>
      <w:divBdr>
        <w:top w:val="none" w:sz="0" w:space="0" w:color="auto"/>
        <w:left w:val="none" w:sz="0" w:space="0" w:color="auto"/>
        <w:bottom w:val="none" w:sz="0" w:space="0" w:color="auto"/>
        <w:right w:val="none" w:sz="0" w:space="0" w:color="auto"/>
      </w:divBdr>
      <w:divsChild>
        <w:div w:id="168567474">
          <w:marLeft w:val="480"/>
          <w:marRight w:val="0"/>
          <w:marTop w:val="0"/>
          <w:marBottom w:val="0"/>
          <w:divBdr>
            <w:top w:val="none" w:sz="0" w:space="0" w:color="auto"/>
            <w:left w:val="none" w:sz="0" w:space="0" w:color="auto"/>
            <w:bottom w:val="none" w:sz="0" w:space="0" w:color="auto"/>
            <w:right w:val="none" w:sz="0" w:space="0" w:color="auto"/>
          </w:divBdr>
        </w:div>
        <w:div w:id="212735346">
          <w:marLeft w:val="480"/>
          <w:marRight w:val="0"/>
          <w:marTop w:val="0"/>
          <w:marBottom w:val="0"/>
          <w:divBdr>
            <w:top w:val="none" w:sz="0" w:space="0" w:color="auto"/>
            <w:left w:val="none" w:sz="0" w:space="0" w:color="auto"/>
            <w:bottom w:val="none" w:sz="0" w:space="0" w:color="auto"/>
            <w:right w:val="none" w:sz="0" w:space="0" w:color="auto"/>
          </w:divBdr>
        </w:div>
        <w:div w:id="416175258">
          <w:marLeft w:val="480"/>
          <w:marRight w:val="0"/>
          <w:marTop w:val="0"/>
          <w:marBottom w:val="0"/>
          <w:divBdr>
            <w:top w:val="none" w:sz="0" w:space="0" w:color="auto"/>
            <w:left w:val="none" w:sz="0" w:space="0" w:color="auto"/>
            <w:bottom w:val="none" w:sz="0" w:space="0" w:color="auto"/>
            <w:right w:val="none" w:sz="0" w:space="0" w:color="auto"/>
          </w:divBdr>
        </w:div>
        <w:div w:id="423497167">
          <w:marLeft w:val="480"/>
          <w:marRight w:val="0"/>
          <w:marTop w:val="0"/>
          <w:marBottom w:val="0"/>
          <w:divBdr>
            <w:top w:val="none" w:sz="0" w:space="0" w:color="auto"/>
            <w:left w:val="none" w:sz="0" w:space="0" w:color="auto"/>
            <w:bottom w:val="none" w:sz="0" w:space="0" w:color="auto"/>
            <w:right w:val="none" w:sz="0" w:space="0" w:color="auto"/>
          </w:divBdr>
        </w:div>
        <w:div w:id="501506724">
          <w:marLeft w:val="480"/>
          <w:marRight w:val="0"/>
          <w:marTop w:val="0"/>
          <w:marBottom w:val="0"/>
          <w:divBdr>
            <w:top w:val="none" w:sz="0" w:space="0" w:color="auto"/>
            <w:left w:val="none" w:sz="0" w:space="0" w:color="auto"/>
            <w:bottom w:val="none" w:sz="0" w:space="0" w:color="auto"/>
            <w:right w:val="none" w:sz="0" w:space="0" w:color="auto"/>
          </w:divBdr>
        </w:div>
        <w:div w:id="688683921">
          <w:marLeft w:val="480"/>
          <w:marRight w:val="0"/>
          <w:marTop w:val="0"/>
          <w:marBottom w:val="0"/>
          <w:divBdr>
            <w:top w:val="none" w:sz="0" w:space="0" w:color="auto"/>
            <w:left w:val="none" w:sz="0" w:space="0" w:color="auto"/>
            <w:bottom w:val="none" w:sz="0" w:space="0" w:color="auto"/>
            <w:right w:val="none" w:sz="0" w:space="0" w:color="auto"/>
          </w:divBdr>
        </w:div>
        <w:div w:id="773593103">
          <w:marLeft w:val="480"/>
          <w:marRight w:val="0"/>
          <w:marTop w:val="0"/>
          <w:marBottom w:val="0"/>
          <w:divBdr>
            <w:top w:val="none" w:sz="0" w:space="0" w:color="auto"/>
            <w:left w:val="none" w:sz="0" w:space="0" w:color="auto"/>
            <w:bottom w:val="none" w:sz="0" w:space="0" w:color="auto"/>
            <w:right w:val="none" w:sz="0" w:space="0" w:color="auto"/>
          </w:divBdr>
        </w:div>
        <w:div w:id="950358268">
          <w:marLeft w:val="480"/>
          <w:marRight w:val="0"/>
          <w:marTop w:val="0"/>
          <w:marBottom w:val="0"/>
          <w:divBdr>
            <w:top w:val="none" w:sz="0" w:space="0" w:color="auto"/>
            <w:left w:val="none" w:sz="0" w:space="0" w:color="auto"/>
            <w:bottom w:val="none" w:sz="0" w:space="0" w:color="auto"/>
            <w:right w:val="none" w:sz="0" w:space="0" w:color="auto"/>
          </w:divBdr>
        </w:div>
        <w:div w:id="1099833018">
          <w:marLeft w:val="480"/>
          <w:marRight w:val="0"/>
          <w:marTop w:val="0"/>
          <w:marBottom w:val="0"/>
          <w:divBdr>
            <w:top w:val="none" w:sz="0" w:space="0" w:color="auto"/>
            <w:left w:val="none" w:sz="0" w:space="0" w:color="auto"/>
            <w:bottom w:val="none" w:sz="0" w:space="0" w:color="auto"/>
            <w:right w:val="none" w:sz="0" w:space="0" w:color="auto"/>
          </w:divBdr>
        </w:div>
        <w:div w:id="1131367113">
          <w:marLeft w:val="480"/>
          <w:marRight w:val="0"/>
          <w:marTop w:val="0"/>
          <w:marBottom w:val="0"/>
          <w:divBdr>
            <w:top w:val="none" w:sz="0" w:space="0" w:color="auto"/>
            <w:left w:val="none" w:sz="0" w:space="0" w:color="auto"/>
            <w:bottom w:val="none" w:sz="0" w:space="0" w:color="auto"/>
            <w:right w:val="none" w:sz="0" w:space="0" w:color="auto"/>
          </w:divBdr>
        </w:div>
        <w:div w:id="1197112550">
          <w:marLeft w:val="480"/>
          <w:marRight w:val="0"/>
          <w:marTop w:val="0"/>
          <w:marBottom w:val="0"/>
          <w:divBdr>
            <w:top w:val="none" w:sz="0" w:space="0" w:color="auto"/>
            <w:left w:val="none" w:sz="0" w:space="0" w:color="auto"/>
            <w:bottom w:val="none" w:sz="0" w:space="0" w:color="auto"/>
            <w:right w:val="none" w:sz="0" w:space="0" w:color="auto"/>
          </w:divBdr>
        </w:div>
        <w:div w:id="1267497691">
          <w:marLeft w:val="480"/>
          <w:marRight w:val="0"/>
          <w:marTop w:val="0"/>
          <w:marBottom w:val="0"/>
          <w:divBdr>
            <w:top w:val="none" w:sz="0" w:space="0" w:color="auto"/>
            <w:left w:val="none" w:sz="0" w:space="0" w:color="auto"/>
            <w:bottom w:val="none" w:sz="0" w:space="0" w:color="auto"/>
            <w:right w:val="none" w:sz="0" w:space="0" w:color="auto"/>
          </w:divBdr>
        </w:div>
        <w:div w:id="1308048721">
          <w:marLeft w:val="480"/>
          <w:marRight w:val="0"/>
          <w:marTop w:val="0"/>
          <w:marBottom w:val="0"/>
          <w:divBdr>
            <w:top w:val="none" w:sz="0" w:space="0" w:color="auto"/>
            <w:left w:val="none" w:sz="0" w:space="0" w:color="auto"/>
            <w:bottom w:val="none" w:sz="0" w:space="0" w:color="auto"/>
            <w:right w:val="none" w:sz="0" w:space="0" w:color="auto"/>
          </w:divBdr>
        </w:div>
        <w:div w:id="1386833131">
          <w:marLeft w:val="480"/>
          <w:marRight w:val="0"/>
          <w:marTop w:val="0"/>
          <w:marBottom w:val="0"/>
          <w:divBdr>
            <w:top w:val="none" w:sz="0" w:space="0" w:color="auto"/>
            <w:left w:val="none" w:sz="0" w:space="0" w:color="auto"/>
            <w:bottom w:val="none" w:sz="0" w:space="0" w:color="auto"/>
            <w:right w:val="none" w:sz="0" w:space="0" w:color="auto"/>
          </w:divBdr>
        </w:div>
        <w:div w:id="1437945488">
          <w:marLeft w:val="480"/>
          <w:marRight w:val="0"/>
          <w:marTop w:val="0"/>
          <w:marBottom w:val="0"/>
          <w:divBdr>
            <w:top w:val="none" w:sz="0" w:space="0" w:color="auto"/>
            <w:left w:val="none" w:sz="0" w:space="0" w:color="auto"/>
            <w:bottom w:val="none" w:sz="0" w:space="0" w:color="auto"/>
            <w:right w:val="none" w:sz="0" w:space="0" w:color="auto"/>
          </w:divBdr>
        </w:div>
        <w:div w:id="1667244496">
          <w:marLeft w:val="480"/>
          <w:marRight w:val="0"/>
          <w:marTop w:val="0"/>
          <w:marBottom w:val="0"/>
          <w:divBdr>
            <w:top w:val="none" w:sz="0" w:space="0" w:color="auto"/>
            <w:left w:val="none" w:sz="0" w:space="0" w:color="auto"/>
            <w:bottom w:val="none" w:sz="0" w:space="0" w:color="auto"/>
            <w:right w:val="none" w:sz="0" w:space="0" w:color="auto"/>
          </w:divBdr>
        </w:div>
        <w:div w:id="1692685467">
          <w:marLeft w:val="480"/>
          <w:marRight w:val="0"/>
          <w:marTop w:val="0"/>
          <w:marBottom w:val="0"/>
          <w:divBdr>
            <w:top w:val="none" w:sz="0" w:space="0" w:color="auto"/>
            <w:left w:val="none" w:sz="0" w:space="0" w:color="auto"/>
            <w:bottom w:val="none" w:sz="0" w:space="0" w:color="auto"/>
            <w:right w:val="none" w:sz="0" w:space="0" w:color="auto"/>
          </w:divBdr>
        </w:div>
        <w:div w:id="1987974230">
          <w:marLeft w:val="480"/>
          <w:marRight w:val="0"/>
          <w:marTop w:val="0"/>
          <w:marBottom w:val="0"/>
          <w:divBdr>
            <w:top w:val="none" w:sz="0" w:space="0" w:color="auto"/>
            <w:left w:val="none" w:sz="0" w:space="0" w:color="auto"/>
            <w:bottom w:val="none" w:sz="0" w:space="0" w:color="auto"/>
            <w:right w:val="none" w:sz="0" w:space="0" w:color="auto"/>
          </w:divBdr>
        </w:div>
        <w:div w:id="2067406970">
          <w:marLeft w:val="480"/>
          <w:marRight w:val="0"/>
          <w:marTop w:val="0"/>
          <w:marBottom w:val="0"/>
          <w:divBdr>
            <w:top w:val="none" w:sz="0" w:space="0" w:color="auto"/>
            <w:left w:val="none" w:sz="0" w:space="0" w:color="auto"/>
            <w:bottom w:val="none" w:sz="0" w:space="0" w:color="auto"/>
            <w:right w:val="none" w:sz="0" w:space="0" w:color="auto"/>
          </w:divBdr>
        </w:div>
      </w:divsChild>
    </w:div>
    <w:div w:id="1517423826">
      <w:bodyDiv w:val="1"/>
      <w:marLeft w:val="0"/>
      <w:marRight w:val="0"/>
      <w:marTop w:val="0"/>
      <w:marBottom w:val="0"/>
      <w:divBdr>
        <w:top w:val="none" w:sz="0" w:space="0" w:color="auto"/>
        <w:left w:val="none" w:sz="0" w:space="0" w:color="auto"/>
        <w:bottom w:val="none" w:sz="0" w:space="0" w:color="auto"/>
        <w:right w:val="none" w:sz="0" w:space="0" w:color="auto"/>
      </w:divBdr>
      <w:divsChild>
        <w:div w:id="175852928">
          <w:marLeft w:val="480"/>
          <w:marRight w:val="0"/>
          <w:marTop w:val="0"/>
          <w:marBottom w:val="0"/>
          <w:divBdr>
            <w:top w:val="none" w:sz="0" w:space="0" w:color="auto"/>
            <w:left w:val="none" w:sz="0" w:space="0" w:color="auto"/>
            <w:bottom w:val="none" w:sz="0" w:space="0" w:color="auto"/>
            <w:right w:val="none" w:sz="0" w:space="0" w:color="auto"/>
          </w:divBdr>
        </w:div>
        <w:div w:id="814954910">
          <w:marLeft w:val="480"/>
          <w:marRight w:val="0"/>
          <w:marTop w:val="0"/>
          <w:marBottom w:val="0"/>
          <w:divBdr>
            <w:top w:val="none" w:sz="0" w:space="0" w:color="auto"/>
            <w:left w:val="none" w:sz="0" w:space="0" w:color="auto"/>
            <w:bottom w:val="none" w:sz="0" w:space="0" w:color="auto"/>
            <w:right w:val="none" w:sz="0" w:space="0" w:color="auto"/>
          </w:divBdr>
        </w:div>
        <w:div w:id="887648832">
          <w:marLeft w:val="480"/>
          <w:marRight w:val="0"/>
          <w:marTop w:val="0"/>
          <w:marBottom w:val="0"/>
          <w:divBdr>
            <w:top w:val="none" w:sz="0" w:space="0" w:color="auto"/>
            <w:left w:val="none" w:sz="0" w:space="0" w:color="auto"/>
            <w:bottom w:val="none" w:sz="0" w:space="0" w:color="auto"/>
            <w:right w:val="none" w:sz="0" w:space="0" w:color="auto"/>
          </w:divBdr>
        </w:div>
        <w:div w:id="924727302">
          <w:marLeft w:val="480"/>
          <w:marRight w:val="0"/>
          <w:marTop w:val="0"/>
          <w:marBottom w:val="0"/>
          <w:divBdr>
            <w:top w:val="none" w:sz="0" w:space="0" w:color="auto"/>
            <w:left w:val="none" w:sz="0" w:space="0" w:color="auto"/>
            <w:bottom w:val="none" w:sz="0" w:space="0" w:color="auto"/>
            <w:right w:val="none" w:sz="0" w:space="0" w:color="auto"/>
          </w:divBdr>
        </w:div>
        <w:div w:id="1161696581">
          <w:marLeft w:val="480"/>
          <w:marRight w:val="0"/>
          <w:marTop w:val="0"/>
          <w:marBottom w:val="0"/>
          <w:divBdr>
            <w:top w:val="none" w:sz="0" w:space="0" w:color="auto"/>
            <w:left w:val="none" w:sz="0" w:space="0" w:color="auto"/>
            <w:bottom w:val="none" w:sz="0" w:space="0" w:color="auto"/>
            <w:right w:val="none" w:sz="0" w:space="0" w:color="auto"/>
          </w:divBdr>
        </w:div>
        <w:div w:id="1619027744">
          <w:marLeft w:val="480"/>
          <w:marRight w:val="0"/>
          <w:marTop w:val="0"/>
          <w:marBottom w:val="0"/>
          <w:divBdr>
            <w:top w:val="none" w:sz="0" w:space="0" w:color="auto"/>
            <w:left w:val="none" w:sz="0" w:space="0" w:color="auto"/>
            <w:bottom w:val="none" w:sz="0" w:space="0" w:color="auto"/>
            <w:right w:val="none" w:sz="0" w:space="0" w:color="auto"/>
          </w:divBdr>
        </w:div>
        <w:div w:id="1982492402">
          <w:marLeft w:val="480"/>
          <w:marRight w:val="0"/>
          <w:marTop w:val="0"/>
          <w:marBottom w:val="0"/>
          <w:divBdr>
            <w:top w:val="none" w:sz="0" w:space="0" w:color="auto"/>
            <w:left w:val="none" w:sz="0" w:space="0" w:color="auto"/>
            <w:bottom w:val="none" w:sz="0" w:space="0" w:color="auto"/>
            <w:right w:val="none" w:sz="0" w:space="0" w:color="auto"/>
          </w:divBdr>
        </w:div>
      </w:divsChild>
    </w:div>
    <w:div w:id="1528256154">
      <w:bodyDiv w:val="1"/>
      <w:marLeft w:val="0"/>
      <w:marRight w:val="0"/>
      <w:marTop w:val="0"/>
      <w:marBottom w:val="0"/>
      <w:divBdr>
        <w:top w:val="none" w:sz="0" w:space="0" w:color="auto"/>
        <w:left w:val="none" w:sz="0" w:space="0" w:color="auto"/>
        <w:bottom w:val="none" w:sz="0" w:space="0" w:color="auto"/>
        <w:right w:val="none" w:sz="0" w:space="0" w:color="auto"/>
      </w:divBdr>
    </w:div>
    <w:div w:id="1531264072">
      <w:bodyDiv w:val="1"/>
      <w:marLeft w:val="0"/>
      <w:marRight w:val="0"/>
      <w:marTop w:val="0"/>
      <w:marBottom w:val="0"/>
      <w:divBdr>
        <w:top w:val="none" w:sz="0" w:space="0" w:color="auto"/>
        <w:left w:val="none" w:sz="0" w:space="0" w:color="auto"/>
        <w:bottom w:val="none" w:sz="0" w:space="0" w:color="auto"/>
        <w:right w:val="none" w:sz="0" w:space="0" w:color="auto"/>
      </w:divBdr>
    </w:div>
    <w:div w:id="1604609209">
      <w:marLeft w:val="480"/>
      <w:marRight w:val="0"/>
      <w:marTop w:val="0"/>
      <w:marBottom w:val="0"/>
      <w:divBdr>
        <w:top w:val="none" w:sz="0" w:space="0" w:color="auto"/>
        <w:left w:val="none" w:sz="0" w:space="0" w:color="auto"/>
        <w:bottom w:val="none" w:sz="0" w:space="0" w:color="auto"/>
        <w:right w:val="none" w:sz="0" w:space="0" w:color="auto"/>
      </w:divBdr>
    </w:div>
    <w:div w:id="1626620725">
      <w:bodyDiv w:val="1"/>
      <w:marLeft w:val="0"/>
      <w:marRight w:val="0"/>
      <w:marTop w:val="0"/>
      <w:marBottom w:val="0"/>
      <w:divBdr>
        <w:top w:val="none" w:sz="0" w:space="0" w:color="auto"/>
        <w:left w:val="none" w:sz="0" w:space="0" w:color="auto"/>
        <w:bottom w:val="none" w:sz="0" w:space="0" w:color="auto"/>
        <w:right w:val="none" w:sz="0" w:space="0" w:color="auto"/>
      </w:divBdr>
      <w:divsChild>
        <w:div w:id="50809476">
          <w:marLeft w:val="480"/>
          <w:marRight w:val="0"/>
          <w:marTop w:val="0"/>
          <w:marBottom w:val="0"/>
          <w:divBdr>
            <w:top w:val="none" w:sz="0" w:space="0" w:color="auto"/>
            <w:left w:val="none" w:sz="0" w:space="0" w:color="auto"/>
            <w:bottom w:val="none" w:sz="0" w:space="0" w:color="auto"/>
            <w:right w:val="none" w:sz="0" w:space="0" w:color="auto"/>
          </w:divBdr>
        </w:div>
        <w:div w:id="517163887">
          <w:marLeft w:val="480"/>
          <w:marRight w:val="0"/>
          <w:marTop w:val="0"/>
          <w:marBottom w:val="0"/>
          <w:divBdr>
            <w:top w:val="none" w:sz="0" w:space="0" w:color="auto"/>
            <w:left w:val="none" w:sz="0" w:space="0" w:color="auto"/>
            <w:bottom w:val="none" w:sz="0" w:space="0" w:color="auto"/>
            <w:right w:val="none" w:sz="0" w:space="0" w:color="auto"/>
          </w:divBdr>
        </w:div>
        <w:div w:id="1510559423">
          <w:marLeft w:val="480"/>
          <w:marRight w:val="0"/>
          <w:marTop w:val="0"/>
          <w:marBottom w:val="0"/>
          <w:divBdr>
            <w:top w:val="none" w:sz="0" w:space="0" w:color="auto"/>
            <w:left w:val="none" w:sz="0" w:space="0" w:color="auto"/>
            <w:bottom w:val="none" w:sz="0" w:space="0" w:color="auto"/>
            <w:right w:val="none" w:sz="0" w:space="0" w:color="auto"/>
          </w:divBdr>
        </w:div>
        <w:div w:id="1992445913">
          <w:marLeft w:val="480"/>
          <w:marRight w:val="0"/>
          <w:marTop w:val="0"/>
          <w:marBottom w:val="0"/>
          <w:divBdr>
            <w:top w:val="none" w:sz="0" w:space="0" w:color="auto"/>
            <w:left w:val="none" w:sz="0" w:space="0" w:color="auto"/>
            <w:bottom w:val="none" w:sz="0" w:space="0" w:color="auto"/>
            <w:right w:val="none" w:sz="0" w:space="0" w:color="auto"/>
          </w:divBdr>
        </w:div>
        <w:div w:id="2041319118">
          <w:marLeft w:val="480"/>
          <w:marRight w:val="0"/>
          <w:marTop w:val="0"/>
          <w:marBottom w:val="0"/>
          <w:divBdr>
            <w:top w:val="none" w:sz="0" w:space="0" w:color="auto"/>
            <w:left w:val="none" w:sz="0" w:space="0" w:color="auto"/>
            <w:bottom w:val="none" w:sz="0" w:space="0" w:color="auto"/>
            <w:right w:val="none" w:sz="0" w:space="0" w:color="auto"/>
          </w:divBdr>
        </w:div>
      </w:divsChild>
    </w:div>
    <w:div w:id="1644770256">
      <w:marLeft w:val="480"/>
      <w:marRight w:val="0"/>
      <w:marTop w:val="0"/>
      <w:marBottom w:val="0"/>
      <w:divBdr>
        <w:top w:val="none" w:sz="0" w:space="0" w:color="auto"/>
        <w:left w:val="none" w:sz="0" w:space="0" w:color="auto"/>
        <w:bottom w:val="none" w:sz="0" w:space="0" w:color="auto"/>
        <w:right w:val="none" w:sz="0" w:space="0" w:color="auto"/>
      </w:divBdr>
    </w:div>
    <w:div w:id="1672368666">
      <w:bodyDiv w:val="1"/>
      <w:marLeft w:val="0"/>
      <w:marRight w:val="0"/>
      <w:marTop w:val="0"/>
      <w:marBottom w:val="0"/>
      <w:divBdr>
        <w:top w:val="none" w:sz="0" w:space="0" w:color="auto"/>
        <w:left w:val="none" w:sz="0" w:space="0" w:color="auto"/>
        <w:bottom w:val="none" w:sz="0" w:space="0" w:color="auto"/>
        <w:right w:val="none" w:sz="0" w:space="0" w:color="auto"/>
      </w:divBdr>
    </w:div>
    <w:div w:id="1695107372">
      <w:bodyDiv w:val="1"/>
      <w:marLeft w:val="0"/>
      <w:marRight w:val="0"/>
      <w:marTop w:val="0"/>
      <w:marBottom w:val="0"/>
      <w:divBdr>
        <w:top w:val="none" w:sz="0" w:space="0" w:color="auto"/>
        <w:left w:val="none" w:sz="0" w:space="0" w:color="auto"/>
        <w:bottom w:val="none" w:sz="0" w:space="0" w:color="auto"/>
        <w:right w:val="none" w:sz="0" w:space="0" w:color="auto"/>
      </w:divBdr>
    </w:div>
    <w:div w:id="1699507437">
      <w:marLeft w:val="480"/>
      <w:marRight w:val="0"/>
      <w:marTop w:val="0"/>
      <w:marBottom w:val="0"/>
      <w:divBdr>
        <w:top w:val="none" w:sz="0" w:space="0" w:color="auto"/>
        <w:left w:val="none" w:sz="0" w:space="0" w:color="auto"/>
        <w:bottom w:val="none" w:sz="0" w:space="0" w:color="auto"/>
        <w:right w:val="none" w:sz="0" w:space="0" w:color="auto"/>
      </w:divBdr>
    </w:div>
    <w:div w:id="1722554542">
      <w:marLeft w:val="480"/>
      <w:marRight w:val="0"/>
      <w:marTop w:val="0"/>
      <w:marBottom w:val="0"/>
      <w:divBdr>
        <w:top w:val="none" w:sz="0" w:space="0" w:color="auto"/>
        <w:left w:val="none" w:sz="0" w:space="0" w:color="auto"/>
        <w:bottom w:val="none" w:sz="0" w:space="0" w:color="auto"/>
        <w:right w:val="none" w:sz="0" w:space="0" w:color="auto"/>
      </w:divBdr>
    </w:div>
    <w:div w:id="1727800507">
      <w:bodyDiv w:val="1"/>
      <w:marLeft w:val="0"/>
      <w:marRight w:val="0"/>
      <w:marTop w:val="0"/>
      <w:marBottom w:val="0"/>
      <w:divBdr>
        <w:top w:val="none" w:sz="0" w:space="0" w:color="auto"/>
        <w:left w:val="none" w:sz="0" w:space="0" w:color="auto"/>
        <w:bottom w:val="none" w:sz="0" w:space="0" w:color="auto"/>
        <w:right w:val="none" w:sz="0" w:space="0" w:color="auto"/>
      </w:divBdr>
      <w:divsChild>
        <w:div w:id="62918655">
          <w:marLeft w:val="480"/>
          <w:marRight w:val="0"/>
          <w:marTop w:val="0"/>
          <w:marBottom w:val="0"/>
          <w:divBdr>
            <w:top w:val="none" w:sz="0" w:space="0" w:color="auto"/>
            <w:left w:val="none" w:sz="0" w:space="0" w:color="auto"/>
            <w:bottom w:val="none" w:sz="0" w:space="0" w:color="auto"/>
            <w:right w:val="none" w:sz="0" w:space="0" w:color="auto"/>
          </w:divBdr>
        </w:div>
        <w:div w:id="211774462">
          <w:marLeft w:val="480"/>
          <w:marRight w:val="0"/>
          <w:marTop w:val="0"/>
          <w:marBottom w:val="0"/>
          <w:divBdr>
            <w:top w:val="none" w:sz="0" w:space="0" w:color="auto"/>
            <w:left w:val="none" w:sz="0" w:space="0" w:color="auto"/>
            <w:bottom w:val="none" w:sz="0" w:space="0" w:color="auto"/>
            <w:right w:val="none" w:sz="0" w:space="0" w:color="auto"/>
          </w:divBdr>
        </w:div>
        <w:div w:id="305860797">
          <w:marLeft w:val="480"/>
          <w:marRight w:val="0"/>
          <w:marTop w:val="0"/>
          <w:marBottom w:val="0"/>
          <w:divBdr>
            <w:top w:val="none" w:sz="0" w:space="0" w:color="auto"/>
            <w:left w:val="none" w:sz="0" w:space="0" w:color="auto"/>
            <w:bottom w:val="none" w:sz="0" w:space="0" w:color="auto"/>
            <w:right w:val="none" w:sz="0" w:space="0" w:color="auto"/>
          </w:divBdr>
        </w:div>
        <w:div w:id="576716921">
          <w:marLeft w:val="480"/>
          <w:marRight w:val="0"/>
          <w:marTop w:val="0"/>
          <w:marBottom w:val="0"/>
          <w:divBdr>
            <w:top w:val="none" w:sz="0" w:space="0" w:color="auto"/>
            <w:left w:val="none" w:sz="0" w:space="0" w:color="auto"/>
            <w:bottom w:val="none" w:sz="0" w:space="0" w:color="auto"/>
            <w:right w:val="none" w:sz="0" w:space="0" w:color="auto"/>
          </w:divBdr>
        </w:div>
        <w:div w:id="652442732">
          <w:marLeft w:val="480"/>
          <w:marRight w:val="0"/>
          <w:marTop w:val="0"/>
          <w:marBottom w:val="0"/>
          <w:divBdr>
            <w:top w:val="none" w:sz="0" w:space="0" w:color="auto"/>
            <w:left w:val="none" w:sz="0" w:space="0" w:color="auto"/>
            <w:bottom w:val="none" w:sz="0" w:space="0" w:color="auto"/>
            <w:right w:val="none" w:sz="0" w:space="0" w:color="auto"/>
          </w:divBdr>
        </w:div>
        <w:div w:id="655961127">
          <w:marLeft w:val="480"/>
          <w:marRight w:val="0"/>
          <w:marTop w:val="0"/>
          <w:marBottom w:val="0"/>
          <w:divBdr>
            <w:top w:val="none" w:sz="0" w:space="0" w:color="auto"/>
            <w:left w:val="none" w:sz="0" w:space="0" w:color="auto"/>
            <w:bottom w:val="none" w:sz="0" w:space="0" w:color="auto"/>
            <w:right w:val="none" w:sz="0" w:space="0" w:color="auto"/>
          </w:divBdr>
        </w:div>
        <w:div w:id="930046649">
          <w:marLeft w:val="480"/>
          <w:marRight w:val="0"/>
          <w:marTop w:val="0"/>
          <w:marBottom w:val="0"/>
          <w:divBdr>
            <w:top w:val="none" w:sz="0" w:space="0" w:color="auto"/>
            <w:left w:val="none" w:sz="0" w:space="0" w:color="auto"/>
            <w:bottom w:val="none" w:sz="0" w:space="0" w:color="auto"/>
            <w:right w:val="none" w:sz="0" w:space="0" w:color="auto"/>
          </w:divBdr>
        </w:div>
        <w:div w:id="945885231">
          <w:marLeft w:val="480"/>
          <w:marRight w:val="0"/>
          <w:marTop w:val="0"/>
          <w:marBottom w:val="0"/>
          <w:divBdr>
            <w:top w:val="none" w:sz="0" w:space="0" w:color="auto"/>
            <w:left w:val="none" w:sz="0" w:space="0" w:color="auto"/>
            <w:bottom w:val="none" w:sz="0" w:space="0" w:color="auto"/>
            <w:right w:val="none" w:sz="0" w:space="0" w:color="auto"/>
          </w:divBdr>
        </w:div>
        <w:div w:id="1523274891">
          <w:marLeft w:val="480"/>
          <w:marRight w:val="0"/>
          <w:marTop w:val="0"/>
          <w:marBottom w:val="0"/>
          <w:divBdr>
            <w:top w:val="none" w:sz="0" w:space="0" w:color="auto"/>
            <w:left w:val="none" w:sz="0" w:space="0" w:color="auto"/>
            <w:bottom w:val="none" w:sz="0" w:space="0" w:color="auto"/>
            <w:right w:val="none" w:sz="0" w:space="0" w:color="auto"/>
          </w:divBdr>
        </w:div>
        <w:div w:id="1604997974">
          <w:marLeft w:val="480"/>
          <w:marRight w:val="0"/>
          <w:marTop w:val="0"/>
          <w:marBottom w:val="0"/>
          <w:divBdr>
            <w:top w:val="none" w:sz="0" w:space="0" w:color="auto"/>
            <w:left w:val="none" w:sz="0" w:space="0" w:color="auto"/>
            <w:bottom w:val="none" w:sz="0" w:space="0" w:color="auto"/>
            <w:right w:val="none" w:sz="0" w:space="0" w:color="auto"/>
          </w:divBdr>
        </w:div>
        <w:div w:id="1762986691">
          <w:marLeft w:val="480"/>
          <w:marRight w:val="0"/>
          <w:marTop w:val="0"/>
          <w:marBottom w:val="0"/>
          <w:divBdr>
            <w:top w:val="none" w:sz="0" w:space="0" w:color="auto"/>
            <w:left w:val="none" w:sz="0" w:space="0" w:color="auto"/>
            <w:bottom w:val="none" w:sz="0" w:space="0" w:color="auto"/>
            <w:right w:val="none" w:sz="0" w:space="0" w:color="auto"/>
          </w:divBdr>
        </w:div>
      </w:divsChild>
    </w:div>
    <w:div w:id="1737627456">
      <w:marLeft w:val="480"/>
      <w:marRight w:val="0"/>
      <w:marTop w:val="0"/>
      <w:marBottom w:val="0"/>
      <w:divBdr>
        <w:top w:val="none" w:sz="0" w:space="0" w:color="auto"/>
        <w:left w:val="none" w:sz="0" w:space="0" w:color="auto"/>
        <w:bottom w:val="none" w:sz="0" w:space="0" w:color="auto"/>
        <w:right w:val="none" w:sz="0" w:space="0" w:color="auto"/>
      </w:divBdr>
    </w:div>
    <w:div w:id="1749307154">
      <w:bodyDiv w:val="1"/>
      <w:marLeft w:val="0"/>
      <w:marRight w:val="0"/>
      <w:marTop w:val="0"/>
      <w:marBottom w:val="0"/>
      <w:divBdr>
        <w:top w:val="none" w:sz="0" w:space="0" w:color="auto"/>
        <w:left w:val="none" w:sz="0" w:space="0" w:color="auto"/>
        <w:bottom w:val="none" w:sz="0" w:space="0" w:color="auto"/>
        <w:right w:val="none" w:sz="0" w:space="0" w:color="auto"/>
      </w:divBdr>
      <w:divsChild>
        <w:div w:id="1241138121">
          <w:marLeft w:val="480"/>
          <w:marRight w:val="0"/>
          <w:marTop w:val="0"/>
          <w:marBottom w:val="0"/>
          <w:divBdr>
            <w:top w:val="none" w:sz="0" w:space="0" w:color="auto"/>
            <w:left w:val="none" w:sz="0" w:space="0" w:color="auto"/>
            <w:bottom w:val="none" w:sz="0" w:space="0" w:color="auto"/>
            <w:right w:val="none" w:sz="0" w:space="0" w:color="auto"/>
          </w:divBdr>
        </w:div>
        <w:div w:id="479074137">
          <w:marLeft w:val="480"/>
          <w:marRight w:val="0"/>
          <w:marTop w:val="0"/>
          <w:marBottom w:val="0"/>
          <w:divBdr>
            <w:top w:val="none" w:sz="0" w:space="0" w:color="auto"/>
            <w:left w:val="none" w:sz="0" w:space="0" w:color="auto"/>
            <w:bottom w:val="none" w:sz="0" w:space="0" w:color="auto"/>
            <w:right w:val="none" w:sz="0" w:space="0" w:color="auto"/>
          </w:divBdr>
        </w:div>
        <w:div w:id="988480324">
          <w:marLeft w:val="480"/>
          <w:marRight w:val="0"/>
          <w:marTop w:val="0"/>
          <w:marBottom w:val="0"/>
          <w:divBdr>
            <w:top w:val="none" w:sz="0" w:space="0" w:color="auto"/>
            <w:left w:val="none" w:sz="0" w:space="0" w:color="auto"/>
            <w:bottom w:val="none" w:sz="0" w:space="0" w:color="auto"/>
            <w:right w:val="none" w:sz="0" w:space="0" w:color="auto"/>
          </w:divBdr>
        </w:div>
        <w:div w:id="1431699750">
          <w:marLeft w:val="480"/>
          <w:marRight w:val="0"/>
          <w:marTop w:val="0"/>
          <w:marBottom w:val="0"/>
          <w:divBdr>
            <w:top w:val="none" w:sz="0" w:space="0" w:color="auto"/>
            <w:left w:val="none" w:sz="0" w:space="0" w:color="auto"/>
            <w:bottom w:val="none" w:sz="0" w:space="0" w:color="auto"/>
            <w:right w:val="none" w:sz="0" w:space="0" w:color="auto"/>
          </w:divBdr>
        </w:div>
        <w:div w:id="144668734">
          <w:marLeft w:val="480"/>
          <w:marRight w:val="0"/>
          <w:marTop w:val="0"/>
          <w:marBottom w:val="0"/>
          <w:divBdr>
            <w:top w:val="none" w:sz="0" w:space="0" w:color="auto"/>
            <w:left w:val="none" w:sz="0" w:space="0" w:color="auto"/>
            <w:bottom w:val="none" w:sz="0" w:space="0" w:color="auto"/>
            <w:right w:val="none" w:sz="0" w:space="0" w:color="auto"/>
          </w:divBdr>
        </w:div>
        <w:div w:id="282346044">
          <w:marLeft w:val="480"/>
          <w:marRight w:val="0"/>
          <w:marTop w:val="0"/>
          <w:marBottom w:val="0"/>
          <w:divBdr>
            <w:top w:val="none" w:sz="0" w:space="0" w:color="auto"/>
            <w:left w:val="none" w:sz="0" w:space="0" w:color="auto"/>
            <w:bottom w:val="none" w:sz="0" w:space="0" w:color="auto"/>
            <w:right w:val="none" w:sz="0" w:space="0" w:color="auto"/>
          </w:divBdr>
        </w:div>
        <w:div w:id="349767455">
          <w:marLeft w:val="480"/>
          <w:marRight w:val="0"/>
          <w:marTop w:val="0"/>
          <w:marBottom w:val="0"/>
          <w:divBdr>
            <w:top w:val="none" w:sz="0" w:space="0" w:color="auto"/>
            <w:left w:val="none" w:sz="0" w:space="0" w:color="auto"/>
            <w:bottom w:val="none" w:sz="0" w:space="0" w:color="auto"/>
            <w:right w:val="none" w:sz="0" w:space="0" w:color="auto"/>
          </w:divBdr>
        </w:div>
        <w:div w:id="1226723123">
          <w:marLeft w:val="480"/>
          <w:marRight w:val="0"/>
          <w:marTop w:val="0"/>
          <w:marBottom w:val="0"/>
          <w:divBdr>
            <w:top w:val="none" w:sz="0" w:space="0" w:color="auto"/>
            <w:left w:val="none" w:sz="0" w:space="0" w:color="auto"/>
            <w:bottom w:val="none" w:sz="0" w:space="0" w:color="auto"/>
            <w:right w:val="none" w:sz="0" w:space="0" w:color="auto"/>
          </w:divBdr>
        </w:div>
        <w:div w:id="1810584742">
          <w:marLeft w:val="480"/>
          <w:marRight w:val="0"/>
          <w:marTop w:val="0"/>
          <w:marBottom w:val="0"/>
          <w:divBdr>
            <w:top w:val="none" w:sz="0" w:space="0" w:color="auto"/>
            <w:left w:val="none" w:sz="0" w:space="0" w:color="auto"/>
            <w:bottom w:val="none" w:sz="0" w:space="0" w:color="auto"/>
            <w:right w:val="none" w:sz="0" w:space="0" w:color="auto"/>
          </w:divBdr>
        </w:div>
        <w:div w:id="2120492422">
          <w:marLeft w:val="480"/>
          <w:marRight w:val="0"/>
          <w:marTop w:val="0"/>
          <w:marBottom w:val="0"/>
          <w:divBdr>
            <w:top w:val="none" w:sz="0" w:space="0" w:color="auto"/>
            <w:left w:val="none" w:sz="0" w:space="0" w:color="auto"/>
            <w:bottom w:val="none" w:sz="0" w:space="0" w:color="auto"/>
            <w:right w:val="none" w:sz="0" w:space="0" w:color="auto"/>
          </w:divBdr>
        </w:div>
        <w:div w:id="187375818">
          <w:marLeft w:val="480"/>
          <w:marRight w:val="0"/>
          <w:marTop w:val="0"/>
          <w:marBottom w:val="0"/>
          <w:divBdr>
            <w:top w:val="none" w:sz="0" w:space="0" w:color="auto"/>
            <w:left w:val="none" w:sz="0" w:space="0" w:color="auto"/>
            <w:bottom w:val="none" w:sz="0" w:space="0" w:color="auto"/>
            <w:right w:val="none" w:sz="0" w:space="0" w:color="auto"/>
          </w:divBdr>
        </w:div>
        <w:div w:id="1933932151">
          <w:marLeft w:val="480"/>
          <w:marRight w:val="0"/>
          <w:marTop w:val="0"/>
          <w:marBottom w:val="0"/>
          <w:divBdr>
            <w:top w:val="none" w:sz="0" w:space="0" w:color="auto"/>
            <w:left w:val="none" w:sz="0" w:space="0" w:color="auto"/>
            <w:bottom w:val="none" w:sz="0" w:space="0" w:color="auto"/>
            <w:right w:val="none" w:sz="0" w:space="0" w:color="auto"/>
          </w:divBdr>
        </w:div>
        <w:div w:id="1768234169">
          <w:marLeft w:val="480"/>
          <w:marRight w:val="0"/>
          <w:marTop w:val="0"/>
          <w:marBottom w:val="0"/>
          <w:divBdr>
            <w:top w:val="none" w:sz="0" w:space="0" w:color="auto"/>
            <w:left w:val="none" w:sz="0" w:space="0" w:color="auto"/>
            <w:bottom w:val="none" w:sz="0" w:space="0" w:color="auto"/>
            <w:right w:val="none" w:sz="0" w:space="0" w:color="auto"/>
          </w:divBdr>
        </w:div>
        <w:div w:id="2068796916">
          <w:marLeft w:val="480"/>
          <w:marRight w:val="0"/>
          <w:marTop w:val="0"/>
          <w:marBottom w:val="0"/>
          <w:divBdr>
            <w:top w:val="none" w:sz="0" w:space="0" w:color="auto"/>
            <w:left w:val="none" w:sz="0" w:space="0" w:color="auto"/>
            <w:bottom w:val="none" w:sz="0" w:space="0" w:color="auto"/>
            <w:right w:val="none" w:sz="0" w:space="0" w:color="auto"/>
          </w:divBdr>
        </w:div>
        <w:div w:id="328945505">
          <w:marLeft w:val="480"/>
          <w:marRight w:val="0"/>
          <w:marTop w:val="0"/>
          <w:marBottom w:val="0"/>
          <w:divBdr>
            <w:top w:val="none" w:sz="0" w:space="0" w:color="auto"/>
            <w:left w:val="none" w:sz="0" w:space="0" w:color="auto"/>
            <w:bottom w:val="none" w:sz="0" w:space="0" w:color="auto"/>
            <w:right w:val="none" w:sz="0" w:space="0" w:color="auto"/>
          </w:divBdr>
        </w:div>
        <w:div w:id="1783260245">
          <w:marLeft w:val="480"/>
          <w:marRight w:val="0"/>
          <w:marTop w:val="0"/>
          <w:marBottom w:val="0"/>
          <w:divBdr>
            <w:top w:val="none" w:sz="0" w:space="0" w:color="auto"/>
            <w:left w:val="none" w:sz="0" w:space="0" w:color="auto"/>
            <w:bottom w:val="none" w:sz="0" w:space="0" w:color="auto"/>
            <w:right w:val="none" w:sz="0" w:space="0" w:color="auto"/>
          </w:divBdr>
        </w:div>
        <w:div w:id="1183670836">
          <w:marLeft w:val="480"/>
          <w:marRight w:val="0"/>
          <w:marTop w:val="0"/>
          <w:marBottom w:val="0"/>
          <w:divBdr>
            <w:top w:val="none" w:sz="0" w:space="0" w:color="auto"/>
            <w:left w:val="none" w:sz="0" w:space="0" w:color="auto"/>
            <w:bottom w:val="none" w:sz="0" w:space="0" w:color="auto"/>
            <w:right w:val="none" w:sz="0" w:space="0" w:color="auto"/>
          </w:divBdr>
        </w:div>
        <w:div w:id="442070661">
          <w:marLeft w:val="480"/>
          <w:marRight w:val="0"/>
          <w:marTop w:val="0"/>
          <w:marBottom w:val="0"/>
          <w:divBdr>
            <w:top w:val="none" w:sz="0" w:space="0" w:color="auto"/>
            <w:left w:val="none" w:sz="0" w:space="0" w:color="auto"/>
            <w:bottom w:val="none" w:sz="0" w:space="0" w:color="auto"/>
            <w:right w:val="none" w:sz="0" w:space="0" w:color="auto"/>
          </w:divBdr>
        </w:div>
      </w:divsChild>
    </w:div>
    <w:div w:id="1756782783">
      <w:marLeft w:val="480"/>
      <w:marRight w:val="0"/>
      <w:marTop w:val="0"/>
      <w:marBottom w:val="0"/>
      <w:divBdr>
        <w:top w:val="none" w:sz="0" w:space="0" w:color="auto"/>
        <w:left w:val="none" w:sz="0" w:space="0" w:color="auto"/>
        <w:bottom w:val="none" w:sz="0" w:space="0" w:color="auto"/>
        <w:right w:val="none" w:sz="0" w:space="0" w:color="auto"/>
      </w:divBdr>
    </w:div>
    <w:div w:id="1779786387">
      <w:marLeft w:val="480"/>
      <w:marRight w:val="0"/>
      <w:marTop w:val="0"/>
      <w:marBottom w:val="0"/>
      <w:divBdr>
        <w:top w:val="none" w:sz="0" w:space="0" w:color="auto"/>
        <w:left w:val="none" w:sz="0" w:space="0" w:color="auto"/>
        <w:bottom w:val="none" w:sz="0" w:space="0" w:color="auto"/>
        <w:right w:val="none" w:sz="0" w:space="0" w:color="auto"/>
      </w:divBdr>
    </w:div>
    <w:div w:id="1780685555">
      <w:bodyDiv w:val="1"/>
      <w:marLeft w:val="0"/>
      <w:marRight w:val="0"/>
      <w:marTop w:val="0"/>
      <w:marBottom w:val="0"/>
      <w:divBdr>
        <w:top w:val="none" w:sz="0" w:space="0" w:color="auto"/>
        <w:left w:val="none" w:sz="0" w:space="0" w:color="auto"/>
        <w:bottom w:val="none" w:sz="0" w:space="0" w:color="auto"/>
        <w:right w:val="none" w:sz="0" w:space="0" w:color="auto"/>
      </w:divBdr>
    </w:div>
    <w:div w:id="1797942279">
      <w:bodyDiv w:val="1"/>
      <w:marLeft w:val="0"/>
      <w:marRight w:val="0"/>
      <w:marTop w:val="0"/>
      <w:marBottom w:val="0"/>
      <w:divBdr>
        <w:top w:val="none" w:sz="0" w:space="0" w:color="auto"/>
        <w:left w:val="none" w:sz="0" w:space="0" w:color="auto"/>
        <w:bottom w:val="none" w:sz="0" w:space="0" w:color="auto"/>
        <w:right w:val="none" w:sz="0" w:space="0" w:color="auto"/>
      </w:divBdr>
      <w:divsChild>
        <w:div w:id="106824355">
          <w:marLeft w:val="480"/>
          <w:marRight w:val="0"/>
          <w:marTop w:val="0"/>
          <w:marBottom w:val="0"/>
          <w:divBdr>
            <w:top w:val="none" w:sz="0" w:space="0" w:color="auto"/>
            <w:left w:val="none" w:sz="0" w:space="0" w:color="auto"/>
            <w:bottom w:val="none" w:sz="0" w:space="0" w:color="auto"/>
            <w:right w:val="none" w:sz="0" w:space="0" w:color="auto"/>
          </w:divBdr>
        </w:div>
        <w:div w:id="228077560">
          <w:marLeft w:val="480"/>
          <w:marRight w:val="0"/>
          <w:marTop w:val="0"/>
          <w:marBottom w:val="0"/>
          <w:divBdr>
            <w:top w:val="none" w:sz="0" w:space="0" w:color="auto"/>
            <w:left w:val="none" w:sz="0" w:space="0" w:color="auto"/>
            <w:bottom w:val="none" w:sz="0" w:space="0" w:color="auto"/>
            <w:right w:val="none" w:sz="0" w:space="0" w:color="auto"/>
          </w:divBdr>
        </w:div>
        <w:div w:id="228662785">
          <w:marLeft w:val="480"/>
          <w:marRight w:val="0"/>
          <w:marTop w:val="0"/>
          <w:marBottom w:val="0"/>
          <w:divBdr>
            <w:top w:val="none" w:sz="0" w:space="0" w:color="auto"/>
            <w:left w:val="none" w:sz="0" w:space="0" w:color="auto"/>
            <w:bottom w:val="none" w:sz="0" w:space="0" w:color="auto"/>
            <w:right w:val="none" w:sz="0" w:space="0" w:color="auto"/>
          </w:divBdr>
        </w:div>
        <w:div w:id="249582064">
          <w:marLeft w:val="480"/>
          <w:marRight w:val="0"/>
          <w:marTop w:val="0"/>
          <w:marBottom w:val="0"/>
          <w:divBdr>
            <w:top w:val="none" w:sz="0" w:space="0" w:color="auto"/>
            <w:left w:val="none" w:sz="0" w:space="0" w:color="auto"/>
            <w:bottom w:val="none" w:sz="0" w:space="0" w:color="auto"/>
            <w:right w:val="none" w:sz="0" w:space="0" w:color="auto"/>
          </w:divBdr>
        </w:div>
        <w:div w:id="409888167">
          <w:marLeft w:val="480"/>
          <w:marRight w:val="0"/>
          <w:marTop w:val="0"/>
          <w:marBottom w:val="0"/>
          <w:divBdr>
            <w:top w:val="none" w:sz="0" w:space="0" w:color="auto"/>
            <w:left w:val="none" w:sz="0" w:space="0" w:color="auto"/>
            <w:bottom w:val="none" w:sz="0" w:space="0" w:color="auto"/>
            <w:right w:val="none" w:sz="0" w:space="0" w:color="auto"/>
          </w:divBdr>
        </w:div>
        <w:div w:id="428889584">
          <w:marLeft w:val="480"/>
          <w:marRight w:val="0"/>
          <w:marTop w:val="0"/>
          <w:marBottom w:val="0"/>
          <w:divBdr>
            <w:top w:val="none" w:sz="0" w:space="0" w:color="auto"/>
            <w:left w:val="none" w:sz="0" w:space="0" w:color="auto"/>
            <w:bottom w:val="none" w:sz="0" w:space="0" w:color="auto"/>
            <w:right w:val="none" w:sz="0" w:space="0" w:color="auto"/>
          </w:divBdr>
        </w:div>
        <w:div w:id="489445642">
          <w:marLeft w:val="480"/>
          <w:marRight w:val="0"/>
          <w:marTop w:val="0"/>
          <w:marBottom w:val="0"/>
          <w:divBdr>
            <w:top w:val="none" w:sz="0" w:space="0" w:color="auto"/>
            <w:left w:val="none" w:sz="0" w:space="0" w:color="auto"/>
            <w:bottom w:val="none" w:sz="0" w:space="0" w:color="auto"/>
            <w:right w:val="none" w:sz="0" w:space="0" w:color="auto"/>
          </w:divBdr>
        </w:div>
        <w:div w:id="523248565">
          <w:marLeft w:val="480"/>
          <w:marRight w:val="0"/>
          <w:marTop w:val="0"/>
          <w:marBottom w:val="0"/>
          <w:divBdr>
            <w:top w:val="none" w:sz="0" w:space="0" w:color="auto"/>
            <w:left w:val="none" w:sz="0" w:space="0" w:color="auto"/>
            <w:bottom w:val="none" w:sz="0" w:space="0" w:color="auto"/>
            <w:right w:val="none" w:sz="0" w:space="0" w:color="auto"/>
          </w:divBdr>
        </w:div>
        <w:div w:id="674385112">
          <w:marLeft w:val="480"/>
          <w:marRight w:val="0"/>
          <w:marTop w:val="0"/>
          <w:marBottom w:val="0"/>
          <w:divBdr>
            <w:top w:val="none" w:sz="0" w:space="0" w:color="auto"/>
            <w:left w:val="none" w:sz="0" w:space="0" w:color="auto"/>
            <w:bottom w:val="none" w:sz="0" w:space="0" w:color="auto"/>
            <w:right w:val="none" w:sz="0" w:space="0" w:color="auto"/>
          </w:divBdr>
        </w:div>
        <w:div w:id="747266409">
          <w:marLeft w:val="480"/>
          <w:marRight w:val="0"/>
          <w:marTop w:val="0"/>
          <w:marBottom w:val="0"/>
          <w:divBdr>
            <w:top w:val="none" w:sz="0" w:space="0" w:color="auto"/>
            <w:left w:val="none" w:sz="0" w:space="0" w:color="auto"/>
            <w:bottom w:val="none" w:sz="0" w:space="0" w:color="auto"/>
            <w:right w:val="none" w:sz="0" w:space="0" w:color="auto"/>
          </w:divBdr>
        </w:div>
        <w:div w:id="1123621996">
          <w:marLeft w:val="480"/>
          <w:marRight w:val="0"/>
          <w:marTop w:val="0"/>
          <w:marBottom w:val="0"/>
          <w:divBdr>
            <w:top w:val="none" w:sz="0" w:space="0" w:color="auto"/>
            <w:left w:val="none" w:sz="0" w:space="0" w:color="auto"/>
            <w:bottom w:val="none" w:sz="0" w:space="0" w:color="auto"/>
            <w:right w:val="none" w:sz="0" w:space="0" w:color="auto"/>
          </w:divBdr>
        </w:div>
        <w:div w:id="1127625733">
          <w:marLeft w:val="480"/>
          <w:marRight w:val="0"/>
          <w:marTop w:val="0"/>
          <w:marBottom w:val="0"/>
          <w:divBdr>
            <w:top w:val="none" w:sz="0" w:space="0" w:color="auto"/>
            <w:left w:val="none" w:sz="0" w:space="0" w:color="auto"/>
            <w:bottom w:val="none" w:sz="0" w:space="0" w:color="auto"/>
            <w:right w:val="none" w:sz="0" w:space="0" w:color="auto"/>
          </w:divBdr>
        </w:div>
        <w:div w:id="1270508344">
          <w:marLeft w:val="480"/>
          <w:marRight w:val="0"/>
          <w:marTop w:val="0"/>
          <w:marBottom w:val="0"/>
          <w:divBdr>
            <w:top w:val="none" w:sz="0" w:space="0" w:color="auto"/>
            <w:left w:val="none" w:sz="0" w:space="0" w:color="auto"/>
            <w:bottom w:val="none" w:sz="0" w:space="0" w:color="auto"/>
            <w:right w:val="none" w:sz="0" w:space="0" w:color="auto"/>
          </w:divBdr>
        </w:div>
        <w:div w:id="1333219704">
          <w:marLeft w:val="480"/>
          <w:marRight w:val="0"/>
          <w:marTop w:val="0"/>
          <w:marBottom w:val="0"/>
          <w:divBdr>
            <w:top w:val="none" w:sz="0" w:space="0" w:color="auto"/>
            <w:left w:val="none" w:sz="0" w:space="0" w:color="auto"/>
            <w:bottom w:val="none" w:sz="0" w:space="0" w:color="auto"/>
            <w:right w:val="none" w:sz="0" w:space="0" w:color="auto"/>
          </w:divBdr>
        </w:div>
        <w:div w:id="1453862657">
          <w:marLeft w:val="480"/>
          <w:marRight w:val="0"/>
          <w:marTop w:val="0"/>
          <w:marBottom w:val="0"/>
          <w:divBdr>
            <w:top w:val="none" w:sz="0" w:space="0" w:color="auto"/>
            <w:left w:val="none" w:sz="0" w:space="0" w:color="auto"/>
            <w:bottom w:val="none" w:sz="0" w:space="0" w:color="auto"/>
            <w:right w:val="none" w:sz="0" w:space="0" w:color="auto"/>
          </w:divBdr>
        </w:div>
        <w:div w:id="1476336064">
          <w:marLeft w:val="480"/>
          <w:marRight w:val="0"/>
          <w:marTop w:val="0"/>
          <w:marBottom w:val="0"/>
          <w:divBdr>
            <w:top w:val="none" w:sz="0" w:space="0" w:color="auto"/>
            <w:left w:val="none" w:sz="0" w:space="0" w:color="auto"/>
            <w:bottom w:val="none" w:sz="0" w:space="0" w:color="auto"/>
            <w:right w:val="none" w:sz="0" w:space="0" w:color="auto"/>
          </w:divBdr>
        </w:div>
        <w:div w:id="1622541438">
          <w:marLeft w:val="480"/>
          <w:marRight w:val="0"/>
          <w:marTop w:val="0"/>
          <w:marBottom w:val="0"/>
          <w:divBdr>
            <w:top w:val="none" w:sz="0" w:space="0" w:color="auto"/>
            <w:left w:val="none" w:sz="0" w:space="0" w:color="auto"/>
            <w:bottom w:val="none" w:sz="0" w:space="0" w:color="auto"/>
            <w:right w:val="none" w:sz="0" w:space="0" w:color="auto"/>
          </w:divBdr>
        </w:div>
        <w:div w:id="1744257332">
          <w:marLeft w:val="480"/>
          <w:marRight w:val="0"/>
          <w:marTop w:val="0"/>
          <w:marBottom w:val="0"/>
          <w:divBdr>
            <w:top w:val="none" w:sz="0" w:space="0" w:color="auto"/>
            <w:left w:val="none" w:sz="0" w:space="0" w:color="auto"/>
            <w:bottom w:val="none" w:sz="0" w:space="0" w:color="auto"/>
            <w:right w:val="none" w:sz="0" w:space="0" w:color="auto"/>
          </w:divBdr>
        </w:div>
        <w:div w:id="1757286091">
          <w:marLeft w:val="480"/>
          <w:marRight w:val="0"/>
          <w:marTop w:val="0"/>
          <w:marBottom w:val="0"/>
          <w:divBdr>
            <w:top w:val="none" w:sz="0" w:space="0" w:color="auto"/>
            <w:left w:val="none" w:sz="0" w:space="0" w:color="auto"/>
            <w:bottom w:val="none" w:sz="0" w:space="0" w:color="auto"/>
            <w:right w:val="none" w:sz="0" w:space="0" w:color="auto"/>
          </w:divBdr>
        </w:div>
        <w:div w:id="1767143913">
          <w:marLeft w:val="480"/>
          <w:marRight w:val="0"/>
          <w:marTop w:val="0"/>
          <w:marBottom w:val="0"/>
          <w:divBdr>
            <w:top w:val="none" w:sz="0" w:space="0" w:color="auto"/>
            <w:left w:val="none" w:sz="0" w:space="0" w:color="auto"/>
            <w:bottom w:val="none" w:sz="0" w:space="0" w:color="auto"/>
            <w:right w:val="none" w:sz="0" w:space="0" w:color="auto"/>
          </w:divBdr>
        </w:div>
        <w:div w:id="1781561665">
          <w:marLeft w:val="480"/>
          <w:marRight w:val="0"/>
          <w:marTop w:val="0"/>
          <w:marBottom w:val="0"/>
          <w:divBdr>
            <w:top w:val="none" w:sz="0" w:space="0" w:color="auto"/>
            <w:left w:val="none" w:sz="0" w:space="0" w:color="auto"/>
            <w:bottom w:val="none" w:sz="0" w:space="0" w:color="auto"/>
            <w:right w:val="none" w:sz="0" w:space="0" w:color="auto"/>
          </w:divBdr>
        </w:div>
        <w:div w:id="1860926067">
          <w:marLeft w:val="480"/>
          <w:marRight w:val="0"/>
          <w:marTop w:val="0"/>
          <w:marBottom w:val="0"/>
          <w:divBdr>
            <w:top w:val="none" w:sz="0" w:space="0" w:color="auto"/>
            <w:left w:val="none" w:sz="0" w:space="0" w:color="auto"/>
            <w:bottom w:val="none" w:sz="0" w:space="0" w:color="auto"/>
            <w:right w:val="none" w:sz="0" w:space="0" w:color="auto"/>
          </w:divBdr>
        </w:div>
        <w:div w:id="1924601691">
          <w:marLeft w:val="480"/>
          <w:marRight w:val="0"/>
          <w:marTop w:val="0"/>
          <w:marBottom w:val="0"/>
          <w:divBdr>
            <w:top w:val="none" w:sz="0" w:space="0" w:color="auto"/>
            <w:left w:val="none" w:sz="0" w:space="0" w:color="auto"/>
            <w:bottom w:val="none" w:sz="0" w:space="0" w:color="auto"/>
            <w:right w:val="none" w:sz="0" w:space="0" w:color="auto"/>
          </w:divBdr>
        </w:div>
      </w:divsChild>
    </w:div>
    <w:div w:id="1808234847">
      <w:bodyDiv w:val="1"/>
      <w:marLeft w:val="0"/>
      <w:marRight w:val="0"/>
      <w:marTop w:val="0"/>
      <w:marBottom w:val="0"/>
      <w:divBdr>
        <w:top w:val="none" w:sz="0" w:space="0" w:color="auto"/>
        <w:left w:val="none" w:sz="0" w:space="0" w:color="auto"/>
        <w:bottom w:val="none" w:sz="0" w:space="0" w:color="auto"/>
        <w:right w:val="none" w:sz="0" w:space="0" w:color="auto"/>
      </w:divBdr>
    </w:div>
    <w:div w:id="1833525974">
      <w:bodyDiv w:val="1"/>
      <w:marLeft w:val="0"/>
      <w:marRight w:val="0"/>
      <w:marTop w:val="0"/>
      <w:marBottom w:val="0"/>
      <w:divBdr>
        <w:top w:val="none" w:sz="0" w:space="0" w:color="auto"/>
        <w:left w:val="none" w:sz="0" w:space="0" w:color="auto"/>
        <w:bottom w:val="none" w:sz="0" w:space="0" w:color="auto"/>
        <w:right w:val="none" w:sz="0" w:space="0" w:color="auto"/>
      </w:divBdr>
      <w:divsChild>
        <w:div w:id="552386">
          <w:marLeft w:val="480"/>
          <w:marRight w:val="0"/>
          <w:marTop w:val="0"/>
          <w:marBottom w:val="0"/>
          <w:divBdr>
            <w:top w:val="none" w:sz="0" w:space="0" w:color="auto"/>
            <w:left w:val="none" w:sz="0" w:space="0" w:color="auto"/>
            <w:bottom w:val="none" w:sz="0" w:space="0" w:color="auto"/>
            <w:right w:val="none" w:sz="0" w:space="0" w:color="auto"/>
          </w:divBdr>
        </w:div>
        <w:div w:id="73360470">
          <w:marLeft w:val="480"/>
          <w:marRight w:val="0"/>
          <w:marTop w:val="0"/>
          <w:marBottom w:val="0"/>
          <w:divBdr>
            <w:top w:val="none" w:sz="0" w:space="0" w:color="auto"/>
            <w:left w:val="none" w:sz="0" w:space="0" w:color="auto"/>
            <w:bottom w:val="none" w:sz="0" w:space="0" w:color="auto"/>
            <w:right w:val="none" w:sz="0" w:space="0" w:color="auto"/>
          </w:divBdr>
        </w:div>
        <w:div w:id="138812467">
          <w:marLeft w:val="480"/>
          <w:marRight w:val="0"/>
          <w:marTop w:val="0"/>
          <w:marBottom w:val="0"/>
          <w:divBdr>
            <w:top w:val="none" w:sz="0" w:space="0" w:color="auto"/>
            <w:left w:val="none" w:sz="0" w:space="0" w:color="auto"/>
            <w:bottom w:val="none" w:sz="0" w:space="0" w:color="auto"/>
            <w:right w:val="none" w:sz="0" w:space="0" w:color="auto"/>
          </w:divBdr>
        </w:div>
        <w:div w:id="297689548">
          <w:marLeft w:val="480"/>
          <w:marRight w:val="0"/>
          <w:marTop w:val="0"/>
          <w:marBottom w:val="0"/>
          <w:divBdr>
            <w:top w:val="none" w:sz="0" w:space="0" w:color="auto"/>
            <w:left w:val="none" w:sz="0" w:space="0" w:color="auto"/>
            <w:bottom w:val="none" w:sz="0" w:space="0" w:color="auto"/>
            <w:right w:val="none" w:sz="0" w:space="0" w:color="auto"/>
          </w:divBdr>
        </w:div>
        <w:div w:id="336928560">
          <w:marLeft w:val="480"/>
          <w:marRight w:val="0"/>
          <w:marTop w:val="0"/>
          <w:marBottom w:val="0"/>
          <w:divBdr>
            <w:top w:val="none" w:sz="0" w:space="0" w:color="auto"/>
            <w:left w:val="none" w:sz="0" w:space="0" w:color="auto"/>
            <w:bottom w:val="none" w:sz="0" w:space="0" w:color="auto"/>
            <w:right w:val="none" w:sz="0" w:space="0" w:color="auto"/>
          </w:divBdr>
        </w:div>
        <w:div w:id="431707773">
          <w:marLeft w:val="480"/>
          <w:marRight w:val="0"/>
          <w:marTop w:val="0"/>
          <w:marBottom w:val="0"/>
          <w:divBdr>
            <w:top w:val="none" w:sz="0" w:space="0" w:color="auto"/>
            <w:left w:val="none" w:sz="0" w:space="0" w:color="auto"/>
            <w:bottom w:val="none" w:sz="0" w:space="0" w:color="auto"/>
            <w:right w:val="none" w:sz="0" w:space="0" w:color="auto"/>
          </w:divBdr>
        </w:div>
        <w:div w:id="459959945">
          <w:marLeft w:val="480"/>
          <w:marRight w:val="0"/>
          <w:marTop w:val="0"/>
          <w:marBottom w:val="0"/>
          <w:divBdr>
            <w:top w:val="none" w:sz="0" w:space="0" w:color="auto"/>
            <w:left w:val="none" w:sz="0" w:space="0" w:color="auto"/>
            <w:bottom w:val="none" w:sz="0" w:space="0" w:color="auto"/>
            <w:right w:val="none" w:sz="0" w:space="0" w:color="auto"/>
          </w:divBdr>
        </w:div>
        <w:div w:id="494345800">
          <w:marLeft w:val="480"/>
          <w:marRight w:val="0"/>
          <w:marTop w:val="0"/>
          <w:marBottom w:val="0"/>
          <w:divBdr>
            <w:top w:val="none" w:sz="0" w:space="0" w:color="auto"/>
            <w:left w:val="none" w:sz="0" w:space="0" w:color="auto"/>
            <w:bottom w:val="none" w:sz="0" w:space="0" w:color="auto"/>
            <w:right w:val="none" w:sz="0" w:space="0" w:color="auto"/>
          </w:divBdr>
        </w:div>
        <w:div w:id="514077769">
          <w:marLeft w:val="480"/>
          <w:marRight w:val="0"/>
          <w:marTop w:val="0"/>
          <w:marBottom w:val="0"/>
          <w:divBdr>
            <w:top w:val="none" w:sz="0" w:space="0" w:color="auto"/>
            <w:left w:val="none" w:sz="0" w:space="0" w:color="auto"/>
            <w:bottom w:val="none" w:sz="0" w:space="0" w:color="auto"/>
            <w:right w:val="none" w:sz="0" w:space="0" w:color="auto"/>
          </w:divBdr>
        </w:div>
        <w:div w:id="549655330">
          <w:marLeft w:val="480"/>
          <w:marRight w:val="0"/>
          <w:marTop w:val="0"/>
          <w:marBottom w:val="0"/>
          <w:divBdr>
            <w:top w:val="none" w:sz="0" w:space="0" w:color="auto"/>
            <w:left w:val="none" w:sz="0" w:space="0" w:color="auto"/>
            <w:bottom w:val="none" w:sz="0" w:space="0" w:color="auto"/>
            <w:right w:val="none" w:sz="0" w:space="0" w:color="auto"/>
          </w:divBdr>
        </w:div>
        <w:div w:id="583103170">
          <w:marLeft w:val="480"/>
          <w:marRight w:val="0"/>
          <w:marTop w:val="0"/>
          <w:marBottom w:val="0"/>
          <w:divBdr>
            <w:top w:val="none" w:sz="0" w:space="0" w:color="auto"/>
            <w:left w:val="none" w:sz="0" w:space="0" w:color="auto"/>
            <w:bottom w:val="none" w:sz="0" w:space="0" w:color="auto"/>
            <w:right w:val="none" w:sz="0" w:space="0" w:color="auto"/>
          </w:divBdr>
        </w:div>
        <w:div w:id="663356534">
          <w:marLeft w:val="480"/>
          <w:marRight w:val="0"/>
          <w:marTop w:val="0"/>
          <w:marBottom w:val="0"/>
          <w:divBdr>
            <w:top w:val="none" w:sz="0" w:space="0" w:color="auto"/>
            <w:left w:val="none" w:sz="0" w:space="0" w:color="auto"/>
            <w:bottom w:val="none" w:sz="0" w:space="0" w:color="auto"/>
            <w:right w:val="none" w:sz="0" w:space="0" w:color="auto"/>
          </w:divBdr>
        </w:div>
        <w:div w:id="871069557">
          <w:marLeft w:val="480"/>
          <w:marRight w:val="0"/>
          <w:marTop w:val="0"/>
          <w:marBottom w:val="0"/>
          <w:divBdr>
            <w:top w:val="none" w:sz="0" w:space="0" w:color="auto"/>
            <w:left w:val="none" w:sz="0" w:space="0" w:color="auto"/>
            <w:bottom w:val="none" w:sz="0" w:space="0" w:color="auto"/>
            <w:right w:val="none" w:sz="0" w:space="0" w:color="auto"/>
          </w:divBdr>
        </w:div>
        <w:div w:id="1005787617">
          <w:marLeft w:val="480"/>
          <w:marRight w:val="0"/>
          <w:marTop w:val="0"/>
          <w:marBottom w:val="0"/>
          <w:divBdr>
            <w:top w:val="none" w:sz="0" w:space="0" w:color="auto"/>
            <w:left w:val="none" w:sz="0" w:space="0" w:color="auto"/>
            <w:bottom w:val="none" w:sz="0" w:space="0" w:color="auto"/>
            <w:right w:val="none" w:sz="0" w:space="0" w:color="auto"/>
          </w:divBdr>
        </w:div>
        <w:div w:id="1012952366">
          <w:marLeft w:val="480"/>
          <w:marRight w:val="0"/>
          <w:marTop w:val="0"/>
          <w:marBottom w:val="0"/>
          <w:divBdr>
            <w:top w:val="none" w:sz="0" w:space="0" w:color="auto"/>
            <w:left w:val="none" w:sz="0" w:space="0" w:color="auto"/>
            <w:bottom w:val="none" w:sz="0" w:space="0" w:color="auto"/>
            <w:right w:val="none" w:sz="0" w:space="0" w:color="auto"/>
          </w:divBdr>
        </w:div>
        <w:div w:id="1309089062">
          <w:marLeft w:val="480"/>
          <w:marRight w:val="0"/>
          <w:marTop w:val="0"/>
          <w:marBottom w:val="0"/>
          <w:divBdr>
            <w:top w:val="none" w:sz="0" w:space="0" w:color="auto"/>
            <w:left w:val="none" w:sz="0" w:space="0" w:color="auto"/>
            <w:bottom w:val="none" w:sz="0" w:space="0" w:color="auto"/>
            <w:right w:val="none" w:sz="0" w:space="0" w:color="auto"/>
          </w:divBdr>
        </w:div>
        <w:div w:id="1313564082">
          <w:marLeft w:val="480"/>
          <w:marRight w:val="0"/>
          <w:marTop w:val="0"/>
          <w:marBottom w:val="0"/>
          <w:divBdr>
            <w:top w:val="none" w:sz="0" w:space="0" w:color="auto"/>
            <w:left w:val="none" w:sz="0" w:space="0" w:color="auto"/>
            <w:bottom w:val="none" w:sz="0" w:space="0" w:color="auto"/>
            <w:right w:val="none" w:sz="0" w:space="0" w:color="auto"/>
          </w:divBdr>
        </w:div>
        <w:div w:id="1425490839">
          <w:marLeft w:val="480"/>
          <w:marRight w:val="0"/>
          <w:marTop w:val="0"/>
          <w:marBottom w:val="0"/>
          <w:divBdr>
            <w:top w:val="none" w:sz="0" w:space="0" w:color="auto"/>
            <w:left w:val="none" w:sz="0" w:space="0" w:color="auto"/>
            <w:bottom w:val="none" w:sz="0" w:space="0" w:color="auto"/>
            <w:right w:val="none" w:sz="0" w:space="0" w:color="auto"/>
          </w:divBdr>
        </w:div>
        <w:div w:id="1520121470">
          <w:marLeft w:val="480"/>
          <w:marRight w:val="0"/>
          <w:marTop w:val="0"/>
          <w:marBottom w:val="0"/>
          <w:divBdr>
            <w:top w:val="none" w:sz="0" w:space="0" w:color="auto"/>
            <w:left w:val="none" w:sz="0" w:space="0" w:color="auto"/>
            <w:bottom w:val="none" w:sz="0" w:space="0" w:color="auto"/>
            <w:right w:val="none" w:sz="0" w:space="0" w:color="auto"/>
          </w:divBdr>
        </w:div>
        <w:div w:id="1596326224">
          <w:marLeft w:val="480"/>
          <w:marRight w:val="0"/>
          <w:marTop w:val="0"/>
          <w:marBottom w:val="0"/>
          <w:divBdr>
            <w:top w:val="none" w:sz="0" w:space="0" w:color="auto"/>
            <w:left w:val="none" w:sz="0" w:space="0" w:color="auto"/>
            <w:bottom w:val="none" w:sz="0" w:space="0" w:color="auto"/>
            <w:right w:val="none" w:sz="0" w:space="0" w:color="auto"/>
          </w:divBdr>
        </w:div>
        <w:div w:id="1599631492">
          <w:marLeft w:val="480"/>
          <w:marRight w:val="0"/>
          <w:marTop w:val="0"/>
          <w:marBottom w:val="0"/>
          <w:divBdr>
            <w:top w:val="none" w:sz="0" w:space="0" w:color="auto"/>
            <w:left w:val="none" w:sz="0" w:space="0" w:color="auto"/>
            <w:bottom w:val="none" w:sz="0" w:space="0" w:color="auto"/>
            <w:right w:val="none" w:sz="0" w:space="0" w:color="auto"/>
          </w:divBdr>
        </w:div>
        <w:div w:id="1704480545">
          <w:marLeft w:val="480"/>
          <w:marRight w:val="0"/>
          <w:marTop w:val="0"/>
          <w:marBottom w:val="0"/>
          <w:divBdr>
            <w:top w:val="none" w:sz="0" w:space="0" w:color="auto"/>
            <w:left w:val="none" w:sz="0" w:space="0" w:color="auto"/>
            <w:bottom w:val="none" w:sz="0" w:space="0" w:color="auto"/>
            <w:right w:val="none" w:sz="0" w:space="0" w:color="auto"/>
          </w:divBdr>
        </w:div>
        <w:div w:id="1709136829">
          <w:marLeft w:val="480"/>
          <w:marRight w:val="0"/>
          <w:marTop w:val="0"/>
          <w:marBottom w:val="0"/>
          <w:divBdr>
            <w:top w:val="none" w:sz="0" w:space="0" w:color="auto"/>
            <w:left w:val="none" w:sz="0" w:space="0" w:color="auto"/>
            <w:bottom w:val="none" w:sz="0" w:space="0" w:color="auto"/>
            <w:right w:val="none" w:sz="0" w:space="0" w:color="auto"/>
          </w:divBdr>
        </w:div>
        <w:div w:id="1742217891">
          <w:marLeft w:val="480"/>
          <w:marRight w:val="0"/>
          <w:marTop w:val="0"/>
          <w:marBottom w:val="0"/>
          <w:divBdr>
            <w:top w:val="none" w:sz="0" w:space="0" w:color="auto"/>
            <w:left w:val="none" w:sz="0" w:space="0" w:color="auto"/>
            <w:bottom w:val="none" w:sz="0" w:space="0" w:color="auto"/>
            <w:right w:val="none" w:sz="0" w:space="0" w:color="auto"/>
          </w:divBdr>
        </w:div>
      </w:divsChild>
    </w:div>
    <w:div w:id="1846894052">
      <w:bodyDiv w:val="1"/>
      <w:marLeft w:val="0"/>
      <w:marRight w:val="0"/>
      <w:marTop w:val="0"/>
      <w:marBottom w:val="0"/>
      <w:divBdr>
        <w:top w:val="none" w:sz="0" w:space="0" w:color="auto"/>
        <w:left w:val="none" w:sz="0" w:space="0" w:color="auto"/>
        <w:bottom w:val="none" w:sz="0" w:space="0" w:color="auto"/>
        <w:right w:val="none" w:sz="0" w:space="0" w:color="auto"/>
      </w:divBdr>
    </w:div>
    <w:div w:id="1854369915">
      <w:bodyDiv w:val="1"/>
      <w:marLeft w:val="0"/>
      <w:marRight w:val="0"/>
      <w:marTop w:val="0"/>
      <w:marBottom w:val="0"/>
      <w:divBdr>
        <w:top w:val="none" w:sz="0" w:space="0" w:color="auto"/>
        <w:left w:val="none" w:sz="0" w:space="0" w:color="auto"/>
        <w:bottom w:val="none" w:sz="0" w:space="0" w:color="auto"/>
        <w:right w:val="none" w:sz="0" w:space="0" w:color="auto"/>
      </w:divBdr>
    </w:div>
    <w:div w:id="1868713759">
      <w:marLeft w:val="480"/>
      <w:marRight w:val="0"/>
      <w:marTop w:val="0"/>
      <w:marBottom w:val="0"/>
      <w:divBdr>
        <w:top w:val="none" w:sz="0" w:space="0" w:color="auto"/>
        <w:left w:val="none" w:sz="0" w:space="0" w:color="auto"/>
        <w:bottom w:val="none" w:sz="0" w:space="0" w:color="auto"/>
        <w:right w:val="none" w:sz="0" w:space="0" w:color="auto"/>
      </w:divBdr>
    </w:div>
    <w:div w:id="1876041070">
      <w:bodyDiv w:val="1"/>
      <w:marLeft w:val="0"/>
      <w:marRight w:val="0"/>
      <w:marTop w:val="0"/>
      <w:marBottom w:val="0"/>
      <w:divBdr>
        <w:top w:val="none" w:sz="0" w:space="0" w:color="auto"/>
        <w:left w:val="none" w:sz="0" w:space="0" w:color="auto"/>
        <w:bottom w:val="none" w:sz="0" w:space="0" w:color="auto"/>
        <w:right w:val="none" w:sz="0" w:space="0" w:color="auto"/>
      </w:divBdr>
    </w:div>
    <w:div w:id="1890723154">
      <w:marLeft w:val="480"/>
      <w:marRight w:val="0"/>
      <w:marTop w:val="0"/>
      <w:marBottom w:val="0"/>
      <w:divBdr>
        <w:top w:val="none" w:sz="0" w:space="0" w:color="auto"/>
        <w:left w:val="none" w:sz="0" w:space="0" w:color="auto"/>
        <w:bottom w:val="none" w:sz="0" w:space="0" w:color="auto"/>
        <w:right w:val="none" w:sz="0" w:space="0" w:color="auto"/>
      </w:divBdr>
    </w:div>
    <w:div w:id="1902673052">
      <w:bodyDiv w:val="1"/>
      <w:marLeft w:val="0"/>
      <w:marRight w:val="0"/>
      <w:marTop w:val="0"/>
      <w:marBottom w:val="0"/>
      <w:divBdr>
        <w:top w:val="none" w:sz="0" w:space="0" w:color="auto"/>
        <w:left w:val="none" w:sz="0" w:space="0" w:color="auto"/>
        <w:bottom w:val="none" w:sz="0" w:space="0" w:color="auto"/>
        <w:right w:val="none" w:sz="0" w:space="0" w:color="auto"/>
      </w:divBdr>
    </w:div>
    <w:div w:id="1913076478">
      <w:marLeft w:val="480"/>
      <w:marRight w:val="0"/>
      <w:marTop w:val="0"/>
      <w:marBottom w:val="0"/>
      <w:divBdr>
        <w:top w:val="none" w:sz="0" w:space="0" w:color="auto"/>
        <w:left w:val="none" w:sz="0" w:space="0" w:color="auto"/>
        <w:bottom w:val="none" w:sz="0" w:space="0" w:color="auto"/>
        <w:right w:val="none" w:sz="0" w:space="0" w:color="auto"/>
      </w:divBdr>
    </w:div>
    <w:div w:id="1915124475">
      <w:bodyDiv w:val="1"/>
      <w:marLeft w:val="0"/>
      <w:marRight w:val="0"/>
      <w:marTop w:val="0"/>
      <w:marBottom w:val="0"/>
      <w:divBdr>
        <w:top w:val="none" w:sz="0" w:space="0" w:color="auto"/>
        <w:left w:val="none" w:sz="0" w:space="0" w:color="auto"/>
        <w:bottom w:val="none" w:sz="0" w:space="0" w:color="auto"/>
        <w:right w:val="none" w:sz="0" w:space="0" w:color="auto"/>
      </w:divBdr>
      <w:divsChild>
        <w:div w:id="167645942">
          <w:marLeft w:val="480"/>
          <w:marRight w:val="0"/>
          <w:marTop w:val="0"/>
          <w:marBottom w:val="0"/>
          <w:divBdr>
            <w:top w:val="none" w:sz="0" w:space="0" w:color="auto"/>
            <w:left w:val="none" w:sz="0" w:space="0" w:color="auto"/>
            <w:bottom w:val="none" w:sz="0" w:space="0" w:color="auto"/>
            <w:right w:val="none" w:sz="0" w:space="0" w:color="auto"/>
          </w:divBdr>
        </w:div>
        <w:div w:id="192963328">
          <w:marLeft w:val="480"/>
          <w:marRight w:val="0"/>
          <w:marTop w:val="0"/>
          <w:marBottom w:val="0"/>
          <w:divBdr>
            <w:top w:val="none" w:sz="0" w:space="0" w:color="auto"/>
            <w:left w:val="none" w:sz="0" w:space="0" w:color="auto"/>
            <w:bottom w:val="none" w:sz="0" w:space="0" w:color="auto"/>
            <w:right w:val="none" w:sz="0" w:space="0" w:color="auto"/>
          </w:divBdr>
        </w:div>
        <w:div w:id="193620387">
          <w:marLeft w:val="480"/>
          <w:marRight w:val="0"/>
          <w:marTop w:val="0"/>
          <w:marBottom w:val="0"/>
          <w:divBdr>
            <w:top w:val="none" w:sz="0" w:space="0" w:color="auto"/>
            <w:left w:val="none" w:sz="0" w:space="0" w:color="auto"/>
            <w:bottom w:val="none" w:sz="0" w:space="0" w:color="auto"/>
            <w:right w:val="none" w:sz="0" w:space="0" w:color="auto"/>
          </w:divBdr>
        </w:div>
        <w:div w:id="243608676">
          <w:marLeft w:val="480"/>
          <w:marRight w:val="0"/>
          <w:marTop w:val="0"/>
          <w:marBottom w:val="0"/>
          <w:divBdr>
            <w:top w:val="none" w:sz="0" w:space="0" w:color="auto"/>
            <w:left w:val="none" w:sz="0" w:space="0" w:color="auto"/>
            <w:bottom w:val="none" w:sz="0" w:space="0" w:color="auto"/>
            <w:right w:val="none" w:sz="0" w:space="0" w:color="auto"/>
          </w:divBdr>
        </w:div>
        <w:div w:id="264504648">
          <w:marLeft w:val="480"/>
          <w:marRight w:val="0"/>
          <w:marTop w:val="0"/>
          <w:marBottom w:val="0"/>
          <w:divBdr>
            <w:top w:val="none" w:sz="0" w:space="0" w:color="auto"/>
            <w:left w:val="none" w:sz="0" w:space="0" w:color="auto"/>
            <w:bottom w:val="none" w:sz="0" w:space="0" w:color="auto"/>
            <w:right w:val="none" w:sz="0" w:space="0" w:color="auto"/>
          </w:divBdr>
        </w:div>
        <w:div w:id="522521313">
          <w:marLeft w:val="480"/>
          <w:marRight w:val="0"/>
          <w:marTop w:val="0"/>
          <w:marBottom w:val="0"/>
          <w:divBdr>
            <w:top w:val="none" w:sz="0" w:space="0" w:color="auto"/>
            <w:left w:val="none" w:sz="0" w:space="0" w:color="auto"/>
            <w:bottom w:val="none" w:sz="0" w:space="0" w:color="auto"/>
            <w:right w:val="none" w:sz="0" w:space="0" w:color="auto"/>
          </w:divBdr>
        </w:div>
        <w:div w:id="651369927">
          <w:marLeft w:val="480"/>
          <w:marRight w:val="0"/>
          <w:marTop w:val="0"/>
          <w:marBottom w:val="0"/>
          <w:divBdr>
            <w:top w:val="none" w:sz="0" w:space="0" w:color="auto"/>
            <w:left w:val="none" w:sz="0" w:space="0" w:color="auto"/>
            <w:bottom w:val="none" w:sz="0" w:space="0" w:color="auto"/>
            <w:right w:val="none" w:sz="0" w:space="0" w:color="auto"/>
          </w:divBdr>
        </w:div>
        <w:div w:id="902377764">
          <w:marLeft w:val="480"/>
          <w:marRight w:val="0"/>
          <w:marTop w:val="0"/>
          <w:marBottom w:val="0"/>
          <w:divBdr>
            <w:top w:val="none" w:sz="0" w:space="0" w:color="auto"/>
            <w:left w:val="none" w:sz="0" w:space="0" w:color="auto"/>
            <w:bottom w:val="none" w:sz="0" w:space="0" w:color="auto"/>
            <w:right w:val="none" w:sz="0" w:space="0" w:color="auto"/>
          </w:divBdr>
        </w:div>
        <w:div w:id="1197234995">
          <w:marLeft w:val="480"/>
          <w:marRight w:val="0"/>
          <w:marTop w:val="0"/>
          <w:marBottom w:val="0"/>
          <w:divBdr>
            <w:top w:val="none" w:sz="0" w:space="0" w:color="auto"/>
            <w:left w:val="none" w:sz="0" w:space="0" w:color="auto"/>
            <w:bottom w:val="none" w:sz="0" w:space="0" w:color="auto"/>
            <w:right w:val="none" w:sz="0" w:space="0" w:color="auto"/>
          </w:divBdr>
        </w:div>
        <w:div w:id="1327051025">
          <w:marLeft w:val="480"/>
          <w:marRight w:val="0"/>
          <w:marTop w:val="0"/>
          <w:marBottom w:val="0"/>
          <w:divBdr>
            <w:top w:val="none" w:sz="0" w:space="0" w:color="auto"/>
            <w:left w:val="none" w:sz="0" w:space="0" w:color="auto"/>
            <w:bottom w:val="none" w:sz="0" w:space="0" w:color="auto"/>
            <w:right w:val="none" w:sz="0" w:space="0" w:color="auto"/>
          </w:divBdr>
        </w:div>
        <w:div w:id="1350376092">
          <w:marLeft w:val="480"/>
          <w:marRight w:val="0"/>
          <w:marTop w:val="0"/>
          <w:marBottom w:val="0"/>
          <w:divBdr>
            <w:top w:val="none" w:sz="0" w:space="0" w:color="auto"/>
            <w:left w:val="none" w:sz="0" w:space="0" w:color="auto"/>
            <w:bottom w:val="none" w:sz="0" w:space="0" w:color="auto"/>
            <w:right w:val="none" w:sz="0" w:space="0" w:color="auto"/>
          </w:divBdr>
        </w:div>
        <w:div w:id="1477142983">
          <w:marLeft w:val="480"/>
          <w:marRight w:val="0"/>
          <w:marTop w:val="0"/>
          <w:marBottom w:val="0"/>
          <w:divBdr>
            <w:top w:val="none" w:sz="0" w:space="0" w:color="auto"/>
            <w:left w:val="none" w:sz="0" w:space="0" w:color="auto"/>
            <w:bottom w:val="none" w:sz="0" w:space="0" w:color="auto"/>
            <w:right w:val="none" w:sz="0" w:space="0" w:color="auto"/>
          </w:divBdr>
        </w:div>
        <w:div w:id="1495143959">
          <w:marLeft w:val="480"/>
          <w:marRight w:val="0"/>
          <w:marTop w:val="0"/>
          <w:marBottom w:val="0"/>
          <w:divBdr>
            <w:top w:val="none" w:sz="0" w:space="0" w:color="auto"/>
            <w:left w:val="none" w:sz="0" w:space="0" w:color="auto"/>
            <w:bottom w:val="none" w:sz="0" w:space="0" w:color="auto"/>
            <w:right w:val="none" w:sz="0" w:space="0" w:color="auto"/>
          </w:divBdr>
        </w:div>
        <w:div w:id="1577397083">
          <w:marLeft w:val="480"/>
          <w:marRight w:val="0"/>
          <w:marTop w:val="0"/>
          <w:marBottom w:val="0"/>
          <w:divBdr>
            <w:top w:val="none" w:sz="0" w:space="0" w:color="auto"/>
            <w:left w:val="none" w:sz="0" w:space="0" w:color="auto"/>
            <w:bottom w:val="none" w:sz="0" w:space="0" w:color="auto"/>
            <w:right w:val="none" w:sz="0" w:space="0" w:color="auto"/>
          </w:divBdr>
        </w:div>
        <w:div w:id="1625848432">
          <w:marLeft w:val="480"/>
          <w:marRight w:val="0"/>
          <w:marTop w:val="0"/>
          <w:marBottom w:val="0"/>
          <w:divBdr>
            <w:top w:val="none" w:sz="0" w:space="0" w:color="auto"/>
            <w:left w:val="none" w:sz="0" w:space="0" w:color="auto"/>
            <w:bottom w:val="none" w:sz="0" w:space="0" w:color="auto"/>
            <w:right w:val="none" w:sz="0" w:space="0" w:color="auto"/>
          </w:divBdr>
        </w:div>
        <w:div w:id="1677919946">
          <w:marLeft w:val="480"/>
          <w:marRight w:val="0"/>
          <w:marTop w:val="0"/>
          <w:marBottom w:val="0"/>
          <w:divBdr>
            <w:top w:val="none" w:sz="0" w:space="0" w:color="auto"/>
            <w:left w:val="none" w:sz="0" w:space="0" w:color="auto"/>
            <w:bottom w:val="none" w:sz="0" w:space="0" w:color="auto"/>
            <w:right w:val="none" w:sz="0" w:space="0" w:color="auto"/>
          </w:divBdr>
        </w:div>
        <w:div w:id="1773820211">
          <w:marLeft w:val="480"/>
          <w:marRight w:val="0"/>
          <w:marTop w:val="0"/>
          <w:marBottom w:val="0"/>
          <w:divBdr>
            <w:top w:val="none" w:sz="0" w:space="0" w:color="auto"/>
            <w:left w:val="none" w:sz="0" w:space="0" w:color="auto"/>
            <w:bottom w:val="none" w:sz="0" w:space="0" w:color="auto"/>
            <w:right w:val="none" w:sz="0" w:space="0" w:color="auto"/>
          </w:divBdr>
        </w:div>
        <w:div w:id="1813982725">
          <w:marLeft w:val="480"/>
          <w:marRight w:val="0"/>
          <w:marTop w:val="0"/>
          <w:marBottom w:val="0"/>
          <w:divBdr>
            <w:top w:val="none" w:sz="0" w:space="0" w:color="auto"/>
            <w:left w:val="none" w:sz="0" w:space="0" w:color="auto"/>
            <w:bottom w:val="none" w:sz="0" w:space="0" w:color="auto"/>
            <w:right w:val="none" w:sz="0" w:space="0" w:color="auto"/>
          </w:divBdr>
        </w:div>
        <w:div w:id="1924293041">
          <w:marLeft w:val="480"/>
          <w:marRight w:val="0"/>
          <w:marTop w:val="0"/>
          <w:marBottom w:val="0"/>
          <w:divBdr>
            <w:top w:val="none" w:sz="0" w:space="0" w:color="auto"/>
            <w:left w:val="none" w:sz="0" w:space="0" w:color="auto"/>
            <w:bottom w:val="none" w:sz="0" w:space="0" w:color="auto"/>
            <w:right w:val="none" w:sz="0" w:space="0" w:color="auto"/>
          </w:divBdr>
        </w:div>
        <w:div w:id="1944218919">
          <w:marLeft w:val="480"/>
          <w:marRight w:val="0"/>
          <w:marTop w:val="0"/>
          <w:marBottom w:val="0"/>
          <w:divBdr>
            <w:top w:val="none" w:sz="0" w:space="0" w:color="auto"/>
            <w:left w:val="none" w:sz="0" w:space="0" w:color="auto"/>
            <w:bottom w:val="none" w:sz="0" w:space="0" w:color="auto"/>
            <w:right w:val="none" w:sz="0" w:space="0" w:color="auto"/>
          </w:divBdr>
        </w:div>
        <w:div w:id="2013756010">
          <w:marLeft w:val="480"/>
          <w:marRight w:val="0"/>
          <w:marTop w:val="0"/>
          <w:marBottom w:val="0"/>
          <w:divBdr>
            <w:top w:val="none" w:sz="0" w:space="0" w:color="auto"/>
            <w:left w:val="none" w:sz="0" w:space="0" w:color="auto"/>
            <w:bottom w:val="none" w:sz="0" w:space="0" w:color="auto"/>
            <w:right w:val="none" w:sz="0" w:space="0" w:color="auto"/>
          </w:divBdr>
        </w:div>
        <w:div w:id="2139638382">
          <w:marLeft w:val="480"/>
          <w:marRight w:val="0"/>
          <w:marTop w:val="0"/>
          <w:marBottom w:val="0"/>
          <w:divBdr>
            <w:top w:val="none" w:sz="0" w:space="0" w:color="auto"/>
            <w:left w:val="none" w:sz="0" w:space="0" w:color="auto"/>
            <w:bottom w:val="none" w:sz="0" w:space="0" w:color="auto"/>
            <w:right w:val="none" w:sz="0" w:space="0" w:color="auto"/>
          </w:divBdr>
        </w:div>
      </w:divsChild>
    </w:div>
    <w:div w:id="1952786827">
      <w:bodyDiv w:val="1"/>
      <w:marLeft w:val="0"/>
      <w:marRight w:val="0"/>
      <w:marTop w:val="0"/>
      <w:marBottom w:val="0"/>
      <w:divBdr>
        <w:top w:val="none" w:sz="0" w:space="0" w:color="auto"/>
        <w:left w:val="none" w:sz="0" w:space="0" w:color="auto"/>
        <w:bottom w:val="none" w:sz="0" w:space="0" w:color="auto"/>
        <w:right w:val="none" w:sz="0" w:space="0" w:color="auto"/>
      </w:divBdr>
    </w:div>
    <w:div w:id="1959950280">
      <w:marLeft w:val="480"/>
      <w:marRight w:val="0"/>
      <w:marTop w:val="0"/>
      <w:marBottom w:val="0"/>
      <w:divBdr>
        <w:top w:val="none" w:sz="0" w:space="0" w:color="auto"/>
        <w:left w:val="none" w:sz="0" w:space="0" w:color="auto"/>
        <w:bottom w:val="none" w:sz="0" w:space="0" w:color="auto"/>
        <w:right w:val="none" w:sz="0" w:space="0" w:color="auto"/>
      </w:divBdr>
    </w:div>
    <w:div w:id="2023125781">
      <w:marLeft w:val="480"/>
      <w:marRight w:val="0"/>
      <w:marTop w:val="0"/>
      <w:marBottom w:val="0"/>
      <w:divBdr>
        <w:top w:val="none" w:sz="0" w:space="0" w:color="auto"/>
        <w:left w:val="none" w:sz="0" w:space="0" w:color="auto"/>
        <w:bottom w:val="none" w:sz="0" w:space="0" w:color="auto"/>
        <w:right w:val="none" w:sz="0" w:space="0" w:color="auto"/>
      </w:divBdr>
    </w:div>
    <w:div w:id="2026397356">
      <w:bodyDiv w:val="1"/>
      <w:marLeft w:val="0"/>
      <w:marRight w:val="0"/>
      <w:marTop w:val="0"/>
      <w:marBottom w:val="0"/>
      <w:divBdr>
        <w:top w:val="none" w:sz="0" w:space="0" w:color="auto"/>
        <w:left w:val="none" w:sz="0" w:space="0" w:color="auto"/>
        <w:bottom w:val="none" w:sz="0" w:space="0" w:color="auto"/>
        <w:right w:val="none" w:sz="0" w:space="0" w:color="auto"/>
      </w:divBdr>
      <w:divsChild>
        <w:div w:id="86507674">
          <w:marLeft w:val="480"/>
          <w:marRight w:val="0"/>
          <w:marTop w:val="0"/>
          <w:marBottom w:val="0"/>
          <w:divBdr>
            <w:top w:val="none" w:sz="0" w:space="0" w:color="auto"/>
            <w:left w:val="none" w:sz="0" w:space="0" w:color="auto"/>
            <w:bottom w:val="none" w:sz="0" w:space="0" w:color="auto"/>
            <w:right w:val="none" w:sz="0" w:space="0" w:color="auto"/>
          </w:divBdr>
        </w:div>
        <w:div w:id="207686775">
          <w:marLeft w:val="480"/>
          <w:marRight w:val="0"/>
          <w:marTop w:val="0"/>
          <w:marBottom w:val="0"/>
          <w:divBdr>
            <w:top w:val="none" w:sz="0" w:space="0" w:color="auto"/>
            <w:left w:val="none" w:sz="0" w:space="0" w:color="auto"/>
            <w:bottom w:val="none" w:sz="0" w:space="0" w:color="auto"/>
            <w:right w:val="none" w:sz="0" w:space="0" w:color="auto"/>
          </w:divBdr>
        </w:div>
        <w:div w:id="229968103">
          <w:marLeft w:val="480"/>
          <w:marRight w:val="0"/>
          <w:marTop w:val="0"/>
          <w:marBottom w:val="0"/>
          <w:divBdr>
            <w:top w:val="none" w:sz="0" w:space="0" w:color="auto"/>
            <w:left w:val="none" w:sz="0" w:space="0" w:color="auto"/>
            <w:bottom w:val="none" w:sz="0" w:space="0" w:color="auto"/>
            <w:right w:val="none" w:sz="0" w:space="0" w:color="auto"/>
          </w:divBdr>
        </w:div>
        <w:div w:id="292952235">
          <w:marLeft w:val="480"/>
          <w:marRight w:val="0"/>
          <w:marTop w:val="0"/>
          <w:marBottom w:val="0"/>
          <w:divBdr>
            <w:top w:val="none" w:sz="0" w:space="0" w:color="auto"/>
            <w:left w:val="none" w:sz="0" w:space="0" w:color="auto"/>
            <w:bottom w:val="none" w:sz="0" w:space="0" w:color="auto"/>
            <w:right w:val="none" w:sz="0" w:space="0" w:color="auto"/>
          </w:divBdr>
        </w:div>
        <w:div w:id="326060051">
          <w:marLeft w:val="480"/>
          <w:marRight w:val="0"/>
          <w:marTop w:val="0"/>
          <w:marBottom w:val="0"/>
          <w:divBdr>
            <w:top w:val="none" w:sz="0" w:space="0" w:color="auto"/>
            <w:left w:val="none" w:sz="0" w:space="0" w:color="auto"/>
            <w:bottom w:val="none" w:sz="0" w:space="0" w:color="auto"/>
            <w:right w:val="none" w:sz="0" w:space="0" w:color="auto"/>
          </w:divBdr>
        </w:div>
        <w:div w:id="476649562">
          <w:marLeft w:val="480"/>
          <w:marRight w:val="0"/>
          <w:marTop w:val="0"/>
          <w:marBottom w:val="0"/>
          <w:divBdr>
            <w:top w:val="none" w:sz="0" w:space="0" w:color="auto"/>
            <w:left w:val="none" w:sz="0" w:space="0" w:color="auto"/>
            <w:bottom w:val="none" w:sz="0" w:space="0" w:color="auto"/>
            <w:right w:val="none" w:sz="0" w:space="0" w:color="auto"/>
          </w:divBdr>
        </w:div>
        <w:div w:id="613824895">
          <w:marLeft w:val="480"/>
          <w:marRight w:val="0"/>
          <w:marTop w:val="0"/>
          <w:marBottom w:val="0"/>
          <w:divBdr>
            <w:top w:val="none" w:sz="0" w:space="0" w:color="auto"/>
            <w:left w:val="none" w:sz="0" w:space="0" w:color="auto"/>
            <w:bottom w:val="none" w:sz="0" w:space="0" w:color="auto"/>
            <w:right w:val="none" w:sz="0" w:space="0" w:color="auto"/>
          </w:divBdr>
        </w:div>
        <w:div w:id="624039935">
          <w:marLeft w:val="480"/>
          <w:marRight w:val="0"/>
          <w:marTop w:val="0"/>
          <w:marBottom w:val="0"/>
          <w:divBdr>
            <w:top w:val="none" w:sz="0" w:space="0" w:color="auto"/>
            <w:left w:val="none" w:sz="0" w:space="0" w:color="auto"/>
            <w:bottom w:val="none" w:sz="0" w:space="0" w:color="auto"/>
            <w:right w:val="none" w:sz="0" w:space="0" w:color="auto"/>
          </w:divBdr>
        </w:div>
        <w:div w:id="674453638">
          <w:marLeft w:val="480"/>
          <w:marRight w:val="0"/>
          <w:marTop w:val="0"/>
          <w:marBottom w:val="0"/>
          <w:divBdr>
            <w:top w:val="none" w:sz="0" w:space="0" w:color="auto"/>
            <w:left w:val="none" w:sz="0" w:space="0" w:color="auto"/>
            <w:bottom w:val="none" w:sz="0" w:space="0" w:color="auto"/>
            <w:right w:val="none" w:sz="0" w:space="0" w:color="auto"/>
          </w:divBdr>
        </w:div>
        <w:div w:id="740568338">
          <w:marLeft w:val="480"/>
          <w:marRight w:val="0"/>
          <w:marTop w:val="0"/>
          <w:marBottom w:val="0"/>
          <w:divBdr>
            <w:top w:val="none" w:sz="0" w:space="0" w:color="auto"/>
            <w:left w:val="none" w:sz="0" w:space="0" w:color="auto"/>
            <w:bottom w:val="none" w:sz="0" w:space="0" w:color="auto"/>
            <w:right w:val="none" w:sz="0" w:space="0" w:color="auto"/>
          </w:divBdr>
        </w:div>
        <w:div w:id="831525399">
          <w:marLeft w:val="480"/>
          <w:marRight w:val="0"/>
          <w:marTop w:val="0"/>
          <w:marBottom w:val="0"/>
          <w:divBdr>
            <w:top w:val="none" w:sz="0" w:space="0" w:color="auto"/>
            <w:left w:val="none" w:sz="0" w:space="0" w:color="auto"/>
            <w:bottom w:val="none" w:sz="0" w:space="0" w:color="auto"/>
            <w:right w:val="none" w:sz="0" w:space="0" w:color="auto"/>
          </w:divBdr>
        </w:div>
        <w:div w:id="865873688">
          <w:marLeft w:val="480"/>
          <w:marRight w:val="0"/>
          <w:marTop w:val="0"/>
          <w:marBottom w:val="0"/>
          <w:divBdr>
            <w:top w:val="none" w:sz="0" w:space="0" w:color="auto"/>
            <w:left w:val="none" w:sz="0" w:space="0" w:color="auto"/>
            <w:bottom w:val="none" w:sz="0" w:space="0" w:color="auto"/>
            <w:right w:val="none" w:sz="0" w:space="0" w:color="auto"/>
          </w:divBdr>
        </w:div>
        <w:div w:id="896667296">
          <w:marLeft w:val="480"/>
          <w:marRight w:val="0"/>
          <w:marTop w:val="0"/>
          <w:marBottom w:val="0"/>
          <w:divBdr>
            <w:top w:val="none" w:sz="0" w:space="0" w:color="auto"/>
            <w:left w:val="none" w:sz="0" w:space="0" w:color="auto"/>
            <w:bottom w:val="none" w:sz="0" w:space="0" w:color="auto"/>
            <w:right w:val="none" w:sz="0" w:space="0" w:color="auto"/>
          </w:divBdr>
        </w:div>
        <w:div w:id="1027755485">
          <w:marLeft w:val="480"/>
          <w:marRight w:val="0"/>
          <w:marTop w:val="0"/>
          <w:marBottom w:val="0"/>
          <w:divBdr>
            <w:top w:val="none" w:sz="0" w:space="0" w:color="auto"/>
            <w:left w:val="none" w:sz="0" w:space="0" w:color="auto"/>
            <w:bottom w:val="none" w:sz="0" w:space="0" w:color="auto"/>
            <w:right w:val="none" w:sz="0" w:space="0" w:color="auto"/>
          </w:divBdr>
        </w:div>
        <w:div w:id="1028215891">
          <w:marLeft w:val="480"/>
          <w:marRight w:val="0"/>
          <w:marTop w:val="0"/>
          <w:marBottom w:val="0"/>
          <w:divBdr>
            <w:top w:val="none" w:sz="0" w:space="0" w:color="auto"/>
            <w:left w:val="none" w:sz="0" w:space="0" w:color="auto"/>
            <w:bottom w:val="none" w:sz="0" w:space="0" w:color="auto"/>
            <w:right w:val="none" w:sz="0" w:space="0" w:color="auto"/>
          </w:divBdr>
        </w:div>
        <w:div w:id="1267226120">
          <w:marLeft w:val="480"/>
          <w:marRight w:val="0"/>
          <w:marTop w:val="0"/>
          <w:marBottom w:val="0"/>
          <w:divBdr>
            <w:top w:val="none" w:sz="0" w:space="0" w:color="auto"/>
            <w:left w:val="none" w:sz="0" w:space="0" w:color="auto"/>
            <w:bottom w:val="none" w:sz="0" w:space="0" w:color="auto"/>
            <w:right w:val="none" w:sz="0" w:space="0" w:color="auto"/>
          </w:divBdr>
        </w:div>
        <w:div w:id="1469472157">
          <w:marLeft w:val="480"/>
          <w:marRight w:val="0"/>
          <w:marTop w:val="0"/>
          <w:marBottom w:val="0"/>
          <w:divBdr>
            <w:top w:val="none" w:sz="0" w:space="0" w:color="auto"/>
            <w:left w:val="none" w:sz="0" w:space="0" w:color="auto"/>
            <w:bottom w:val="none" w:sz="0" w:space="0" w:color="auto"/>
            <w:right w:val="none" w:sz="0" w:space="0" w:color="auto"/>
          </w:divBdr>
        </w:div>
        <w:div w:id="1519276137">
          <w:marLeft w:val="480"/>
          <w:marRight w:val="0"/>
          <w:marTop w:val="0"/>
          <w:marBottom w:val="0"/>
          <w:divBdr>
            <w:top w:val="none" w:sz="0" w:space="0" w:color="auto"/>
            <w:left w:val="none" w:sz="0" w:space="0" w:color="auto"/>
            <w:bottom w:val="none" w:sz="0" w:space="0" w:color="auto"/>
            <w:right w:val="none" w:sz="0" w:space="0" w:color="auto"/>
          </w:divBdr>
        </w:div>
        <w:div w:id="2126922838">
          <w:marLeft w:val="480"/>
          <w:marRight w:val="0"/>
          <w:marTop w:val="0"/>
          <w:marBottom w:val="0"/>
          <w:divBdr>
            <w:top w:val="none" w:sz="0" w:space="0" w:color="auto"/>
            <w:left w:val="none" w:sz="0" w:space="0" w:color="auto"/>
            <w:bottom w:val="none" w:sz="0" w:space="0" w:color="auto"/>
            <w:right w:val="none" w:sz="0" w:space="0" w:color="auto"/>
          </w:divBdr>
        </w:div>
      </w:divsChild>
    </w:div>
    <w:div w:id="2066368143">
      <w:bodyDiv w:val="1"/>
      <w:marLeft w:val="0"/>
      <w:marRight w:val="0"/>
      <w:marTop w:val="0"/>
      <w:marBottom w:val="0"/>
      <w:divBdr>
        <w:top w:val="none" w:sz="0" w:space="0" w:color="auto"/>
        <w:left w:val="none" w:sz="0" w:space="0" w:color="auto"/>
        <w:bottom w:val="none" w:sz="0" w:space="0" w:color="auto"/>
        <w:right w:val="none" w:sz="0" w:space="0" w:color="auto"/>
      </w:divBdr>
      <w:divsChild>
        <w:div w:id="865305">
          <w:marLeft w:val="480"/>
          <w:marRight w:val="0"/>
          <w:marTop w:val="0"/>
          <w:marBottom w:val="0"/>
          <w:divBdr>
            <w:top w:val="none" w:sz="0" w:space="0" w:color="auto"/>
            <w:left w:val="none" w:sz="0" w:space="0" w:color="auto"/>
            <w:bottom w:val="none" w:sz="0" w:space="0" w:color="auto"/>
            <w:right w:val="none" w:sz="0" w:space="0" w:color="auto"/>
          </w:divBdr>
        </w:div>
        <w:div w:id="553197408">
          <w:marLeft w:val="480"/>
          <w:marRight w:val="0"/>
          <w:marTop w:val="0"/>
          <w:marBottom w:val="0"/>
          <w:divBdr>
            <w:top w:val="none" w:sz="0" w:space="0" w:color="auto"/>
            <w:left w:val="none" w:sz="0" w:space="0" w:color="auto"/>
            <w:bottom w:val="none" w:sz="0" w:space="0" w:color="auto"/>
            <w:right w:val="none" w:sz="0" w:space="0" w:color="auto"/>
          </w:divBdr>
        </w:div>
        <w:div w:id="716205272">
          <w:marLeft w:val="480"/>
          <w:marRight w:val="0"/>
          <w:marTop w:val="0"/>
          <w:marBottom w:val="0"/>
          <w:divBdr>
            <w:top w:val="none" w:sz="0" w:space="0" w:color="auto"/>
            <w:left w:val="none" w:sz="0" w:space="0" w:color="auto"/>
            <w:bottom w:val="none" w:sz="0" w:space="0" w:color="auto"/>
            <w:right w:val="none" w:sz="0" w:space="0" w:color="auto"/>
          </w:divBdr>
        </w:div>
        <w:div w:id="820848863">
          <w:marLeft w:val="480"/>
          <w:marRight w:val="0"/>
          <w:marTop w:val="0"/>
          <w:marBottom w:val="0"/>
          <w:divBdr>
            <w:top w:val="none" w:sz="0" w:space="0" w:color="auto"/>
            <w:left w:val="none" w:sz="0" w:space="0" w:color="auto"/>
            <w:bottom w:val="none" w:sz="0" w:space="0" w:color="auto"/>
            <w:right w:val="none" w:sz="0" w:space="0" w:color="auto"/>
          </w:divBdr>
        </w:div>
        <w:div w:id="1188329744">
          <w:marLeft w:val="480"/>
          <w:marRight w:val="0"/>
          <w:marTop w:val="0"/>
          <w:marBottom w:val="0"/>
          <w:divBdr>
            <w:top w:val="none" w:sz="0" w:space="0" w:color="auto"/>
            <w:left w:val="none" w:sz="0" w:space="0" w:color="auto"/>
            <w:bottom w:val="none" w:sz="0" w:space="0" w:color="auto"/>
            <w:right w:val="none" w:sz="0" w:space="0" w:color="auto"/>
          </w:divBdr>
        </w:div>
        <w:div w:id="1311516946">
          <w:marLeft w:val="480"/>
          <w:marRight w:val="0"/>
          <w:marTop w:val="0"/>
          <w:marBottom w:val="0"/>
          <w:divBdr>
            <w:top w:val="none" w:sz="0" w:space="0" w:color="auto"/>
            <w:left w:val="none" w:sz="0" w:space="0" w:color="auto"/>
            <w:bottom w:val="none" w:sz="0" w:space="0" w:color="auto"/>
            <w:right w:val="none" w:sz="0" w:space="0" w:color="auto"/>
          </w:divBdr>
        </w:div>
        <w:div w:id="1634140440">
          <w:marLeft w:val="480"/>
          <w:marRight w:val="0"/>
          <w:marTop w:val="0"/>
          <w:marBottom w:val="0"/>
          <w:divBdr>
            <w:top w:val="none" w:sz="0" w:space="0" w:color="auto"/>
            <w:left w:val="none" w:sz="0" w:space="0" w:color="auto"/>
            <w:bottom w:val="none" w:sz="0" w:space="0" w:color="auto"/>
            <w:right w:val="none" w:sz="0" w:space="0" w:color="auto"/>
          </w:divBdr>
        </w:div>
        <w:div w:id="1781143743">
          <w:marLeft w:val="480"/>
          <w:marRight w:val="0"/>
          <w:marTop w:val="0"/>
          <w:marBottom w:val="0"/>
          <w:divBdr>
            <w:top w:val="none" w:sz="0" w:space="0" w:color="auto"/>
            <w:left w:val="none" w:sz="0" w:space="0" w:color="auto"/>
            <w:bottom w:val="none" w:sz="0" w:space="0" w:color="auto"/>
            <w:right w:val="none" w:sz="0" w:space="0" w:color="auto"/>
          </w:divBdr>
        </w:div>
        <w:div w:id="1874658120">
          <w:marLeft w:val="480"/>
          <w:marRight w:val="0"/>
          <w:marTop w:val="0"/>
          <w:marBottom w:val="0"/>
          <w:divBdr>
            <w:top w:val="none" w:sz="0" w:space="0" w:color="auto"/>
            <w:left w:val="none" w:sz="0" w:space="0" w:color="auto"/>
            <w:bottom w:val="none" w:sz="0" w:space="0" w:color="auto"/>
            <w:right w:val="none" w:sz="0" w:space="0" w:color="auto"/>
          </w:divBdr>
        </w:div>
        <w:div w:id="1920942250">
          <w:marLeft w:val="480"/>
          <w:marRight w:val="0"/>
          <w:marTop w:val="0"/>
          <w:marBottom w:val="0"/>
          <w:divBdr>
            <w:top w:val="none" w:sz="0" w:space="0" w:color="auto"/>
            <w:left w:val="none" w:sz="0" w:space="0" w:color="auto"/>
            <w:bottom w:val="none" w:sz="0" w:space="0" w:color="auto"/>
            <w:right w:val="none" w:sz="0" w:space="0" w:color="auto"/>
          </w:divBdr>
        </w:div>
      </w:divsChild>
    </w:div>
    <w:div w:id="2135057100">
      <w:marLeft w:val="48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Academic</a:t>
            </a:r>
            <a:r>
              <a:rPr lang="en-AU" baseline="0"/>
              <a:t> employment by function </a:t>
            </a:r>
            <a:endParaRPr lang="en-A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AU"/>
        </a:p>
      </c:txPr>
    </c:title>
    <c:autoTitleDeleted val="0"/>
    <c:plotArea>
      <c:layout/>
      <c:lineChart>
        <c:grouping val="standard"/>
        <c:varyColors val="0"/>
        <c:ser>
          <c:idx val="0"/>
          <c:order val="0"/>
          <c:tx>
            <c:strRef>
              <c:f>Sheet1!$B$1</c:f>
              <c:strCache>
                <c:ptCount val="1"/>
                <c:pt idx="0">
                  <c:v>Teaching only</c:v>
                </c:pt>
              </c:strCache>
            </c:strRef>
          </c:tx>
          <c:spPr>
            <a:ln w="28575" cap="rnd">
              <a:solidFill>
                <a:schemeClr val="accent1"/>
              </a:solidFill>
              <a:prstDash val="dash"/>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Sheet1!$B$2:$B$37</c:f>
              <c:numCache>
                <c:formatCode>General</c:formatCode>
                <c:ptCount val="36"/>
                <c:pt idx="0">
                  <c:v>7386</c:v>
                </c:pt>
                <c:pt idx="1">
                  <c:v>6072</c:v>
                </c:pt>
                <c:pt idx="2">
                  <c:v>3715</c:v>
                </c:pt>
                <c:pt idx="3">
                  <c:v>3472</c:v>
                </c:pt>
                <c:pt idx="4">
                  <c:v>2250</c:v>
                </c:pt>
                <c:pt idx="5">
                  <c:v>2431</c:v>
                </c:pt>
                <c:pt idx="6">
                  <c:v>1994</c:v>
                </c:pt>
                <c:pt idx="7">
                  <c:v>1587</c:v>
                </c:pt>
                <c:pt idx="8">
                  <c:v>1334</c:v>
                </c:pt>
                <c:pt idx="9">
                  <c:v>933</c:v>
                </c:pt>
                <c:pt idx="10">
                  <c:v>901</c:v>
                </c:pt>
                <c:pt idx="11">
                  <c:v>1006</c:v>
                </c:pt>
                <c:pt idx="12">
                  <c:v>1024</c:v>
                </c:pt>
                <c:pt idx="13">
                  <c:v>1154</c:v>
                </c:pt>
                <c:pt idx="14">
                  <c:v>1269</c:v>
                </c:pt>
                <c:pt idx="15">
                  <c:v>1401</c:v>
                </c:pt>
                <c:pt idx="16">
                  <c:v>1239</c:v>
                </c:pt>
                <c:pt idx="17">
                  <c:v>1422</c:v>
                </c:pt>
                <c:pt idx="18">
                  <c:v>1655</c:v>
                </c:pt>
                <c:pt idx="19">
                  <c:v>1502</c:v>
                </c:pt>
                <c:pt idx="20">
                  <c:v>1787</c:v>
                </c:pt>
                <c:pt idx="21">
                  <c:v>2060</c:v>
                </c:pt>
                <c:pt idx="22">
                  <c:v>2943</c:v>
                </c:pt>
                <c:pt idx="23">
                  <c:v>3489</c:v>
                </c:pt>
                <c:pt idx="24">
                  <c:v>3488</c:v>
                </c:pt>
                <c:pt idx="25">
                  <c:v>4722</c:v>
                </c:pt>
                <c:pt idx="26">
                  <c:v>4926</c:v>
                </c:pt>
                <c:pt idx="27">
                  <c:v>5614</c:v>
                </c:pt>
                <c:pt idx="28">
                  <c:v>6193</c:v>
                </c:pt>
                <c:pt idx="29">
                  <c:v>5913</c:v>
                </c:pt>
                <c:pt idx="30">
                  <c:v>6355</c:v>
                </c:pt>
                <c:pt idx="31">
                  <c:v>6712</c:v>
                </c:pt>
                <c:pt idx="32">
                  <c:v>6388</c:v>
                </c:pt>
                <c:pt idx="33">
                  <c:v>6965</c:v>
                </c:pt>
                <c:pt idx="34">
                  <c:v>7560</c:v>
                </c:pt>
                <c:pt idx="35">
                  <c:v>8403</c:v>
                </c:pt>
              </c:numCache>
            </c:numRef>
          </c:val>
          <c:smooth val="0"/>
          <c:extLst>
            <c:ext xmlns:c16="http://schemas.microsoft.com/office/drawing/2014/chart" uri="{C3380CC4-5D6E-409C-BE32-E72D297353CC}">
              <c16:uniqueId val="{00000000-C342-4A4B-BDB4-AF7CA5902316}"/>
            </c:ext>
          </c:extLst>
        </c:ser>
        <c:ser>
          <c:idx val="1"/>
          <c:order val="1"/>
          <c:tx>
            <c:strRef>
              <c:f>Sheet1!$C$1</c:f>
              <c:strCache>
                <c:ptCount val="1"/>
                <c:pt idx="0">
                  <c:v>Research only </c:v>
                </c:pt>
              </c:strCache>
            </c:strRef>
          </c:tx>
          <c:spPr>
            <a:ln w="28575" cap="rnd">
              <a:solidFill>
                <a:schemeClr val="accent2"/>
              </a:solidFill>
              <a:prstDash val="sysDot"/>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Sheet1!$C$2:$C$37</c:f>
              <c:numCache>
                <c:formatCode>General</c:formatCode>
                <c:ptCount val="36"/>
                <c:pt idx="0">
                  <c:v>2120</c:v>
                </c:pt>
                <c:pt idx="1">
                  <c:v>2634</c:v>
                </c:pt>
                <c:pt idx="2">
                  <c:v>2966</c:v>
                </c:pt>
                <c:pt idx="3">
                  <c:v>3232</c:v>
                </c:pt>
                <c:pt idx="4">
                  <c:v>3639</c:v>
                </c:pt>
                <c:pt idx="5">
                  <c:v>4043</c:v>
                </c:pt>
                <c:pt idx="6">
                  <c:v>4483</c:v>
                </c:pt>
                <c:pt idx="7">
                  <c:v>4736</c:v>
                </c:pt>
                <c:pt idx="8">
                  <c:v>5254</c:v>
                </c:pt>
                <c:pt idx="9">
                  <c:v>5408</c:v>
                </c:pt>
                <c:pt idx="10">
                  <c:v>5570</c:v>
                </c:pt>
                <c:pt idx="11">
                  <c:v>5763</c:v>
                </c:pt>
                <c:pt idx="12">
                  <c:v>5981</c:v>
                </c:pt>
                <c:pt idx="13">
                  <c:v>6693</c:v>
                </c:pt>
                <c:pt idx="14">
                  <c:v>7411</c:v>
                </c:pt>
                <c:pt idx="15">
                  <c:v>8040</c:v>
                </c:pt>
                <c:pt idx="16">
                  <c:v>8589</c:v>
                </c:pt>
                <c:pt idx="17">
                  <c:v>9724</c:v>
                </c:pt>
                <c:pt idx="18">
                  <c:v>10773</c:v>
                </c:pt>
                <c:pt idx="19">
                  <c:v>11278</c:v>
                </c:pt>
                <c:pt idx="20">
                  <c:v>12193</c:v>
                </c:pt>
                <c:pt idx="21">
                  <c:v>12274</c:v>
                </c:pt>
                <c:pt idx="22">
                  <c:v>12428</c:v>
                </c:pt>
                <c:pt idx="23">
                  <c:v>13109</c:v>
                </c:pt>
                <c:pt idx="24">
                  <c:v>14030</c:v>
                </c:pt>
                <c:pt idx="25">
                  <c:v>14346</c:v>
                </c:pt>
                <c:pt idx="26">
                  <c:v>14702</c:v>
                </c:pt>
                <c:pt idx="27">
                  <c:v>15037</c:v>
                </c:pt>
                <c:pt idx="28">
                  <c:v>15774</c:v>
                </c:pt>
                <c:pt idx="29">
                  <c:v>15423</c:v>
                </c:pt>
                <c:pt idx="30">
                  <c:v>16078</c:v>
                </c:pt>
                <c:pt idx="31">
                  <c:v>16754</c:v>
                </c:pt>
                <c:pt idx="32">
                  <c:v>16500</c:v>
                </c:pt>
                <c:pt idx="33">
                  <c:v>16503</c:v>
                </c:pt>
                <c:pt idx="34">
                  <c:v>16969</c:v>
                </c:pt>
                <c:pt idx="35">
                  <c:v>17771</c:v>
                </c:pt>
              </c:numCache>
            </c:numRef>
          </c:val>
          <c:smooth val="0"/>
          <c:extLst>
            <c:ext xmlns:c16="http://schemas.microsoft.com/office/drawing/2014/chart" uri="{C3380CC4-5D6E-409C-BE32-E72D297353CC}">
              <c16:uniqueId val="{00000001-C342-4A4B-BDB4-AF7CA5902316}"/>
            </c:ext>
          </c:extLst>
        </c:ser>
        <c:ser>
          <c:idx val="2"/>
          <c:order val="2"/>
          <c:tx>
            <c:strRef>
              <c:f>Sheet1!$D$1</c:f>
              <c:strCache>
                <c:ptCount val="1"/>
                <c:pt idx="0">
                  <c:v>Teaching &amp; research</c:v>
                </c:pt>
              </c:strCache>
            </c:strRef>
          </c:tx>
          <c:spPr>
            <a:ln w="28575" cap="rnd">
              <a:solidFill>
                <a:schemeClr val="accent3"/>
              </a:solidFill>
              <a:round/>
            </a:ln>
            <a:effectLst/>
          </c:spPr>
          <c:marker>
            <c:symbol val="none"/>
          </c:marker>
          <c:cat>
            <c:numRef>
              <c:f>Sheet1!$A$2:$A$37</c:f>
              <c:numCache>
                <c:formatCode>General</c:formatCode>
                <c:ptCount val="36"/>
                <c:pt idx="0">
                  <c:v>1989</c:v>
                </c:pt>
                <c:pt idx="1">
                  <c:v>1990</c:v>
                </c:pt>
                <c:pt idx="2">
                  <c:v>1991</c:v>
                </c:pt>
                <c:pt idx="3">
                  <c:v>1992</c:v>
                </c:pt>
                <c:pt idx="4">
                  <c:v>1993</c:v>
                </c:pt>
                <c:pt idx="5">
                  <c:v>1994</c:v>
                </c:pt>
                <c:pt idx="6">
                  <c:v>1995</c:v>
                </c:pt>
                <c:pt idx="7">
                  <c:v>1996</c:v>
                </c:pt>
                <c:pt idx="8">
                  <c:v>1997</c:v>
                </c:pt>
                <c:pt idx="9">
                  <c:v>1998</c:v>
                </c:pt>
                <c:pt idx="10">
                  <c:v>1999</c:v>
                </c:pt>
                <c:pt idx="11">
                  <c:v>2000</c:v>
                </c:pt>
                <c:pt idx="12">
                  <c:v>2001</c:v>
                </c:pt>
                <c:pt idx="13">
                  <c:v>2002</c:v>
                </c:pt>
                <c:pt idx="14">
                  <c:v>2003</c:v>
                </c:pt>
                <c:pt idx="15">
                  <c:v>2004</c:v>
                </c:pt>
                <c:pt idx="16">
                  <c:v>2005</c:v>
                </c:pt>
                <c:pt idx="17">
                  <c:v>2006</c:v>
                </c:pt>
                <c:pt idx="18">
                  <c:v>2007</c:v>
                </c:pt>
                <c:pt idx="19">
                  <c:v>2008</c:v>
                </c:pt>
                <c:pt idx="20">
                  <c:v>2009</c:v>
                </c:pt>
                <c:pt idx="21">
                  <c:v>2010</c:v>
                </c:pt>
                <c:pt idx="22">
                  <c:v>2011</c:v>
                </c:pt>
                <c:pt idx="23">
                  <c:v>2012</c:v>
                </c:pt>
                <c:pt idx="24">
                  <c:v>2013</c:v>
                </c:pt>
                <c:pt idx="25">
                  <c:v>2014</c:v>
                </c:pt>
                <c:pt idx="26">
                  <c:v>2015</c:v>
                </c:pt>
                <c:pt idx="27">
                  <c:v>2016</c:v>
                </c:pt>
                <c:pt idx="28">
                  <c:v>2017</c:v>
                </c:pt>
                <c:pt idx="29">
                  <c:v>2018</c:v>
                </c:pt>
                <c:pt idx="30">
                  <c:v>2019</c:v>
                </c:pt>
                <c:pt idx="31">
                  <c:v>2020</c:v>
                </c:pt>
                <c:pt idx="32">
                  <c:v>2021</c:v>
                </c:pt>
                <c:pt idx="33">
                  <c:v>2022</c:v>
                </c:pt>
                <c:pt idx="34">
                  <c:v>2023</c:v>
                </c:pt>
                <c:pt idx="35">
                  <c:v>2024</c:v>
                </c:pt>
              </c:numCache>
            </c:numRef>
          </c:cat>
          <c:val>
            <c:numRef>
              <c:f>Sheet1!$D$2:$D$37</c:f>
              <c:numCache>
                <c:formatCode>General</c:formatCode>
                <c:ptCount val="36"/>
                <c:pt idx="0">
                  <c:v>16405</c:v>
                </c:pt>
                <c:pt idx="1">
                  <c:v>19000</c:v>
                </c:pt>
                <c:pt idx="2">
                  <c:v>22550</c:v>
                </c:pt>
                <c:pt idx="3">
                  <c:v>23842</c:v>
                </c:pt>
                <c:pt idx="4">
                  <c:v>25402</c:v>
                </c:pt>
                <c:pt idx="5">
                  <c:v>25110</c:v>
                </c:pt>
                <c:pt idx="6">
                  <c:v>25702</c:v>
                </c:pt>
                <c:pt idx="7">
                  <c:v>26354</c:v>
                </c:pt>
                <c:pt idx="8">
                  <c:v>25914</c:v>
                </c:pt>
                <c:pt idx="9">
                  <c:v>25636</c:v>
                </c:pt>
                <c:pt idx="10">
                  <c:v>25355</c:v>
                </c:pt>
                <c:pt idx="11">
                  <c:v>25583</c:v>
                </c:pt>
                <c:pt idx="12">
                  <c:v>25711</c:v>
                </c:pt>
                <c:pt idx="13">
                  <c:v>25916</c:v>
                </c:pt>
                <c:pt idx="14">
                  <c:v>26304</c:v>
                </c:pt>
                <c:pt idx="15">
                  <c:v>27151</c:v>
                </c:pt>
                <c:pt idx="16">
                  <c:v>28148</c:v>
                </c:pt>
                <c:pt idx="17">
                  <c:v>28280</c:v>
                </c:pt>
                <c:pt idx="18">
                  <c:v>28970</c:v>
                </c:pt>
                <c:pt idx="19">
                  <c:v>29957</c:v>
                </c:pt>
                <c:pt idx="20">
                  <c:v>30693</c:v>
                </c:pt>
                <c:pt idx="21">
                  <c:v>31313</c:v>
                </c:pt>
                <c:pt idx="22">
                  <c:v>31757</c:v>
                </c:pt>
                <c:pt idx="23">
                  <c:v>32411</c:v>
                </c:pt>
                <c:pt idx="24">
                  <c:v>32494</c:v>
                </c:pt>
                <c:pt idx="25">
                  <c:v>32000</c:v>
                </c:pt>
                <c:pt idx="26">
                  <c:v>32027</c:v>
                </c:pt>
                <c:pt idx="27">
                  <c:v>31928</c:v>
                </c:pt>
                <c:pt idx="28">
                  <c:v>32313.000000000004</c:v>
                </c:pt>
                <c:pt idx="29">
                  <c:v>29938</c:v>
                </c:pt>
                <c:pt idx="30">
                  <c:v>30347</c:v>
                </c:pt>
                <c:pt idx="31">
                  <c:v>30860</c:v>
                </c:pt>
                <c:pt idx="32">
                  <c:v>29001</c:v>
                </c:pt>
                <c:pt idx="33">
                  <c:v>29899</c:v>
                </c:pt>
                <c:pt idx="34">
                  <c:v>30454</c:v>
                </c:pt>
                <c:pt idx="35">
                  <c:v>31615</c:v>
                </c:pt>
              </c:numCache>
            </c:numRef>
          </c:val>
          <c:smooth val="0"/>
          <c:extLst>
            <c:ext xmlns:c16="http://schemas.microsoft.com/office/drawing/2014/chart" uri="{C3380CC4-5D6E-409C-BE32-E72D297353CC}">
              <c16:uniqueId val="{00000002-C342-4A4B-BDB4-AF7CA5902316}"/>
            </c:ext>
          </c:extLst>
        </c:ser>
        <c:dLbls>
          <c:showLegendKey val="0"/>
          <c:showVal val="0"/>
          <c:showCatName val="0"/>
          <c:showSerName val="0"/>
          <c:showPercent val="0"/>
          <c:showBubbleSize val="0"/>
        </c:dLbls>
        <c:smooth val="0"/>
        <c:axId val="482358096"/>
        <c:axId val="482357680"/>
      </c:lineChart>
      <c:catAx>
        <c:axId val="48235809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357680"/>
        <c:crosses val="autoZero"/>
        <c:auto val="1"/>
        <c:lblAlgn val="ctr"/>
        <c:lblOffset val="100"/>
        <c:noMultiLvlLbl val="0"/>
      </c:catAx>
      <c:valAx>
        <c:axId val="48235768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235809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1EDFEAA0-1368-437D-975E-52B6D1F39EB6}"/>
      </w:docPartPr>
      <w:docPartBody>
        <w:p w:rsidR="007515CF" w:rsidRDefault="0043682C">
          <w:r w:rsidRPr="008B1FAA">
            <w:rPr>
              <w:rStyle w:val="PlaceholderText"/>
            </w:rPr>
            <w:t>Click or tap here to enter text.</w:t>
          </w:r>
        </w:p>
      </w:docPartBody>
    </w:docPart>
    <w:docPart>
      <w:docPartPr>
        <w:name w:val="C8072690EA624955B20A93E708BE679F"/>
        <w:category>
          <w:name w:val="General"/>
          <w:gallery w:val="placeholder"/>
        </w:category>
        <w:types>
          <w:type w:val="bbPlcHdr"/>
        </w:types>
        <w:behaviors>
          <w:behavior w:val="content"/>
        </w:behaviors>
        <w:guid w:val="{E3544F42-B431-4042-BE52-77A996A682FF}"/>
      </w:docPartPr>
      <w:docPartBody>
        <w:p w:rsidR="00C8693F" w:rsidRDefault="007B4377" w:rsidP="007B4377">
          <w:pPr>
            <w:pStyle w:val="C8072690EA624955B20A93E708BE679F"/>
          </w:pPr>
          <w:r w:rsidRPr="008B1FAA">
            <w:rPr>
              <w:rStyle w:val="PlaceholderText"/>
            </w:rPr>
            <w:t>Click or tap here to enter text.</w:t>
          </w:r>
        </w:p>
      </w:docPartBody>
    </w:docPart>
    <w:docPart>
      <w:docPartPr>
        <w:name w:val="B71F28DE2C7A44A3AA751E97B0558E4A"/>
        <w:category>
          <w:name w:val="General"/>
          <w:gallery w:val="placeholder"/>
        </w:category>
        <w:types>
          <w:type w:val="bbPlcHdr"/>
        </w:types>
        <w:behaviors>
          <w:behavior w:val="content"/>
        </w:behaviors>
        <w:guid w:val="{92FC7554-AA5A-4439-B4F3-2C9EEDF0ABD5}"/>
      </w:docPartPr>
      <w:docPartBody>
        <w:p w:rsidR="004F5DEE" w:rsidRDefault="00AD5430" w:rsidP="00AD5430">
          <w:pPr>
            <w:pStyle w:val="B71F28DE2C7A44A3AA751E97B0558E4A"/>
          </w:pPr>
          <w:r w:rsidRPr="008B1FAA">
            <w:rPr>
              <w:rStyle w:val="PlaceholderText"/>
            </w:rPr>
            <w:t>Click or tap here to enter text.</w:t>
          </w:r>
        </w:p>
      </w:docPartBody>
    </w:docPart>
    <w:docPart>
      <w:docPartPr>
        <w:name w:val="012E2798A72C453B925FB0189C0D368A"/>
        <w:category>
          <w:name w:val="General"/>
          <w:gallery w:val="placeholder"/>
        </w:category>
        <w:types>
          <w:type w:val="bbPlcHdr"/>
        </w:types>
        <w:behaviors>
          <w:behavior w:val="content"/>
        </w:behaviors>
        <w:guid w:val="{4D88B617-77B3-4687-B368-016DF8AC5DAA}"/>
      </w:docPartPr>
      <w:docPartBody>
        <w:p w:rsidR="00D90DAE" w:rsidRDefault="004F5DEE" w:rsidP="004F5DEE">
          <w:pPr>
            <w:pStyle w:val="012E2798A72C453B925FB0189C0D368A"/>
          </w:pPr>
          <w:r w:rsidRPr="008B1FA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altName w:val="Calibri"/>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Segoe UI Symbol">
    <w:panose1 w:val="020B0502040204020203"/>
    <w:charset w:val="00"/>
    <w:family w:val="swiss"/>
    <w:pitch w:val="variable"/>
    <w:sig w:usb0="800001E3" w:usb1="1200FFEF" w:usb2="00040000" w:usb3="00000000" w:csb0="00000001" w:csb1="00000000"/>
  </w:font>
  <w:font w:name="Playfair Display">
    <w:altName w:val="Calibri"/>
    <w:charset w:val="00"/>
    <w:family w:val="auto"/>
    <w:pitch w:val="variable"/>
    <w:sig w:usb0="20000207" w:usb1="00000000" w:usb2="00000000" w:usb3="00000000" w:csb0="00000197"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82C"/>
    <w:rsid w:val="00023A75"/>
    <w:rsid w:val="00043252"/>
    <w:rsid w:val="000545B0"/>
    <w:rsid w:val="000A3EA8"/>
    <w:rsid w:val="00127195"/>
    <w:rsid w:val="00151200"/>
    <w:rsid w:val="00175A48"/>
    <w:rsid w:val="001B6164"/>
    <w:rsid w:val="001E2554"/>
    <w:rsid w:val="001E33AB"/>
    <w:rsid w:val="00217A21"/>
    <w:rsid w:val="00235040"/>
    <w:rsid w:val="002436ED"/>
    <w:rsid w:val="00264DC6"/>
    <w:rsid w:val="00287D6F"/>
    <w:rsid w:val="002C2AC9"/>
    <w:rsid w:val="00325313"/>
    <w:rsid w:val="00356DB9"/>
    <w:rsid w:val="00361E33"/>
    <w:rsid w:val="00367F48"/>
    <w:rsid w:val="003C097F"/>
    <w:rsid w:val="003C5616"/>
    <w:rsid w:val="003D5F2E"/>
    <w:rsid w:val="00421D2A"/>
    <w:rsid w:val="0043102B"/>
    <w:rsid w:val="0043682C"/>
    <w:rsid w:val="00437862"/>
    <w:rsid w:val="00473A9A"/>
    <w:rsid w:val="004C6056"/>
    <w:rsid w:val="004F5DEE"/>
    <w:rsid w:val="00555051"/>
    <w:rsid w:val="005656CC"/>
    <w:rsid w:val="0057698F"/>
    <w:rsid w:val="005C0BA3"/>
    <w:rsid w:val="00603E93"/>
    <w:rsid w:val="00623316"/>
    <w:rsid w:val="00644C51"/>
    <w:rsid w:val="006660BD"/>
    <w:rsid w:val="006956CB"/>
    <w:rsid w:val="006979F2"/>
    <w:rsid w:val="00697CDD"/>
    <w:rsid w:val="00750DD6"/>
    <w:rsid w:val="007515CF"/>
    <w:rsid w:val="007532FF"/>
    <w:rsid w:val="0076117F"/>
    <w:rsid w:val="00775C50"/>
    <w:rsid w:val="007B4377"/>
    <w:rsid w:val="007E606A"/>
    <w:rsid w:val="007E6BD4"/>
    <w:rsid w:val="00812378"/>
    <w:rsid w:val="00820DC0"/>
    <w:rsid w:val="008218CC"/>
    <w:rsid w:val="00830F9D"/>
    <w:rsid w:val="00843C8C"/>
    <w:rsid w:val="009376B6"/>
    <w:rsid w:val="0094719F"/>
    <w:rsid w:val="00965B9A"/>
    <w:rsid w:val="0097179D"/>
    <w:rsid w:val="00991C14"/>
    <w:rsid w:val="009C6888"/>
    <w:rsid w:val="009E40FE"/>
    <w:rsid w:val="009E77C7"/>
    <w:rsid w:val="00A25507"/>
    <w:rsid w:val="00A346C0"/>
    <w:rsid w:val="00A60EE5"/>
    <w:rsid w:val="00AB4B99"/>
    <w:rsid w:val="00AB740E"/>
    <w:rsid w:val="00AC0F60"/>
    <w:rsid w:val="00AD5430"/>
    <w:rsid w:val="00B152D1"/>
    <w:rsid w:val="00B166BF"/>
    <w:rsid w:val="00B2771E"/>
    <w:rsid w:val="00B42865"/>
    <w:rsid w:val="00B86446"/>
    <w:rsid w:val="00B90A6C"/>
    <w:rsid w:val="00BF0919"/>
    <w:rsid w:val="00C04360"/>
    <w:rsid w:val="00C252C1"/>
    <w:rsid w:val="00C8693F"/>
    <w:rsid w:val="00CF4CBE"/>
    <w:rsid w:val="00D00FE1"/>
    <w:rsid w:val="00D6086D"/>
    <w:rsid w:val="00D83F7F"/>
    <w:rsid w:val="00D90DAE"/>
    <w:rsid w:val="00E1790F"/>
    <w:rsid w:val="00E9220C"/>
    <w:rsid w:val="00EF5DB4"/>
    <w:rsid w:val="00F02354"/>
    <w:rsid w:val="00F51FE7"/>
    <w:rsid w:val="00F60FD0"/>
    <w:rsid w:val="00F63231"/>
    <w:rsid w:val="00F655BA"/>
    <w:rsid w:val="00FB465F"/>
    <w:rsid w:val="00FD3D5A"/>
    <w:rsid w:val="00FE620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F5DEE"/>
    <w:rPr>
      <w:color w:val="808080"/>
    </w:rPr>
  </w:style>
  <w:style w:type="paragraph" w:customStyle="1" w:styleId="C8072690EA624955B20A93E708BE679F">
    <w:name w:val="C8072690EA624955B20A93E708BE679F"/>
    <w:rsid w:val="007B4377"/>
  </w:style>
  <w:style w:type="paragraph" w:customStyle="1" w:styleId="012E2798A72C453B925FB0189C0D368A">
    <w:name w:val="012E2798A72C453B925FB0189C0D368A"/>
    <w:rsid w:val="004F5DEE"/>
  </w:style>
  <w:style w:type="paragraph" w:customStyle="1" w:styleId="B71F28DE2C7A44A3AA751E97B0558E4A">
    <w:name w:val="B71F28DE2C7A44A3AA751E97B0558E4A"/>
    <w:rsid w:val="00AD5430"/>
    <w:pPr>
      <w:spacing w:line="278" w:lineRule="auto"/>
    </w:pPr>
    <w:rPr>
      <w:kern w:val="2"/>
      <w:sz w:val="24"/>
      <w:szCs w:val="24"/>
      <w:lang w:eastAsia="zh-CN"/>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767AB7B-CF0B-4D6F-B0A3-F1740351BF8A}">
  <we:reference id="wa104382081" version="1.55.1.0" store="en-US" storeType="OMEX"/>
  <we:alternateReferences>
    <we:reference id="WA104382081" version="1.55.1.0" store="" storeType="OMEX"/>
  </we:alternateReferences>
  <we:properties>
    <we:property name="MENDELEY_BIBLIOGRAPHY_IS_DIRTY" value="false"/>
    <we:property name="MENDELEY_BIBLIOGRAPHY_LAST_MODIFIED" value="1768448843999"/>
    <we:property name="MENDELEY_CITATIONS" value="[{&quot;citationID&quot;:&quot;MENDELEY_CITATION_3cf5dd5c-fbb5-4149-b0dd-0af92cf45cfc&quot;,&quot;properties&quot;:{&quot;noteIndex&quot;:0},&quot;isEdited&quot;:false,&quot;manualOverride&quot;:{&quot;isManuallyOverridden&quot;:false,&quot;citeprocText&quot;:&quot;(Norton, 2025a)&quot;,&quot;manualOverrideText&quot;:&quot;&quot;},&quot;citationTag&quot;:&quot;MENDELEY_CITATION_v3_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&quot;,&quot;citationItems&quot;:[{&quot;id&quot;:&quot;a2365eba-457b-3c75-a775-6c03a67acd4c&quot;,&quot;itemData&quot;:{&quot;type&quot;:&quot;article-journal&quot;,&quot;id&quot;:&quot;a2365eba-457b-3c75-a775-6c03a67acd4c&quot;,&quot;title&quot;:&quot;Higher education: a new bureaucratic era&quot;,&quot;author&quot;:[{&quot;family&quot;:&quot;Norton&quot;,&quot;given&quot;:&quot;A.&quot;,&quot;parse-names&quot;:false,&quot;dropping-particle&quot;:&quot;&quot;,&quot;non-dropping-particle&quot;:&quot;&quot;}],&quot;container-title&quot;:&quot;Advancing Scholarship and Research in Higher Education&quot;,&quot;issued&quot;:{&quot;date-parts&quot;:[[2025]]},&quot;issue&quot;:&quot;1&quot;,&quot;volume&quot;:&quot;6&quot;,&quot;container-title-short&quot;:&quot;&quot;},&quot;isTemporary&quot;:false,&quot;suppress-author&quot;:false,&quot;composite&quot;:false,&quot;author-only&quot;:false}]},{&quot;citationID&quot;:&quot;MENDELEY_CITATION_c82bfa07-8a53-4a55-a6f5-b8619274666b&quot;,&quot;properties&quot;:{&quot;noteIndex&quot;:0},&quot;isEdited&quot;:false,&quot;manualOverride&quot;:{&quot;isManuallyOverridden&quot;:false,&quot;citeprocText&quot;:&quot;(Pearce, 2024, pp. 223–226)&quot;,&quot;manualOverrideText&quot;:&quot;&quot;},&quot;citationTag&quot;:&quot;MENDELEY_CITATION_v3_eyJjaXRhdGlvbklEIjoiTUVOREVMRVlfQ0lUQVRJT05fYzgyYmZhMDctOGE1My00YTU1LWE2ZjUtYjg2MTkyNzQ2NjZiIiwicHJvcGVydGllcyI6eyJub3RlSW5kZXgiOjB9LCJpc0VkaXRlZCI6ZmFsc2UsIm1hbnVhbE92ZXJyaWRlIjp7ImlzTWFudWFsbHlPdmVycmlkZGVuIjpmYWxzZSwiY2l0ZXByb2NUZXh0IjoiKFBlYXJjZSwgMjAyNCwgcHAuIDIyM+KAkzIyN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yMy0yMjY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223-226&quot;}]},{&quot;citationID&quot;:&quot;MENDELEY_CITATION_8baa5ad5-e54d-4ee5-b03b-f7f52fa47c6e&quot;,&quot;properties&quot;:{&quot;noteIndex&quot;:0},&quot;isEdited&quot;:false,&quot;manualOverride&quot;:{&quot;isManuallyOverridden&quot;:false,&quot;citeprocText&quot;:&quot;(Australian Government, 2024, p. 122)&quot;,&quot;manualOverrideText&quot;:&quot;&quot;},&quot;citationTag&quot;:&quot;MENDELEY_CITATION_v3_eyJjaXRhdGlvbklEIjoiTUVOREVMRVlfQ0lUQVRJT05fOGJhYTVhZDUtZTU0ZC00ZWU1LWIwM2ItZjdmNTJmYTQ3YzZlIiwicHJvcGVydGllcyI6eyJub3RlSW5kZXgiOjB9LCJpc0VkaXRlZCI6ZmFsc2UsIm1hbnVhbE92ZXJyaWRlIjp7ImlzTWFudWFsbHlPdmVycmlkZGVuIjpmYWxzZSwiY2l0ZXByb2NUZXh0IjoiKEF1c3RyYWxpYW4gR292ZXJubWVudCwgMjAyNCwgcC4gMTIyKSIsIm1hbnVhbE92ZXJyaWRlVGV4dCI6IiJ9LCJjaXRhdGlvbkl0ZW1zIjpbey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EyMiJ9XX0=&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122&quot;}]},{&quot;citationID&quot;:&quot;MENDELEY_CITATION_b56bd7c8-e196-4526-a08e-ca8ebc4a2f90&quot;,&quot;properties&quot;:{&quot;noteIndex&quot;:0},&quot;isEdited&quot;:false,&quot;manualOverride&quot;:{&quot;isManuallyOverridden&quot;:false,&quot;citeprocText&quot;:&quot;(DESE, 2020)&quot;,&quot;manualOverrideText&quot;:&quot;&quot;},&quot;citationTag&quot;:&quot;MENDELEY_CITATION_v3_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&quot;,&quot;citationItems&quot;:[{&quot;id&quot;:&quot;1f3606cb-301e-3a77-80f5-e9878f8c935d&quot;,&quot;itemData&quot;:{&quot;type&quot;:&quot;report&quot;,&quot;id&quot;:&quot;1f3606cb-301e-3a77-80f5-e9878f8c935d&quot;,&quot;title&quot;:&quot;Factors affecting higher education completions – study assistance&quot;,&quot;author&quot;:[{&quot;family&quot;:&quot;DESE&quot;,&quot;given&quot;:&quot;&quot;,&quot;parse-names&quot;:false,&quot;dropping-particle&quot;:&quot;&quot;,&quot;non-dropping-particle&quot;:&quot;&quot;}],&quot;issued&quot;:{&quot;date-parts&quot;:[[2020]]},&quot;publisher&quot;:&quot;Department of Education, Skills and Employment&quot;,&quot;container-title-short&quot;:&quot;&quot;},&quot;isTemporary&quot;:false,&quot;suppress-author&quot;:false,&quot;composite&quot;:false,&quot;author-only&quot;:false}]},{&quot;citationID&quot;:&quot;MENDELEY_CITATION_ac560299-d992-4500-965a-5219d40c35ef&quot;,&quot;properties&quot;:{&quot;noteIndex&quot;:0},&quot;isEdited&quot;:false,&quot;manualOverride&quot;:{&quot;isManuallyOverridden&quot;:false,&quot;citeprocText&quot;:&quot;(Norton, 2025b)&quot;,&quot;manualOverrideText&quot;:&quot;&quot;},&quot;citationTag&quot;:&quot;MENDELEY_CITATION_v3_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&quot;,&quot;citationItems&quot;:[{&quot;id&quot;:&quot;0a482dbd-9c1d-3f05-80cb-9071a0033303&quot;,&quot;itemData&quot;:{&quot;type&quot;:&quot;article-newspaper&quot;,&quot;id&quot;:&quot;0a482dbd-9c1d-3f05-80cb-9071a0033303&quot;,&quot;title&quot;:&quot;The review of TEQSA’s powers – my submission&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5,11,17]]},&quot;container-title-short&quot;:&quot;&quot;},&quot;isTemporary&quot;:false,&quot;suppress-author&quot;:false,&quot;composite&quot;:false,&quot;author-only&quot;:false}]},{&quot;citationID&quot;:&quot;MENDELEY_CITATION_1b966dcd-b272-49c1-8c6b-98191001b8ad&quot;,&quot;properties&quot;:{&quot;noteIndex&quot;:0},&quot;isEdited&quot;:false,&quot;manualOverride&quot;:{&quot;isManuallyOverridden&quot;:false,&quot;citeprocText&quot;:&quot;(DofE, 2024a)&quot;,&quot;manualOverrideText&quot;:&quot;&quot;},&quot;citationTag&quot;:&quot;MENDELEY_CITATION_v3_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&quot;,&quot;citationItems&quot;:[{&quot;id&quot;:&quot;0886b214-97e9-38df-92e6-935e38cab7b9&quot;,&quot;itemData&quot;:{&quot;type&quot;:&quot;book&quot;,&quot;id&quot;:&quot;0886b214-97e9-38df-92e6-935e38cab7b9&quot;,&quot;title&quot;:&quot;Australian Tertiary Education Commission: Implementation consultation paper&quot;,&quot;author&quot;:[{&quot;family&quot;:&quot;DofE&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citationID&quot;:&quot;MENDELEY_CITATION_19ab75bb-e461-4d81-a364-b4f87c3f67d4&quot;,&quot;properties&quot;:{&quot;noteIndex&quot;:0},&quot;isEdited&quot;:false,&quot;manualOverride&quot;:{&quot;isManuallyOverridden&quot;:false,&quot;citeprocText&quot;:&quot;(DofE, 2024b)&quot;,&quot;manualOverrideText&quot;:&quot;&quot;},&quot;citationTag&quot;:&quot;MENDELEY_CITATION_v3_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X1dfQ==&quot;,&quot;citationItems&quot;:[{&quot;id&quot;:&quot;626615eb-dc57-3bc3-92aa-767ead9757af&quot;,&quot;itemData&quot;:{&quot;type&quot;:&quot;book&quot;,&quot;id&quot;:&quot;626615eb-dc57-3bc3-92aa-767ead9757af&quot;,&quot;title&quot;:&quot;Australian Universities Accord: 2024-25 MYEFO Summary&quot;,&quot;author&quot;:[{&quot;family&quot;:&quot;DofE&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citationID&quot;:&quot;MENDELEY_CITATION_2fb2ccd2-23be-415c-ab8e-929df918c1b0&quot;,&quot;properties&quot;:{&quot;noteIndex&quot;:0},&quot;isEdited&quot;:false,&quot;manualOverride&quot;:{&quot;isManuallyOverridden&quot;:false,&quot;citeprocText&quot;:&quot;(Pearce, 2024, pp. 336–340)&quot;,&quot;manualOverrideText&quot;:&quot;&quot;},&quot;citationTag&quot;:&quot;MENDELEY_CITATION_v3_eyJjaXRhdGlvbklEIjoiTUVOREVMRVlfQ0lUQVRJT05fMmZiMmNjZDItMjNiZS00MTVjLWFiOGUtOTI5ZGY5MThjMWIwIiwicHJvcGVydGllcyI6eyJub3RlSW5kZXgiOjB9LCJpc0VkaXRlZCI6ZmFsc2UsIm1hbnVhbE92ZXJyaWRlIjp7ImlzTWFudWFsbHlPdmVycmlkZGVuIjpmYWxzZSwiY2l0ZXByb2NUZXh0IjoiKFBlYXJjZSwgMjAyNCwgcHAuIDMzNuKAkzM0MC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MzNi0zNDA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336-340&quot;}]},{&quot;citationID&quot;:&quot;MENDELEY_CITATION_92380150-86a1-445c-913d-83efde0d3a26&quot;,&quot;properties&quot;:{&quot;noteIndex&quot;:0},&quot;isEdited&quot;:false,&quot;manualOverride&quot;:{&quot;isManuallyOverridden&quot;:false,&quot;citeprocText&quot;:&quot;(DofE, 2025b, Section 2.5)&quot;,&quot;manualOverrideText&quot;:&quot;&quot;},&quot;citationTag&quot;:&quot;MENDELEY_CITATION_v3_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&quot;,&quot;citationItems&quot;:[{&quot;label&quot;:&quot;section&quot;,&quot;id&quot;:&quot;5b84fbb5-4f3f-39bc-8e84-5c2483420483&quot;,&quot;itemData&quot;:{&quot;type&quot;:&quot;book&quot;,&quot;id&quot;:&quot;5b84fbb5-4f3f-39bc-8e84-5c2483420483&quot;,&quot;title&quot;:&quot;Selected student statistics 2024&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locator&quot;:&quot;2.5&quot;}]},{&quot;citationID&quot;:&quot;MENDELEY_CITATION_0f79a6c4-c342-4218-8482-745a0ae16d1d&quot;,&quot;properties&quot;:{&quot;noteIndex&quot;:0},&quot;isEdited&quot;:false,&quot;manualOverride&quot;:{&quot;isManuallyOverridden&quot;:false,&quot;citeprocText&quot;:&quot;(DofE, 2025a)&quot;,&quot;manualOverrideText&quot;:&quot;&quot;},&quot;citationTag&quot;:&quot;MENDELEY_CITATION_v3_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a646a442-13be-37e2-af1c-ea9153c6e43d&quot;,&quot;itemData&quot;:{&quot;type&quot;:&quot;book&quot;,&quot;id&quot;:&quot;a646a442-13be-37e2-af1c-ea9153c6e43d&quot;,&quot;title&quot;:&quot;Finance 2024: Financial Reports of Higher Education Providers&quot;,&quot;author&quot;:[{&quot;family&quot;:&quot;DofE&quot;,&quot;given&quot;:&quot;&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896be626-591c-4634-a143-f0883d81e121&quot;,&quot;properties&quot;:{&quot;noteIndex&quot;:0},&quot;isEdited&quot;:false,&quot;manualOverride&quot;:{&quot;isManuallyOverridden&quot;:false,&quot;citeprocText&quot;:&quot;(Pearce, 2024, pp. 209–212)&quot;,&quot;manualOverrideText&quot;:&quot;&quot;},&quot;citationTag&quot;:&quot;MENDELEY_CITATION_v3_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&quot;,&quot;citationItems&quot;:[{&quot;label&quot;:&quot;page&quot;,&quot;id&quot;:&quot;b21a0bc3-b3c1-3b60-b2ca-124f49b675d5&quot;,&quot;itemData&quot;:{&quot;type&quot;:&quot;book&quot;,&quot;id&quot;:&quot;b21a0bc3-b3c1-3b60-b2ca-124f49b675d5&quot;,&quot;title&quot;:&quot;Statutory interpretation in Australia, 10th edition&quot;,&quot;author&quot;:[{&quot;family&quot;:&quot;Pearce&quot;,&quot;given&quot;:&quot;D.&quot;,&quot;parse-names&quot;:false,&quot;dropping-particle&quot;:&quot;&quot;,&quot;non-dropping-particle&quot;:&quot;&quot;}],&quot;issued&quot;:{&quot;date-parts&quot;:[[2024]]},&quot;publisher&quot;:&quot;Lexis Nexis&quot;,&quot;container-title-short&quot;:&quot;&quot;},&quot;isTemporary&quot;:false,&quot;suppress-author&quot;:false,&quot;composite&quot;:false,&quot;author-only&quot;:false,&quot;locator&quot;:&quot;209-212&quot;}]},{&quot;citationID&quot;:&quot;MENDELEY_CITATION_5c523f8c-6502-4986-86b6-195afb97cd09&quot;,&quot;properties&quot;:{&quot;noteIndex&quot;:0},&quot;isEdited&quot;:false,&quot;manualOverride&quot;:{&quot;isManuallyOverridden&quot;:false,&quot;citeprocText&quot;:&quot;(Sakkal, 2024)&quot;,&quot;manualOverrideText&quot;:&quot;&quot;},&quot;citationTag&quot;:&quot;MENDELEY_CITATION_v3_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&quot;,&quot;citationItems&quot;:[{&quot;id&quot;:&quot;ae6ba81b-72de-39a0-bfd5-f65de26ac051&quot;,&quot;itemData&quot;:{&quot;type&quot;:&quot;article-newspaper&quot;,&quot;id&quot;:&quot;ae6ba81b-72de-39a0-bfd5-f65de26ac051&quot;,&quot;title&quot;:&quot;University fees to be reviewed nationwide in next phase of education overhaul&quot;,&quot;author&quot;:[{&quot;family&quot;:&quot;Sakkal&quot;,&quot;given&quot;:&quot;P.&quot;,&quot;parse-names&quot;:false,&quot;dropping-particle&quot;:&quot;&quot;,&quot;non-dropping-particle&quot;:&quot;&quot;}],&quot;container-title&quot;:&quot;The Sydney Morning Herald&quot;,&quot;issued&quot;:{&quot;date-parts&quot;:[[2024,11,5]]},&quot;container-title-short&quot;:&quot;&quot;},&quot;isTemporary&quot;:false,&quot;suppress-author&quot;:false,&quot;composite&quot;:false,&quot;author-only&quot;:false}]},{&quot;citationID&quot;:&quot;MENDELEY_CITATION_a674e6c3-77c2-4fd5-9151-b95fb192f77a&quot;,&quot;properties&quot;:{&quot;noteIndex&quot;:0},&quot;isEdited&quot;:false,&quot;manualOverride&quot;:{&quot;isManuallyOverridden&quot;:true,&quot;citeprocText&quot;:&quot;(Norton, 2020b; Yong et al., 2023)&quot;,&quot;manualOverrideText&quot;:&quot;(Norton, 2020; Yong et al., 2023)&quot;},&quot;citationTag&quot;:&quot;MENDELEY_CITATION_v3_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&quot;,&quot;citationItems&quot;:[{&quot;id&quot;:&quot;02ed42be-e35f-3554-a045-ab7d8eacb4f4&quot;,&quot;itemData&quot;:{&quot;type&quot;:&quot;report&quot;,&quot;id&quot;:&quot;02ed42be-e35f-3554-a045-ab7d8eacb4f4&quot;,&quot;title&quot;:&quot;University fees, subsidies and field of study&quot;,&quot;author&quot;:[{&quot;family&quot;:&quot;Yong&quot;,&quot;given&quot;:&quot;M&quot;,&quot;parse-names&quot;:false,&quot;dropping-particle&quot;:&quot;&quot;,&quot;non-dropping-particle&quot;:&quot;&quot;},{&quot;family&quot;:&quot;Coelli&quot;,&quot;given&quot;:&quot;M&quot;,&quot;parse-names&quot;:false,&quot;dropping-particle&quot;:&quot;&quot;,&quot;non-dropping-particle&quot;:&quot;&quot;},{&quot;family&quot;:&quot;Kabatek&quot;,&quot;given&quot;:&quot;J&quot;,&quot;parse-names&quot;:false,&quot;dropping-particle&quot;:&quot;&quot;,&quot;non-dropping-particle&quot;:&quot;&quot;}],&quot;issued&quot;:{&quot;date-parts&quot;:[[2023]]},&quot;publisher&quot;:&quot;Melbourne Institute: Applied Economic and Social Research&quot;,&quot;container-title-short&quot;:&quot;&quot;},&quot;isTemporary&quot;:false,&quot;suppress-author&quot;:false,&quot;composite&quot;:false,&quot;author-only&quot;:false},{&quot;id&quot;:&quot;293b886a-8fad-334e-a3da-530004c7515a&quot;,&quot;itemData&quot;:{&quot;type&quot;:&quot;article-newspaper&quot;,&quot;id&quot;:&quot;293b886a-8fad-334e-a3da-530004c7515a&quot;,&quot;title&quot;:&quot;Prospective university students who might be influenced by student contributions&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0]]},&quot;container-title-short&quot;:&quot;&quot;},&quot;isTemporary&quot;:false}]},{&quot;citationID&quot;:&quot;MENDELEY_CITATION_2b6c22e3-d9e0-4292-867f-5b73c97e056a&quot;,&quot;properties&quot;:{&quot;noteIndex&quot;:0},&quot;isEdited&quot;:false,&quot;manualOverride&quot;:{&quot;isManuallyOverridden&quot;:false,&quot;citeprocText&quot;:&quot;(Norton, 2020a; UAC, 2025)&quot;,&quot;manualOverrideText&quot;:&quot;&quot;},&quot;citationTag&quot;:&quot;MENDELEY_CITATION_v3_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&quot;,&quot;citationItems&quot;:[{&quot;id&quot;:&quot;b2c4fdf3-7b62-3d1f-af19-beeb66f1f6b4&quot;,&quot;itemData&quot;:{&quot;type&quot;:&quot;article-newspaper&quot;,&quot;id&quot;:&quot;b2c4fdf3-7b62-3d1f-af19-beeb66f1f6b4&quot;,&quot;title&quot;:&quot;Jobs, interests, and course choices&quot;,&quot;author&quot;:[{&quot;family&quot;:&quot;Norton&quot;,&quot;given&quot;:&quot;A&quot;,&quot;parse-names&quot;:false,&quot;dropping-particle&quot;:&quot;&quot;,&quot;non-dropping-particle&quot;:&quot;&quot;}],&quot;container-title&quot;:&quot;Andrew Norton: Higher education commentary from Carlton (blog)&quot;,&quot;issued&quot;:{&quot;date-parts&quot;:[[2020]]},&quot;container-title-short&quot;:&quot;&quot;},&quot;isTemporary&quot;:false,&quot;suppress-author&quot;:false,&quot;composite&quot;:false,&quot;author-only&quot;:false},{&quot;id&quot;:&quot;85b31dcf-d1d9-3351-ae46-eabac549585c&quot;,&quot;itemData&quot;:{&quot;type&quot;:&quot;book&quot;,&quot;id&quot;:&quot;85b31dcf-d1d9-3351-ae46-eabac549585c&quot;,&quot;title&quot;:&quot;Student Lifestyle and Learning Report 2025&quot;,&quot;author&quot;:[{&quot;family&quot;:&quot;UAC&quot;,&quot;given&quot;:&quot;&quot;,&quot;parse-names&quot;:false,&quot;dropping-particle&quot;:&quot;&quot;,&quot;non-dropping-particle&quot;:&quot;&quot;}],&quot;issued&quot;:{&quot;date-parts&quot;:[[2025]]},&quot;publisher&quot;:&quot;Universities Admission Centre&quot;,&quot;container-title-short&quot;:&quot;&quot;},&quot;isTemporary&quot;:false}]},{&quot;citationID&quot;:&quot;MENDELEY_CITATION_7fa418c6-e4db-4833-afba-f062e1a0ffa5&quot;,&quot;properties&quot;:{&quot;noteIndex&quot;:0},&quot;isEdited&quot;:false,&quot;manualOverride&quot;:{&quot;isManuallyOverridden&quot;:false,&quot;citeprocText&quot;:&quot;(DAE, 2025, p. xiv)&quot;,&quot;manualOverrideText&quot;:&quot;&quot;},&quot;citationTag&quot;:&quot;MENDELEY_CITATION_v3_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&quot;,&quot;citationItems&quot;:[{&quot;label&quot;:&quot;page&quot;,&quot;id&quot;:&quot;0ec42cfc-138b-37de-98fe-c7b068969075&quot;,&quot;itemData&quot;:{&quot;type&quot;:&quot;book&quot;,&quot;id&quot;:&quot;0ec42cfc-138b-37de-98fe-c7b068969075&quot;,&quot;title&quot;:&quot;Cost benefit analysis of the proposed National Higher Education Code to Prevent and Respond to Gender-based Violence&quot;,&quot;author&quot;:[{&quot;family&quot;:&quot;DAE&quot;,&quot;given&quot;:&quot;&quot;,&quot;parse-names&quot;:false,&quot;dropping-particle&quot;:&quot;&quot;,&quot;non-dropping-particle&quot;:&quot;&quot;}],&quot;issued&quot;:{&quot;date-parts&quot;:[[2025]]},&quot;publisher&quot;:&quot;Deloitte Access Economics/Department of Education&quot;,&quot;container-title-short&quot;:&quot;&quot;},&quot;isTemporary&quot;:false,&quot;suppress-author&quot;:false,&quot;composite&quot;:false,&quot;author-only&quot;:false,&quot;locator&quot;:&quot;xiv&quot;}]},{&quot;citationID&quot;:&quot;MENDELEY_CITATION_05a0f274-0820-4125-b0d1-2a6b04809f60&quot;,&quot;properties&quot;:{&quot;noteIndex&quot;:0},&quot;isEdited&quot;:false,&quot;manualOverride&quot;:{&quot;isManuallyOverridden&quot;:false,&quot;citeprocText&quot;:&quot;(Australian Government, 2024, p. 31)&quot;,&quot;manualOverrideText&quot;:&quot;&quot;},&quot;citationTag&quot;:&quot;MENDELEY_CITATION_v3_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&quot;,&quot;citationItems&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31&quot;}]},{&quot;citationID&quot;:&quot;MENDELEY_CITATION_3187587b-1fdf-46ae-8f0d-2741e3a5bb9c&quot;,&quot;properties&quot;:{&quot;noteIndex&quot;:0},&quot;isEdited&quot;:false,&quot;manualOverride&quot;:{&quot;isManuallyOverridden&quot;:false,&quot;citeprocText&quot;:&quot;(Cilento et al., 2025)&quot;,&quot;manualOverrideText&quot;:&quot;&quot;},&quot;citationTag&quot;:&quot;MENDELEY_CITATION_v3_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&quot;,&quot;citationItems&quot;:[{&quot;id&quot;:&quot;43b98ac2-174f-3425-9cf1-a986fd2e825e&quot;,&quot;itemData&quot;:{&quot;type&quot;:&quot;book&quot;,&quot;id&quot;:&quot;43b98ac2-174f-3425-9cf1-a986fd2e825e&quot;,&quot;title&quot;:&quot;Final Report and Principles - Expert Council on University Governance&quot;,&quot;author&quot;:[{&quot;family&quot;:&quot;Cilento&quot;,&quot;given&quot;:&quot;M.&quot;,&quot;parse-names&quot;:false,&quot;dropping-particle&quot;:&quot;&quot;,&quot;non-dropping-particle&quot;:&quot;&quot;},{&quot;family&quot;:&quot;Burrow&quot;,&quot;given&quot;:&quot;S.&quot;,&quot;parse-names&quot;:false,&quot;dropping-particle&quot;:&quot;&quot;,&quot;non-dropping-particle&quot;:&quot;&quot;},{&quot;family&quot;:&quot;Cowley&quot;,&quot;given&quot;:&quot;B.&quot;,&quot;parse-names&quot;:false,&quot;dropping-particle&quot;:&quot;&quot;,&quot;non-dropping-particle&quot;:&quot;&quot;}],&quot;issued&quot;:{&quot;date-parts&quot;:[[2025]]},&quot;publisher&quot;:&quot;Department of Education&quot;,&quot;container-title-short&quot;:&quot;&quot;},&quot;isTemporary&quot;:false,&quot;suppress-author&quot;:false,&quot;composite&quot;:false,&quot;author-only&quot;:false}]},{&quot;citationID&quot;:&quot;MENDELEY_CITATION_62dea134-5d49-4440-a3f1-4cb040b8fde8&quot;,&quot;properties&quot;:{&quot;noteIndex&quot;:0},&quot;isEdited&quot;:false,&quot;manualOverride&quot;:{&quot;isManuallyOverridden&quot;:false,&quot;citeprocText&quot;:&quot;(Australian Government, 2024, p. 234, emphasis added)&quot;,&quot;manualOverrideText&quot;:&quot;&quot;},&quot;citationTag&quot;:&quot;MENDELEY_CITATION_v3_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&quot;,&quot;citationItems&quot;:[{&quot;displayAs&quot;:&quot;original&quot;,&quot;label&quot;:&quot;page&quot;,&quot;id&quot;:&quot;93e281fb-9b58-31ed-8714-550033673569&quot;,&quot;itemData&quot;:{&quot;type&quot;:&quot;report&quot;,&quot;id&quot;:&quot;93e281fb-9b58-31ed-8714-550033673569&quot;,&quot;title&quot;:&quot;Australian Universities Accord Final Report&quot;,&quot;author&quot;:[{&quot;family&quot;:&quot;Australian Government&quot;,&quot;given&quot;:&quot;&quot;,&quot;parse-names&quot;:false,&quot;dropping-particle&quot;:&quot;&quot;,&quot;non-dropping-particle&quot;:&quot;&quot;}],&quot;issued&quot;:{&quot;date-parts&quot;:[[2024]]},&quot;publisher&quot;:&quot;Department of Education&quot;,&quot;container-title-short&quot;:&quot;&quot;},&quot;isTemporary&quot;:false,&quot;suppress-author&quot;:false,&quot;composite&quot;:false,&quot;author-only&quot;:false,&quot;locator&quot;:&quot;234&quot;,&quot;suffix&quot;:&quot;, emphasis added&quot;}]},{&quot;citationID&quot;:&quot;MENDELEY_CITATION_d345c430-c69f-4c57-8186-094000a10b14&quot;,&quot;properties&quot;:{&quot;noteIndex&quot;:0},&quot;isEdited&quot;:false,&quot;manualOverride&quot;:{&quot;isManuallyOverridden&quot;:false,&quot;citeprocText&quot;:&quot;(Australian Government, 2025b, p. i)&quot;,&quot;manualOverrideText&quot;:&quot;&quot;},&quot;citationTag&quot;:&quot;MENDELEY_CITATION_v3_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mkifV19&quot;,&quot;citationItems&quot;:[{&quot;label&quot;:&quot;page&quot;,&quot;id&quot;:&quot;11d82e8d-4848-3060-b607-a22e6925db00&quot;,&quot;itemData&quot;:{&quot;type&quot;:&quot;book&quot;,&quot;id&quot;:&quot;11d82e8d-4848-3060-b607-a22e6925db00&quot;,&quot;title&quot;:&quot;National coordination for RD&amp;I impact: Policy paper&quot;,&quot;author&quot;:[{&quot;family&quot;:&quot;Australian Government&quot;,&quot;given&quot;:&quot;&quot;,&quot;parse-names&quot;:false,&quot;dropping-particle&quot;:&quot;&quot;,&quot;non-dropping-particle&quot;:&quot;&quot;}],&quot;issued&quot;:{&quot;date-parts&quot;:[[2025]]},&quot;publisher&quot;:&quot;Department of Industry, Science and Resources&quot;,&quot;container-title-short&quot;:&quot;&quot;},&quot;isTemporary&quot;:false,&quot;suppress-author&quot;:false,&quot;composite&quot;:false,&quot;author-only&quot;:false,&quot;locator&quot;:&quot;i&quot;}]},{&quot;citationID&quot;:&quot;MENDELEY_CITATION_253d20e3-72a9-424e-8eab-aa35336525b5&quot;,&quot;properties&quot;:{&quot;noteIndex&quot;:0},&quot;isEdited&quot;:false,&quot;manualOverride&quot;:{&quot;isManuallyOverridden&quot;:false,&quot;citeprocText&quot;:&quot;(Australian Government, 2025a, p. 5)&quot;,&quot;manualOverrideText&quot;:&quot;&quot;},&quot;citationTag&quot;:&quot;MENDELEY_CITATION_v3_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&quot;,&quot;citationItems&quot;:[{&quot;label&quot;:&quot;page&quot;,&quot;id&quot;:&quot;4a4b69b0-c1bf-3b60-ad22-cabb25a4b8c3&quot;,&quot;itemData&quot;:{&quot;type&quot;:&quot;book&quot;,&quot;id&quot;:&quot;4a4b69b0-c1bf-3b60-ad22-cabb25a4b8c3&quot;,&quot;title&quot;:&quot;Foundational research: Creating knowledge Issues paper&quot;,&quot;author&quot;:[{&quot;family&quot;:&quot;Australian Government&quot;,&quot;given&quot;:&quot;&quot;,&quot;parse-names&quot;:false,&quot;dropping-particle&quot;:&quot;&quot;,&quot;non-dropping-particle&quot;:&quot;&quot;}],&quot;issued&quot;:{&quot;date-parts&quot;:[[2025]]},&quot;publisher&quot;:&quot;Department of Industry, Science and Resources&quot;,&quot;container-title-short&quot;:&quot;&quot;},&quot;isTemporary&quot;:false,&quot;suppress-author&quot;:false,&quot;composite&quot;:false,&quot;author-only&quot;:false,&quot;locator&quot;:&quot;5&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4FBF1-A606-4D09-A5B9-E28A11C8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46</Pages>
  <Words>15098</Words>
  <Characters>86059</Characters>
  <Application>Microsoft Office Word</Application>
  <DocSecurity>0</DocSecurity>
  <Lines>717</Lines>
  <Paragraphs>201</Paragraphs>
  <ScaleCrop>false</ScaleCrop>
  <HeadingPairs>
    <vt:vector size="2" baseType="variant">
      <vt:variant>
        <vt:lpstr>Title</vt:lpstr>
      </vt:variant>
      <vt:variant>
        <vt:i4>1</vt:i4>
      </vt:variant>
    </vt:vector>
  </HeadingPairs>
  <TitlesOfParts>
    <vt:vector size="1" baseType="lpstr">
      <vt:lpstr>Accord priorities submission - Andrew Norton</vt:lpstr>
    </vt:vector>
  </TitlesOfParts>
  <Company/>
  <LinksUpToDate>false</LinksUpToDate>
  <CharactersWithSpaces>100956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Accord priorities submission - Andrew Norton</dc:title>
  <dc:subject/>
  <dc:creator>Andrew Norton</dc:creator>
  <cp:keywords/>
  <dc:description/>
  <cp:lastModifiedBy>Andrew Norton</cp:lastModifiedBy>
  <cp:revision>2</cp:revision>
  <cp:lastPrinted>2026-01-15T03:47:00Z</cp:lastPrinted>
  <dcterms:created xsi:type="dcterms:W3CDTF">2026-01-15T23:09:00Z</dcterms:created>
  <dcterms:modified xsi:type="dcterms:W3CDTF">2026-01-15T23:09:00Z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2020-08-17T00:00:00Z</vt:filetime>
  </property>
  <property fmtid="{D5CDD505-2E9C-101B-9397-08002B2CF9AE}" pid="3" name="Creator">
    <vt:lpwstr>Acrobat PDFMaker 20 for Word</vt:lpwstr>
  </property>
  <property fmtid="{D5CDD505-2E9C-101B-9397-08002B2CF9AE}" pid="4" name="LastSaved">
    <vt:filetime>2020-09-05T00:00:00Z</vt:filetime>
  </property>
</Properties>
</file>